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96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96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275/2026/1058/VFI-CT.C01.A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Nguyễn Thị Chúc</w:t>
                            </w:r>
                            <w:r>
                              <w:rPr>
                                <w:rFonts w:ascii="Times New Roman Bold" w:hAnsi="Times New Roman Bold"/>
                                <w:b/>
                                <w:color w:val="000000" w:themeColor="text1"/>
                              </w:rPr>
                            </w:r>
                            <w:r>
                              <w:rPr>
                                <w:rFonts w:ascii="Times New Roman Bold" w:hAnsi="Times New Roman Bold"/>
                                <w:b/>
                                <w:color w:val="000000" w:themeColor="text1"/>
                              </w:rPr>
                            </w:r>
                          </w:p>
                          <w:p>
                            <w:pPr>
                              <w:pBdr/>
                              <w:tabs>
                                <w:tab w:val="center" w:leader="none" w:pos="3716"/>
                              </w:tabs>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highlight w:val="none"/>
                              </w:rPr>
                              <w:t xml:space="preserve">Tài sản thẩm địn</w:t>
                            </w:r>
                            <w:r>
                              <w:rPr>
                                <w:color w:val="000000" w:themeColor="text1"/>
                                <w:highlight w:val="none"/>
                              </w:rPr>
                              <w:t xml:space="preserve">h:</w:t>
                            </w:r>
                            <w:r>
                              <w:rPr>
                                <w:color w:val="000000" w:themeColor="text1"/>
                                <w:highlight w:val="none"/>
                              </w:rPr>
                              <w:t xml:space="preserve"> </w:t>
                            </w:r>
                            <w:r>
                              <w:rPr>
                                <w:color w:val="000000" w:themeColor="text1"/>
                                <w:highlight w:val="none"/>
                              </w:rPr>
                              <w:t xml:space="preserve">Q</w:t>
                            </w:r>
                            <w:r>
                              <w:rPr>
                                <w:color w:val="000000" w:themeColor="text1"/>
                              </w:rPr>
                              <w:t xml:space="preserve">uyền sử dụng đất </w:t>
                            </w:r>
                            <w:r>
                              <w:rPr>
                                <w:color w:val="000000" w:themeColor="text1"/>
                              </w:rPr>
                              <w:t xml:space="preserve">tại thửa đất số 81, tờ bản đồ số 171-A-2, có địa chỉ thôn Ngọc Chử, </w:t>
                            </w:r>
                            <w:r>
                              <w:rPr>
                                <w:color w:val="000000" w:themeColor="text1"/>
                              </w:rPr>
                              <w:t xml:space="preserve">xã Trường Thọ, huyện An Lão, th</w:t>
                            </w:r>
                            <w:r>
                              <w:rPr>
                                <w:color w:val="000000" w:themeColor="text1"/>
                              </w:rPr>
                              <w:t xml:space="preserve">ành phố Hải Phòng (nay là xã An Trườn</w:t>
                            </w:r>
                            <w:r>
                              <w:rPr>
                                <w:color w:val="000000" w:themeColor="text1"/>
                              </w:rPr>
                              <w:t xml:space="preserve">g, thành phố </w:t>
                            </w:r>
                            <w:r>
                              <w:rPr>
                                <w:color w:val="000000"/>
                              </w:rPr>
                              <w:t xml:space="preserve">Hải Phòng) theo Giấy chứng nhận quyền sử dụng đất, quyền sở hữu nhà ở và tài sản gắn liền với đất số: BS 425163, số vào sổ cấp GCN: CH 0067/AL do UBND huyện An Lão cấp ngày 24/04/2015. Chủ sử dụng đất là ông Bùi Văn Hùy và bà Nguyễn Thị Chúc.</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1.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275/2026/1058/VFI-CT.C01.A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Nguyễn Thị Chúc</w:t>
                      </w:r>
                      <w:r>
                        <w:rPr>
                          <w:rFonts w:ascii="Times New Roman Bold" w:hAnsi="Times New Roman Bold"/>
                          <w:b/>
                          <w:color w:val="000000" w:themeColor="text1"/>
                        </w:rPr>
                      </w:r>
                      <w:r>
                        <w:rPr>
                          <w:rFonts w:ascii="Times New Roman Bold" w:hAnsi="Times New Roman Bold"/>
                          <w:b/>
                          <w:color w:val="000000" w:themeColor="text1"/>
                        </w:rPr>
                      </w:r>
                    </w:p>
                    <w:p>
                      <w:pPr>
                        <w:pBdr/>
                        <w:tabs>
                          <w:tab w:val="center" w:leader="none" w:pos="3716"/>
                        </w:tabs>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highlight w:val="none"/>
                        </w:rPr>
                        <w:t xml:space="preserve">Tài sản thẩm địn</w:t>
                      </w:r>
                      <w:r>
                        <w:rPr>
                          <w:color w:val="000000" w:themeColor="text1"/>
                          <w:highlight w:val="none"/>
                        </w:rPr>
                        <w:t xml:space="preserve">h:</w:t>
                      </w:r>
                      <w:r>
                        <w:rPr>
                          <w:color w:val="000000" w:themeColor="text1"/>
                          <w:highlight w:val="none"/>
                        </w:rPr>
                        <w:t xml:space="preserve"> </w:t>
                      </w:r>
                      <w:r>
                        <w:rPr>
                          <w:color w:val="000000" w:themeColor="text1"/>
                          <w:highlight w:val="none"/>
                        </w:rPr>
                        <w:t xml:space="preserve">Q</w:t>
                      </w:r>
                      <w:r>
                        <w:rPr>
                          <w:color w:val="000000" w:themeColor="text1"/>
                        </w:rPr>
                        <w:t xml:space="preserve">uyền sử dụng đất </w:t>
                      </w:r>
                      <w:r>
                        <w:rPr>
                          <w:color w:val="000000" w:themeColor="text1"/>
                        </w:rPr>
                        <w:t xml:space="preserve">tại thửa đất số 81, tờ bản đồ số 171-A-2, có địa chỉ thôn Ngọc Chử, </w:t>
                      </w:r>
                      <w:r>
                        <w:rPr>
                          <w:color w:val="000000" w:themeColor="text1"/>
                        </w:rPr>
                        <w:t xml:space="preserve">xã Trường Thọ, huyện An Lão, th</w:t>
                      </w:r>
                      <w:r>
                        <w:rPr>
                          <w:color w:val="000000" w:themeColor="text1"/>
                        </w:rPr>
                        <w:t xml:space="preserve">ành phố Hải Phòng (nay là xã An Trườn</w:t>
                      </w:r>
                      <w:r>
                        <w:rPr>
                          <w:color w:val="000000" w:themeColor="text1"/>
                        </w:rPr>
                        <w:t xml:space="preserve">g, thành phố </w:t>
                      </w:r>
                      <w:r>
                        <w:rPr>
                          <w:color w:val="000000"/>
                        </w:rPr>
                        <w:t xml:space="preserve">Hải Phòng) theo Giấy chứng nhận quyền sử dụng đất, quyền sở hữu nhà ở và tài sản gắn liền với đất số: BS 425163, số vào sổ cấp GCN: CH 0067/AL do UBND huyện An Lão cấp ngày 24/04/2015. Chủ sử dụng đất là ông Bùi Văn Hùy và bà Nguyễn Thị Chúc.</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1-3</w:t>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4-21</w:t>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none"/>
              </w:rPr>
            </w:pPr>
            <w:r>
              <w:rPr>
                <w:b/>
                <w:bCs/>
                <w:highlight w:val="none"/>
              </w:rPr>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22-25</w:t>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26</w:t>
            </w:r>
            <w:r>
              <w:rPr>
                <w:b/>
                <w:bCs/>
                <w:highlight w:val="none"/>
              </w:rPr>
              <w:t xml:space="preserve">-36</w:t>
            </w:r>
            <w:r>
              <w:rPr>
                <w:b/>
                <w:bCs/>
                <w:highlight w:val="none"/>
              </w:rPr>
            </w:r>
            <w:r>
              <w:rPr>
                <w:b/>
                <w:bCs/>
                <w:highlight w:val="none"/>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1984"/>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4385"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275/2026/1058/VFI-CT.C01.A                                             </w:t>
            </w: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11 tháng 7 năm 2026</w:t>
            </w:r>
            <w:r>
              <w:rPr>
                <w:color w:val="000000" w:themeColor="text1"/>
                <w:sz w:val="24"/>
                <w:szCs w:val="24"/>
              </w:rPr>
            </w:r>
            <w:r>
              <w:rPr>
                <w:color w:val="000000" w:themeColor="text1"/>
                <w:sz w:val="24"/>
                <w:szCs w:val="24"/>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Chúc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275/2026/1058/VFI-HĐTĐ.C01.A</w:t>
      </w:r>
      <w:r>
        <w:rPr>
          <w:spacing w:val="-4"/>
          <w:lang w:val="vi-VN"/>
        </w:rPr>
        <w:t xml:space="preserve"> ký </w:t>
      </w:r>
      <w:r>
        <w:rPr>
          <w:spacing w:val="-4"/>
          <w:lang w:val="vi-VN"/>
        </w:rPr>
        <w:t xml:space="preserve">ngày </w:t>
      </w:r>
      <w:r>
        <w:rPr>
          <w:color w:val="000000" w:themeColor="text1"/>
          <w:spacing w:val="-4"/>
        </w:rPr>
        <w:t xml:space="preserve">9 tháng 7 năm 2026</w:t>
      </w:r>
      <w:r>
        <w:rPr>
          <w:spacing w:val="-4"/>
          <w:lang w:val="vi-VN"/>
        </w:rPr>
        <w:t xml:space="preserve"> </w:t>
      </w:r>
      <w:r>
        <w:rPr>
          <w:spacing w:val="-4"/>
          <w:lang w:val="vi-VN"/>
        </w:rPr>
        <w:t xml:space="preserve">giữa </w:t>
      </w:r>
      <w:r>
        <w:rPr>
          <w:color w:val="000000" w:themeColor="text1"/>
          <w:spacing w:val="-4"/>
        </w:rPr>
        <w:t xml:space="preserve">Bà Nguyễn Thị Chúc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275/2026/1058/VFI-BC.C01.A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Thị Chúc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031170002165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Ngọc Chử 2, xã An Trường, thành phố Hải Phòng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w:t>
      </w:r>
      <w:commentRangeStart w:id="0"/>
      <w:r>
        <w:rPr>
          <w:b/>
          <w:bCs/>
        </w:rPr>
        <w:t xml:space="preserve">thẩm</w:t>
      </w:r>
      <w:commentRangeEnd w:id="0"/>
      <w:r>
        <w:commentReference w:id="0"/>
      </w:r>
      <w:r>
        <w:rPr>
          <w:b/>
          <w:bCs/>
        </w:rPr>
        <w:t xml:space="preserve"> định</w:t>
      </w:r>
      <w:r>
        <w:rPr>
          <w:b/>
          <w:bCs/>
          <w:lang w:val="vi-VN"/>
        </w:rPr>
        <w:t xml:space="preserve">:</w:t>
      </w:r>
      <w:r>
        <w:rPr>
          <w:color w:val="000000" w:themeColor="text1"/>
        </w:rPr>
        <w:t xml:space="preserve"> </w:t>
      </w:r>
      <w:r>
        <w:rPr>
          <w:color w:val="000000" w:themeColor="text1"/>
          <w:highlight w:val="none"/>
        </w:rPr>
        <w:t xml:space="preserve">Tài sản thẩm địn</w:t>
      </w:r>
      <w:r>
        <w:rPr>
          <w:color w:val="000000" w:themeColor="text1"/>
          <w:highlight w:val="none"/>
        </w:rPr>
        <w:t xml:space="preserve">h:</w:t>
      </w:r>
      <w:r>
        <w:rPr>
          <w:color w:val="000000" w:themeColor="text1"/>
          <w:highlight w:val="none"/>
        </w:rPr>
        <w:t xml:space="preserve"> </w:t>
      </w:r>
      <w:r>
        <w:rPr>
          <w:color w:val="000000" w:themeColor="text1"/>
          <w:highlight w:val="none"/>
        </w:rPr>
        <w:t xml:space="preserve">Q</w:t>
      </w:r>
      <w:r>
        <w:rPr>
          <w:color w:val="000000" w:themeColor="text1"/>
        </w:rPr>
        <w:t xml:space="preserve">uyền sử dụng đất </w:t>
      </w:r>
      <w:r>
        <w:rPr>
          <w:color w:val="000000" w:themeColor="text1"/>
        </w:rPr>
        <w:t xml:space="preserve">tại thửa đất số 81, tờ bản đồ số 171-A-2, có địa chỉ thôn Ngọc Chử, </w:t>
      </w:r>
      <w:r>
        <w:rPr>
          <w:color w:val="000000" w:themeColor="text1"/>
        </w:rPr>
        <w:t xml:space="preserve">xã Trường Thọ, huyện An Lão, th</w:t>
      </w:r>
      <w:r>
        <w:rPr>
          <w:color w:val="000000" w:themeColor="text1"/>
        </w:rPr>
        <w:t xml:space="preserve">ành phố Hải Phòng (nay là xã An Trườn</w:t>
      </w:r>
      <w:r>
        <w:rPr>
          <w:color w:val="000000" w:themeColor="text1"/>
        </w:rPr>
        <w:t xml:space="preserve">g, thành phố </w:t>
      </w:r>
      <w:r>
        <w:rPr>
          <w:color w:val="000000"/>
        </w:rPr>
        <w:t xml:space="preserve">Hải Phòng) theo Giấy chứng nhận quyền sử dụng đất, quyền sở hữu nhà ở và tài sản gắn liền với đất số: BS 425163, số vào sổ cấp GCN: CH 0067/AL do UBND huyện An Lão  cấp ngày 24/04/2015. Chủ sử dụng đất là ông Bùi Văn Hùy và bà Nguyễn Thị Chúc.</w:t>
      </w:r>
      <w:r>
        <w:rPr>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ind/>
              <w:jc w:val="both"/>
              <w:rPr/>
            </w:pPr>
            <w:r>
              <w:rPr>
                <w:b/>
                <w:color w:val="000000" w:themeColor="text1"/>
              </w:rPr>
            </w:r>
            <w:r>
              <w:rPr>
                <w:color w:val="000000" w:themeColor="text1"/>
                <w:highlight w:val="none"/>
              </w:rPr>
              <w:t xml:space="preserve">Tài sản thẩm địn</w:t>
            </w:r>
            <w:r>
              <w:rPr>
                <w:color w:val="000000" w:themeColor="text1"/>
                <w:highlight w:val="none"/>
              </w:rPr>
              <w:t xml:space="preserve">h:</w:t>
            </w:r>
            <w:r>
              <w:rPr>
                <w:color w:val="000000" w:themeColor="text1"/>
                <w:highlight w:val="none"/>
              </w:rPr>
              <w:t xml:space="preserve"> </w:t>
            </w:r>
            <w:r>
              <w:rPr>
                <w:color w:val="000000" w:themeColor="text1"/>
                <w:highlight w:val="none"/>
              </w:rPr>
              <w:t xml:space="preserve">Q</w:t>
            </w:r>
            <w:r>
              <w:rPr>
                <w:color w:val="000000" w:themeColor="text1"/>
              </w:rPr>
              <w:t xml:space="preserve">uyền sử dụng đất </w:t>
            </w:r>
            <w:r>
              <w:rPr>
                <w:color w:val="000000" w:themeColor="text1"/>
              </w:rPr>
              <w:t xml:space="preserve">tại thửa đất số 81, tờ bản đồ số 171-A-2, có địa chỉ thôn Ngọc Chử, </w:t>
            </w:r>
            <w:r>
              <w:rPr>
                <w:color w:val="000000" w:themeColor="text1"/>
              </w:rPr>
              <w:t xml:space="preserve">xã Trường Thọ, huyện An Lão, th</w:t>
            </w:r>
            <w:r>
              <w:rPr>
                <w:color w:val="000000" w:themeColor="text1"/>
              </w:rPr>
              <w:t xml:space="preserve">ành phố Hải Phòng (nay là xã An Trườn</w:t>
            </w:r>
            <w:r>
              <w:rPr>
                <w:color w:val="000000" w:themeColor="text1"/>
              </w:rPr>
              <w:t xml:space="preserve">g, thành phố </w:t>
            </w:r>
            <w:r>
              <w:rPr>
                <w:color w:val="000000"/>
              </w:rPr>
              <w:t xml:space="preserve">Hải Phòng) theo Giấy chứng nhận quyền sử dụng đất, quyền sở hữu nhà ở và tài sản gắn liền với đất số: BS 425163, số vào sổ cấp GCN: CH 0067/AL do UBND huyện An Lão  cấp ngày 24/04/2015. Chủ sử dụng đất là ông Bùi Văn Hùy và bà Nguyễn Thị Chúc.</w:t>
            </w:r>
            <w:r>
              <w:rPr>
                <w:bCs/>
                <w:i/>
                <w:iCs/>
              </w:rPr>
            </w: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251</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46.000.000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11.546.000.000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11.546.000.000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một tỷ năm trăm bốn mươi sáu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29"/>
        <w:gridCol w:w="1701"/>
        <w:gridCol w:w="12688"/>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4389"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275/2026/1058/VFI-BC.C01.A                                             </w:t>
            </w: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11 tháng 7 năm 2026</w:t>
            </w:r>
            <w:r>
              <w:rPr>
                <w:color w:val="000000" w:themeColor="text1"/>
                <w:sz w:val="24"/>
                <w:szCs w:val="24"/>
              </w:rPr>
            </w:r>
            <w:r>
              <w:rPr>
                <w:color w:val="000000" w:themeColor="text1"/>
                <w:sz w:val="24"/>
                <w:szCs w:val="24"/>
              </w:rPr>
            </w:r>
          </w:p>
        </w:tc>
      </w:tr>
      <w:tr>
        <w:trPr>
          <w:gridBefore w:val="1"/>
          <w:trHeight w:val="84"/>
        </w:trPr>
        <w:tc>
          <w:tcPr>
            <w:shd w:val="clear" w:color="auto" w:fill="auto"/>
            <w:tcBorders/>
            <w:tcMar>
              <w:left w:w="108" w:type="dxa"/>
              <w:top w:w="0" w:type="dxa"/>
              <w:right w:w="108" w:type="dxa"/>
              <w:bottom w:w="0" w:type="dxa"/>
            </w:tcMar>
            <w:tcW w:w="1701" w:type="dxa"/>
            <w:textDirection w:val="lrTb"/>
            <w:noWrap w:val="false"/>
          </w:tcPr>
          <w:p>
            <w:pPr>
              <w:pBdr/>
              <w:spacing/>
              <w:ind/>
              <w:rPr/>
            </w:pPr>
            <w:r/>
            <w:r/>
          </w:p>
        </w:tc>
        <w:tc>
          <w:tcPr>
            <w:shd w:val="clear" w:color="auto" w:fill="auto"/>
            <w:tcBorders/>
            <w:tcMar>
              <w:left w:w="108" w:type="dxa"/>
              <w:top w:w="0" w:type="dxa"/>
              <w:right w:w="108" w:type="dxa"/>
              <w:bottom w:w="0" w:type="dxa"/>
            </w:tcMar>
            <w:tcW w:w="12688" w:type="dxa"/>
            <w:textDirection w:val="lrTb"/>
            <w:noWrap w:val="false"/>
          </w:tcPr>
          <w:p>
            <w:pPr>
              <w:pStyle w:val="1032"/>
              <w:pBdr/>
              <w:spacing w:after="6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275/2026/1058/VFI-CT.C01.A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Nguyễn Thị Chúc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031170002165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1970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Ngọc Chử 2, xã An Trường, thành phố Hải Phòng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highlight w:val="yellow"/>
              </w:rPr>
            </w:pPr>
            <w:r>
              <w:rPr>
                <w:bCs/>
                <w:highlight w:val="yellow"/>
                <w:lang w:val="pt-BR"/>
              </w:rPr>
              <w:t xml:space="preserve">Tài sản thẩm định giá</w:t>
            </w:r>
            <w:r>
              <w:rPr>
                <w:bCs/>
                <w:highlight w:val="yellow"/>
              </w:rPr>
            </w:r>
            <w:r>
              <w:rPr>
                <w:bCs/>
                <w:highlight w:val="yellow"/>
              </w:rPr>
            </w:r>
          </w:p>
        </w:tc>
        <w:tc>
          <w:tcPr>
            <w:tcBorders/>
            <w:tcW w:w="284" w:type="dxa"/>
            <w:vAlign w:val="center"/>
            <w:textDirection w:val="lrTb"/>
            <w:noWrap w:val="false"/>
          </w:tcPr>
          <w:p>
            <w:pPr>
              <w:pStyle w:val="1033"/>
              <w:pBdr/>
              <w:spacing w:after="60" w:before="60" w:line="276" w:lineRule="auto"/>
              <w:ind w:left="0"/>
              <w:rPr>
                <w:bCs/>
                <w:highlight w:val="yellow"/>
              </w:rPr>
            </w:pPr>
            <w:r>
              <w:rPr>
                <w:bCs/>
                <w:highlight w:val="yellow"/>
                <w:lang w:val="pt-BR"/>
              </w:rPr>
              <w:t xml:space="preserve">:</w:t>
            </w:r>
            <w:r>
              <w:rPr>
                <w:bCs/>
                <w:highlight w:val="yellow"/>
              </w:rPr>
            </w:r>
            <w:r>
              <w:rPr>
                <w:bCs/>
                <w:highlight w:val="yellow"/>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highlight w:val="yellow"/>
                <w:lang w:val="pt-BR"/>
              </w:rPr>
            </w:r>
            <w:r>
              <w:rPr>
                <w:color w:val="000000" w:themeColor="text1"/>
                <w:highlight w:val="none"/>
              </w:rPr>
              <w:t xml:space="preserve">Tài sản thẩm địn</w:t>
            </w:r>
            <w:r>
              <w:rPr>
                <w:color w:val="000000" w:themeColor="text1"/>
                <w:highlight w:val="none"/>
              </w:rPr>
              <w:t xml:space="preserve">h:</w:t>
            </w:r>
            <w:r>
              <w:rPr>
                <w:color w:val="000000" w:themeColor="text1"/>
                <w:highlight w:val="none"/>
              </w:rPr>
              <w:t xml:space="preserve"> </w:t>
            </w:r>
            <w:r>
              <w:rPr>
                <w:color w:val="000000" w:themeColor="text1"/>
                <w:highlight w:val="none"/>
              </w:rPr>
              <w:t xml:space="preserve">Q</w:t>
            </w:r>
            <w:r>
              <w:rPr>
                <w:color w:val="000000" w:themeColor="text1"/>
              </w:rPr>
              <w:t xml:space="preserve">uyền sử dụng đất </w:t>
            </w:r>
            <w:r>
              <w:rPr>
                <w:color w:val="000000" w:themeColor="text1"/>
              </w:rPr>
              <w:t xml:space="preserve">tại thửa đất số 81, tờ bản đồ số 171-A-2, có địa chỉ thôn Ngọc Chử, </w:t>
            </w:r>
            <w:r>
              <w:rPr>
                <w:color w:val="000000" w:themeColor="text1"/>
              </w:rPr>
              <w:t xml:space="preserve">xã Trường Thọ, huyện An Lão, th</w:t>
            </w:r>
            <w:r>
              <w:rPr>
                <w:color w:val="000000" w:themeColor="text1"/>
              </w:rPr>
              <w:t xml:space="preserve">ành phố Hải Phòng (nay là xã An Trườn</w:t>
            </w:r>
            <w:r>
              <w:rPr>
                <w:color w:val="000000" w:themeColor="text1"/>
              </w:rPr>
              <w:t xml:space="preserve">g, thành phố </w:t>
            </w:r>
            <w:r>
              <w:rPr>
                <w:color w:val="000000"/>
              </w:rPr>
              <w:t xml:space="preserve">Hải Phòng) theo Giấy chứng nhận quyền sử dụng đất, quyền sở hữu nhà ở và tài sản gắn liền với đất số: BS 425163, số vào sổ cấp GCN: CH 0067/AL do UBND huyện An Lão  cấp ngày 24/04/2015. Chủ sử dụng đất là ông Bùi Văn Hùy và bà Nguyễn Thị Chúc.</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An Trường,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20.84925, 106.54425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10/07/2026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w:t>
      </w:r>
      <w:r>
        <w:rPr>
          <w:bCs/>
          <w:spacing w:val="-4"/>
          <w:lang w:val="pt-BR"/>
        </w:rPr>
        <w:t xml:space="preserve">số 409/QĐ-BXD ngày 11/4/2025 của Bộ Xây dựng về việc Công bố suất vốn đầu tư xây dựng công trình và giá xây dựng tổng hợp bộ phận kết cấu công trình năm 2024</w:t>
      </w:r>
      <w:r>
        <w:rPr>
          <w:bCs/>
          <w:spacing w:val="-4"/>
          <w:lang w:val="pt-BR"/>
        </w:rPr>
        <w:t xml:space="preserve">;</w:t>
      </w:r>
      <w:r>
        <w:rPr>
          <w:bCs/>
          <w:spacing w:val="-4"/>
          <w:lang w:val="pt-BR"/>
        </w:rPr>
      </w:r>
      <w:r>
        <w:rPr>
          <w:bCs/>
          <w:spacing w:val="-4"/>
          <w:lang w:val="pt-BR"/>
        </w:rPr>
      </w:r>
    </w:p>
    <w:p>
      <w:pPr>
        <w:pStyle w:val="1033"/>
        <w:numPr>
          <w:ilvl w:val="0"/>
          <w:numId w:val="41"/>
        </w:numPr>
        <w:pBdr/>
        <w:spacing w:after="120" w:before="120" w:line="276" w:lineRule="auto"/>
        <w:ind/>
        <w:jc w:val="both"/>
        <w:rPr>
          <w:bCs/>
          <w:spacing w:val="-4"/>
          <w:lang w:val="pt-BR"/>
        </w:rPr>
      </w:pPr>
      <w:r>
        <w:rPr>
          <w:bCs/>
          <w:spacing w:val="-4"/>
          <w:lang w:val="pt-BR"/>
        </w:rPr>
        <w:t xml:space="preserve">Quyết định </w:t>
      </w:r>
      <w:r>
        <w:rPr>
          <w:bCs/>
          <w:spacing w:val="-4"/>
          <w:lang w:val="pt-BR"/>
        </w:rPr>
        <w:t xml:space="preserve">số 425/QĐ-BXD ngày 30/3/2025 của Bộ Xây dựng về việc Công bố suất vốn đầu tư xây dựng công trình và giá xây dựng tổng hợp bộ phận kết cấu công trình năm 2025</w:t>
      </w:r>
      <w:r>
        <w:rPr>
          <w:bCs/>
          <w:spacing w:val="-4"/>
          <w:lang w:val="pt-BR"/>
        </w:rPr>
        <w:t xml:space="preserve">;</w:t>
      </w:r>
      <w:r>
        <w:rPr>
          <w:bCs/>
          <w:spacing w:val="-4"/>
          <w:lang w:val="pt-BR"/>
        </w:rPr>
      </w:r>
      <w:r>
        <w:rPr>
          <w:bCs/>
          <w:spacing w:val="-4"/>
          <w:lang w:val="pt-BR"/>
        </w:rPr>
      </w:r>
    </w:p>
    <w:p>
      <w:pPr>
        <w:pStyle w:val="1033"/>
        <w:numPr>
          <w:ilvl w:val="0"/>
          <w:numId w:val="1"/>
        </w:numPr>
        <w:pBdr/>
        <w:spacing w:after="120" w:before="120" w:line="276" w:lineRule="auto"/>
        <w:ind/>
        <w:jc w:val="both"/>
        <w:rPr>
          <w:rFonts w:ascii="Times New Roman" w:hAnsi="Times New Roman" w:cs="Times New Roman"/>
          <w:spacing w:val="-4"/>
          <w:sz w:val="24"/>
          <w:szCs w:val="24"/>
        </w:rPr>
      </w:pPr>
      <w:r>
        <w:rPr>
          <w:rFonts w:ascii="Times New Roman" w:hAnsi="Times New Roman" w:eastAsia="Times New Roman" w:cs="Times New Roman"/>
          <w:color w:val="000000"/>
          <w:sz w:val="24"/>
          <w:szCs w:val="24"/>
        </w:rPr>
        <w:t xml:space="preserve">Nghị quyết số 85/NQ-HĐND</w:t>
      </w:r>
      <w:r>
        <w:rPr>
          <w:rFonts w:ascii="Times New Roman" w:hAnsi="Times New Roman" w:eastAsia="Times New Roman" w:cs="Times New Roman"/>
          <w:bCs/>
          <w:spacing w:val="-4"/>
          <w:sz w:val="24"/>
          <w:szCs w:val="24"/>
          <w:highlight w:val="none"/>
          <w:lang w:val="pt-BR" w:bidi="pt-BR"/>
        </w:rPr>
        <w:t xml:space="preserve"> ngày 11/12/2025 của HĐND thành phố Hải Phòng về việc ban hành bảng giá đất lần đầu trên địa bàn thành phố</w:t>
      </w:r>
      <w:r>
        <w:rPr>
          <w:rFonts w:ascii="Times New Roman" w:hAnsi="Times New Roman" w:cs="Times New Roman"/>
          <w:spacing w:val="-4"/>
          <w:sz w:val="24"/>
          <w:szCs w:val="24"/>
        </w:rPr>
      </w:r>
      <w:r>
        <w:rPr>
          <w:rFonts w:ascii="Times New Roman" w:hAnsi="Times New Roman" w:cs="Times New Roman"/>
          <w:spacing w:val="-4"/>
          <w:sz w:val="24"/>
          <w:szCs w:val="24"/>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bidi="pt-BR"/>
        </w:rPr>
      </w:r>
      <w:r>
        <w:rPr>
          <w:lang w:val="pt-BR"/>
        </w:rPr>
        <w:t xml:space="preserve">Nghị quyết số  85/NQ-HĐND của Hội đồng nhân dân thành phố Hải Phòng ban hành ngày </w:t>
      </w:r>
      <w:r>
        <w:rPr>
          <w:lang w:val="pt-BR"/>
        </w:rPr>
        <w:t xml:space="preserve">11/12/2025 về bảng giá đất lần đầu trên địa bàn thành phố.</w:t>
      </w:r>
      <w:r>
        <w:rPr>
          <w:lang w:val="pt-BR"/>
          <w14:ligatures w14:val="none"/>
        </w:rPr>
      </w:r>
      <w:r>
        <w:rPr>
          <w:lang w:val="pt-BR"/>
          <w14:ligatures w14:val="none"/>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w:t>
      </w:r>
      <w:r>
        <w:rPr>
          <w:lang w:val="pt-BR"/>
        </w:rPr>
        <w:t xml:space="preserve">bản pháp luật có liên qu</w:t>
      </w:r>
      <w:r>
        <w:rPr>
          <w:lang w:val="pt-BR"/>
        </w:rPr>
        <w:t xml:space="preserve">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gắn liền với đất số: BS 425163, số vào sổ cấp GCN: CH 0067/AL do UBND huyện An Lão  cấp ngày 24/04/2015. Chủ sử dụng đất là ông Bùi Văn Hùy và bà Nguyễn Thị Chúc</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275/2026/1058/VFI-HĐTĐ.C01.</w:t>
      </w:r>
      <w:r>
        <w:rPr>
          <w:color w:val="000000" w:themeColor="text1"/>
          <w:highlight w:val="none"/>
          <w:lang w:val="pt-BR"/>
        </w:rPr>
        <w:t xml:space="preserve">A </w:t>
      </w:r>
      <w:r>
        <w:rPr>
          <w:color w:val="ff0000"/>
          <w:highlight w:val="none"/>
          <w:lang w:val="pt-BR"/>
        </w:rPr>
        <w:t xml:space="preserve">ngày</w:t>
      </w:r>
      <w:r>
        <w:rPr>
          <w:color w:val="000000" w:themeColor="text1"/>
          <w:highlight w:val="none"/>
          <w:lang w:val="pt-BR"/>
        </w:rPr>
        <w:t xml:space="preserve"> </w:t>
      </w:r>
      <w:r>
        <w:rPr>
          <w:color w:val="000000" w:themeColor="text1"/>
          <w:highlight w:val="none"/>
          <w:lang w:val="pt-BR"/>
        </w:rPr>
        <w:t xml:space="preserve">9</w:t>
      </w:r>
      <w:r>
        <w:rPr>
          <w:color w:val="000000" w:themeColor="text1"/>
          <w:highlight w:val="yellow"/>
          <w:lang w:val="pt-BR"/>
        </w:rPr>
        <w:t xml:space="preserve">/</w:t>
      </w:r>
      <w:r>
        <w:rPr>
          <w:color w:val="000000" w:themeColor="text1"/>
          <w:highlight w:val="yellow"/>
          <w:lang w:val="pt-BR"/>
        </w:rPr>
        <w:t xml:space="preserve">07/</w:t>
      </w:r>
      <w:r>
        <w:rPr>
          <w:color w:val="000000" w:themeColor="text1"/>
          <w:highlight w:val="yellow"/>
          <w:lang w:val="pt-BR"/>
        </w:rPr>
        <w:t xml:space="preserve">2026</w:t>
      </w:r>
      <w:r>
        <w:rPr>
          <w:color w:val="000000" w:themeColor="text1"/>
          <w:lang w:val="pt-BR"/>
        </w:rPr>
        <w:t xml:space="preserve"> giữa </w:t>
      </w:r>
      <w:r>
        <w:rPr>
          <w:color w:val="ff0000"/>
          <w:lang w:val="pt-BR"/>
        </w:rPr>
        <w:t xml:space="preserve">bà</w:t>
      </w:r>
      <w:r>
        <w:rPr>
          <w:color w:val="000000" w:themeColor="text1"/>
          <w:lang w:val="pt-BR"/>
        </w:rPr>
        <w:t xml:space="preserve"> Nguyễn Thị Chúc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bCs/>
          <w:i/>
          <w:iCs/>
          <w:lang w:val="pt-BR"/>
        </w:rPr>
      </w:pPr>
      <w:r>
        <w:rPr>
          <w:lang w:val="pt-BR"/>
        </w:rPr>
        <w:tab/>
      </w:r>
      <w:r>
        <w:rPr>
          <w:shd w:val="clear" w:color="auto" w:fill="ffffff"/>
        </w:rPr>
        <w:t xml:space="preserve">Giàu triển vọng thị trường bất động sản thương mại tại Hải Phòng</w:t>
        <w:br/>
        <w:t xml:space="preserve">Sự phát triển mạnh mẽ của các khu công nghiệp, làn sóng lao đ</w:t>
      </w:r>
      <w:r>
        <w:rPr>
          <w:shd w:val="clear" w:color="auto" w:fill="ffffff"/>
        </w:rPr>
        <w:t xml:space="preserve">ộng đổ về, tỷ lệ đô thị hóa tăng cao đang tạo đà để thị trường bất động sản thương mại tại Hải Phòng phát triển sôi động hơn.</w:t>
        <w:br/>
        <w:t xml:space="preserve">Nhu cầu nhà ở thực dự báo góp phần thúc đẩy thị trường bất động sản thương mại Hải Phòng sôi động hơn trong băm 2026. Trong ảnh: K</w:t>
      </w:r>
      <w:r>
        <w:rPr>
          <w:shd w:val="clear" w:color="auto" w:fill="ffffff"/>
        </w:rPr>
        <w:t xml:space="preserve">hu tái định cư 226 Lê Lai, phường Ngô Quyền.</w:t>
        <w:br/>
        <w:t xml:space="preserve">Nhu cầu nhà ở thực dự báo góp phần thúc đẩy thị trường bất động sản thương mại Hải Phòng sôi động hơn trong năm 2026. Trong ảnh: Khu tái định cư 226 Lê Lai, phường Ngô Quyền.</w:t>
        <w:br/>
        <w:t xml:space="preserve">Hội tụ cơ hội phát triển</w:t>
        <w:br/>
        <w:t xml:space="preserve">Theo báo cá</w:t>
      </w:r>
      <w:r>
        <w:rPr>
          <w:shd w:val="clear" w:color="auto" w:fill="ffffff"/>
        </w:rPr>
        <w:t xml:space="preserve">o tại phiên họp thường kỳ tháng 1/2026 của UBND thành phố, ngay trong tháng đầu năm, kinh tế – xã hội thành phố ghi nhận sự tăng trưởng bứt phá, tạo đà cho năm mới và đánh dấu khởi đầu tốt đẹp thực hiện kế hoạch 5 năm.</w:t>
        <w:br/>
        <w:t xml:space="preserve">Tổng thu ngân sách nhà nước trên địa </w:t>
      </w:r>
      <w:r>
        <w:rPr>
          <w:shd w:val="clear" w:color="auto" w:fill="ffffff"/>
        </w:rPr>
        <w:t xml:space="preserve">bàn ước đạt 20.789 tỷ đồng, bằng 110,2% so với cùng kỳ năm 2025. Chỉ số sản xuất công nghiệp (IIP) ước tăng 36,2% so với cùng kỳ năm trước, trong đó ngành chế biến, chế tạo tăng 38,78%. Đặc biệt, thu hút vốn đầu tư trực tiếp nước ngoài (FDI) vào Hải Phòng </w:t>
      </w:r>
      <w:r>
        <w:rPr>
          <w:shd w:val="clear" w:color="auto" w:fill="ffffff"/>
        </w:rPr>
        <w:t xml:space="preserve">đạt khoảng 412,68 triệu USD, tăng 69% so với tháng 1/2025.</w:t>
        <w:br/>
        <w:t xml:space="preserve">Cùng với tăng trưởng kinh tế, hạ tầng giao thông - đô thị của Hải Phòng đang tiếp tục được đầu tư mạnh mẽ, phát triển đồng bộ các loại hình giao thông, mở rộng liên kết vùng. Hàng loạt các dự án tr</w:t>
      </w:r>
      <w:r>
        <w:rPr>
          <w:shd w:val="clear" w:color="auto" w:fill="ffffff"/>
        </w:rPr>
        <w:t xml:space="preserve">ọng điểm đang đẩy nhanh tiến độ thực hiện, như: tuyến đường vành đai 2, cầu Nguyễn Trãi, nâng cấp Cảng Hàng không Cát Bi, đầu tư mở rộng cảng nước sâu Lạch Huyện, tuyến đường sắt Hà Nội - Lào Cai - Hải Phòng.</w:t>
        <w:br/>
        <w:t xml:space="preserve">Đặc biệt, sau 8 tháng hợp nhất hai địa phương t</w:t>
      </w:r>
      <w:r>
        <w:rPr>
          <w:shd w:val="clear" w:color="auto" w:fill="ffffff"/>
        </w:rPr>
        <w:t xml:space="preserve">ừ ngày 1/7/2025, với không gian rộng mở, định hướng phát triển thành phố Hải Phòng mới với quy mô dân số 4,6 triệu dân, diện tích hơn 3.194 km2 được hoạch định rõ nét. Tổ chức bộ máy, công tác vận hành các cơ quan Đảng, chính quyền và đoàn thể đến nay cơ b</w:t>
      </w:r>
      <w:r>
        <w:rPr>
          <w:shd w:val="clear" w:color="auto" w:fill="ffffff"/>
        </w:rPr>
        <w:t xml:space="preserve">ản ổn định, thông suốt, tạo niềm tin của người dân và “yên tâm” đối với các nhà đầu tư.</w:t>
        <w:br/>
        <w:t xml:space="preserve">Theo Chủ tịch Hiệp hội Bất động sản Hải Phòng Nguyễn Quang Văn, những yếu tố trên đã tác động trực tiếp, gia tăng sức hấp dẫn và mở ra cơ hội phát triển mạnh mẽ của thị</w:t>
      </w:r>
      <w:r>
        <w:rPr>
          <w:shd w:val="clear" w:color="auto" w:fill="ffffff"/>
        </w:rPr>
        <w:t xml:space="preserve"> trường bất động sản Hải Phòng trong năm 2026, đặc biệt là bất động sản thương mại bao gồm: nhà ở chất lượng cao, nhà ở xã hội, đất phân lô và đất thổ cư</w:t>
        <w:br/>
        <w:t xml:space="preserve">Nhiều khu vực tiềm năng</w:t>
        <w:br/>
        <w:t xml:space="preserve">Theo Điều chỉnh Quy hoạch thành phố Hải Phòng thời kỳ 2021- 2030, tầm nhìn đến</w:t>
      </w:r>
      <w:r>
        <w:rPr>
          <w:shd w:val="clear" w:color="auto" w:fill="ffffff"/>
        </w:rPr>
        <w:t xml:space="preserve"> năm 2050, Hải Phòng xác định phát triển với 4 khu vực động lực là cảng biển - logistics quốc tế theo trục Đình Vũ - Lạch Huyện - Cát Hải, Nam Đồ Sơn. Công nghiệp xanh, thông minh tập trung tại phía đông, Khu kinh tế ven biển phía Nam là hạt nhân. Du lịch </w:t>
      </w:r>
      <w:r>
        <w:rPr>
          <w:shd w:val="clear" w:color="auto" w:fill="ffffff"/>
        </w:rPr>
        <w:t xml:space="preserve">biển đảo Cát Bà - Đồ Sơn - Trung tâm đô thị Hải Phòng và du lịch văn hóa - tâm linh - sinh thái gắn với di sản văn hóa thế giới Côn Sơn - Kiếp Bạc. Trung tâm Chính trị - Hành chính thành phố làm hạt nhân và phát triển đô thị dọc 2 bờ sông Cấm.</w:t>
        <w:br/>
        <w:t xml:space="preserve">Với định hướ</w:t>
      </w:r>
      <w:r>
        <w:rPr>
          <w:shd w:val="clear" w:color="auto" w:fill="ffffff"/>
        </w:rPr>
        <w:t xml:space="preserve">ng không gian phát triển này, dư địa và tiềm năng phát triển bất động sản thương mại năm 2026 và những năm tiếp theo tại Hải Phòng sẽ trải đều trên nhiều khu vực cả ở Đông và Tây. Trong đó, một số khu vực đang trở thành “tâm điểm” đầu tư mới, giao dịch sôi</w:t>
      </w:r>
      <w:r>
        <w:rPr>
          <w:shd w:val="clear" w:color="auto" w:fill="ffffff"/>
        </w:rPr>
        <w:t xml:space="preserve"> động nhờ có các khu công nghiệp lớn trên địa bàn và các dự án khu đô thị, nhà ở xã hội quy mô lớn đang triển khai như: phường Thủy Nguyên, phường Hưng Đạo, phường Tân Hưng, phường An Dương, phường An Phong…</w:t>
        <w:br/>
        <w:t xml:space="preserve">Theo đánh giá của ông Đặng Văn Hùng, Giám đốc Fo</w:t>
      </w:r>
      <w:r>
        <w:rPr>
          <w:shd w:val="clear" w:color="auto" w:fill="ffffff"/>
        </w:rPr>
        <w:t xml:space="preserve">ur Home Hải Phòng, từ thực tiễn tỷ lệ hấp thụ thị trường bất động sản Hải Phòng năm 2025, dự báo nhu cầu thực về bất động sản thương mại tại Hải Phòng trong năm 2026 vẫn chiếm tỷ lệ cao. Trong đó, sản phẩm nhà ở thấp tầng, căn hộ vẫn sẽ chiếm tỷ lệ lớn trê</w:t>
      </w:r>
      <w:r>
        <w:rPr>
          <w:shd w:val="clear" w:color="auto" w:fill="ffffff"/>
        </w:rPr>
        <w:t xml:space="preserve">n tổng nguồn cung mới; đồng thời cũng là lựa chọn đáp ứng nhu cầu về nhà ở thực của người dân, đặc biệt là lực lượng lao động nhập cư, các chuyên gia.</w:t>
        <w:br/>
        <w:t xml:space="preserve">Nhu cầu, tiềm năng, cơ hội phát triển của thị trường bất động sản thương mại tại Hải Phòng năm 2026 rất l</w:t>
      </w:r>
      <w:r>
        <w:rPr>
          <w:shd w:val="clear" w:color="auto" w:fill="ffffff"/>
        </w:rPr>
        <w:t xml:space="preserve">ớn. Vấn đề cần thêm là tạo thuận lớn về cơ chế, chính sách, thu hút đầu tư.</w:t>
        <w:br/>
        <w:t xml:space="preserve">Cộng đồng doanh nghiệp mong muốn thành phố tiếp tục đồng hành các đơn vị, doanh nghiệp trong đầu tư, công khai, minh bạch thông tin về dự án kinh tế cũng như chính sách tăng trưởng</w:t>
      </w:r>
      <w:r>
        <w:rPr>
          <w:shd w:val="clear" w:color="auto" w:fill="ffffff"/>
        </w:rPr>
        <w:t xml:space="preserve"> ngành bất động sản, phát triển nhà ở, tiếp cận vốn vay để thúc đẩy thị trường bất động sản, gắn phát triển kinh tế với bảo đảm an sinh.</w:t>
        <w:br/>
        <w:t xml:space="preserve">(Nguồn tham khảo: https://baohaiphong.vn/giau-trien-vong-thi-truong-bat-dong-san-thuong-mai-tai-hai-phong-536026.html?)</w:t>
      </w:r>
      <w:r>
        <w:rPr>
          <w:bCs/>
          <w:i/>
          <w:iCs/>
          <w:lang w:val="pt-BR"/>
        </w:rPr>
      </w:r>
      <w:r>
        <w:rPr>
          <w:bCs/>
          <w:i/>
          <w:iCs/>
          <w:lang w:val="pt-BR"/>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highlight w:val="yellow"/>
              </w:rPr>
            </w:pPr>
            <w:r>
              <w:rPr>
                <w:b/>
                <w:bCs/>
                <w:color w:val="000000"/>
                <w:highlight w:val="yellow"/>
              </w:rPr>
            </w:r>
            <w:r>
              <w:rPr>
                <w:b/>
                <w:bCs/>
                <w:color w:val="000000" w:themeColor="text1"/>
                <w:highlight w:val="none"/>
              </w:rPr>
              <w:t xml:space="preserve">Tài sản thẩm địn</w:t>
            </w:r>
            <w:r>
              <w:rPr>
                <w:b/>
                <w:bCs/>
                <w:color w:val="000000" w:themeColor="text1"/>
                <w:highlight w:val="none"/>
              </w:rPr>
              <w:t xml:space="preserve">h:</w:t>
            </w:r>
            <w:r>
              <w:rPr>
                <w:b/>
                <w:bCs/>
                <w:color w:val="000000" w:themeColor="text1"/>
                <w:highlight w:val="none"/>
              </w:rPr>
              <w:t xml:space="preserve"> </w:t>
            </w:r>
            <w:r>
              <w:rPr>
                <w:b/>
                <w:bCs/>
                <w:color w:val="000000" w:themeColor="text1"/>
                <w:highlight w:val="none"/>
              </w:rPr>
              <w:t xml:space="preserve">Q</w:t>
            </w:r>
            <w:r>
              <w:rPr>
                <w:b/>
                <w:bCs/>
                <w:color w:val="000000" w:themeColor="text1"/>
              </w:rPr>
              <w:t xml:space="preserve">uyền sử dụng đất </w:t>
            </w:r>
            <w:r>
              <w:rPr>
                <w:b/>
                <w:bCs/>
                <w:color w:val="000000" w:themeColor="text1"/>
              </w:rPr>
              <w:t xml:space="preserve">tại thửa đất số 81, tờ bản đồ số 171-A-2, có địa chỉ thôn Ngọc Chử, </w:t>
            </w:r>
            <w:r>
              <w:rPr>
                <w:b/>
                <w:bCs/>
                <w:color w:val="000000" w:themeColor="text1"/>
              </w:rPr>
              <w:t xml:space="preserve">xã Trường Thọ, huyện An Lão, th</w:t>
            </w:r>
            <w:r>
              <w:rPr>
                <w:b/>
                <w:bCs/>
                <w:color w:val="000000" w:themeColor="text1"/>
              </w:rPr>
              <w:t xml:space="preserve">ành phố Hải Phòng (nay là xã An Trườn</w:t>
            </w:r>
            <w:r>
              <w:rPr>
                <w:b/>
                <w:bCs/>
                <w:color w:val="000000" w:themeColor="text1"/>
              </w:rPr>
              <w:t xml:space="preserve">g, thành phố </w:t>
            </w:r>
            <w:r>
              <w:rPr>
                <w:b/>
                <w:bCs/>
                <w:color w:val="000000"/>
              </w:rPr>
              <w:t xml:space="preserve">Hải Phòng) theo Giấy chứng nhận quyền sử dụng đất, quyền sở hữu nhà ở và tài sản gắn liền với đất số: BS 425163, số vào sổ cấp GCN: CH 0067/AL do UBND huyện An Lão  cấp ngày 24/04/2015. Chủ sử dụng đất là ông Bùi Văn Hùy và bà Nguyễn Thị Chúc</w:t>
            </w:r>
            <w:r>
              <w:rPr>
                <w:b/>
                <w:bCs/>
                <w:color w:val="000000"/>
                <w:highlight w:val="yellow"/>
              </w:rPr>
            </w:r>
            <w:r>
              <w:rPr>
                <w:b/>
                <w:bCs/>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171-A-2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rPr>
                <w:b w:val="0"/>
                <w:bCs w:val="0"/>
              </w:rPr>
            </w:pPr>
            <w:r>
              <w:rPr>
                <w:b w:val="0"/>
                <w:bCs w:val="0"/>
              </w:rPr>
            </w:r>
            <w:r>
              <w:rPr>
                <w:b w:val="0"/>
                <w:bCs w:val="0"/>
                <w:color w:val="000000" w:themeColor="text1"/>
              </w:rPr>
              <w:t xml:space="preserve">Thôn Ngọc Chử, </w:t>
            </w:r>
            <w:r>
              <w:rPr>
                <w:b w:val="0"/>
                <w:bCs w:val="0"/>
                <w:color w:val="000000" w:themeColor="text1"/>
              </w:rPr>
              <w:t xml:space="preserve">xã Trường Thọ, huyện An Lão, th</w:t>
            </w:r>
            <w:r>
              <w:rPr>
                <w:b w:val="0"/>
                <w:bCs w:val="0"/>
                <w:color w:val="000000" w:themeColor="text1"/>
              </w:rPr>
              <w:t xml:space="preserve">ành phố Hải Phòng (nay là xã An Trườn</w:t>
            </w:r>
            <w:r>
              <w:rPr>
                <w:b w:val="0"/>
                <w:bCs w:val="0"/>
                <w:color w:val="000000" w:themeColor="text1"/>
              </w:rPr>
              <w:t xml:space="preserve">g, thành phố </w:t>
            </w:r>
            <w:r>
              <w:rPr>
                <w:b w:val="0"/>
                <w:bCs w:val="0"/>
                <w:color w:val="000000"/>
              </w:rPr>
              <w:t xml:space="preserve">Hải Phòng)</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251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251 m2</w:t>
            </w:r>
            <w:r>
              <w:rPr>
                <w:color w:val="000000"/>
              </w:rPr>
            </w:r>
            <w:r>
              <w:rPr>
                <w:color w:val="000000"/>
              </w:rPr>
            </w:r>
          </w:p>
        </w:tc>
      </w:tr>
      <w:tr>
        <w:trPr>
          <w:trHeight w:val="223"/>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QSD đất như giao đất không thu tiền sử dụng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w:t>
            </w:r>
            <w:r>
              <w:rPr>
                <w:color w:val="000000"/>
              </w:rPr>
              <w:t xml:space="preserve">ng tin quy hoạ</w:t>
            </w:r>
            <w:r>
              <w:rPr>
                <w:color w:val="000000"/>
              </w:rPr>
              <w:t xml:space="preserve">ch:</w:t>
            </w:r>
            <w:r>
              <w:rPr>
                <w:color w:val="000000"/>
              </w:rPr>
            </w:r>
            <w:r>
              <w:rPr>
                <w:color w:val="000000"/>
              </w:rPr>
            </w:r>
          </w:p>
        </w:tc>
        <w:tc>
          <w:tcPr>
            <w:gridSpan w:val="3"/>
            <w:tcBorders/>
            <w:tcW w:w="6259" w:type="dxa"/>
            <w:vAlign w:val="center"/>
            <w:textDirection w:val="lrTb"/>
            <w:noWrap w:val="false"/>
          </w:tcPr>
          <w:p>
            <w:pPr>
              <w:pBdr/>
              <w:spacing/>
              <w:ind/>
              <w:jc w:val="both"/>
              <w:rPr>
                <w:highlight w:val="none"/>
              </w:rPr>
            </w:pP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ee0000"/>
                <w:sz w:val="24"/>
              </w:rPr>
              <w:t xml:space="preserve">ịnh vị trí tài sản thuộc quy hoạch đất ở</w:t>
            </w:r>
            <w:r>
              <w:t xml:space="preserve">.</w:t>
            </w:r>
            <w:r>
              <w:rPr>
                <w:highlight w:val="none"/>
              </w:rPr>
            </w:r>
            <w:r>
              <w:rPr>
                <w:highlight w:val="none"/>
              </w:rPr>
            </w:r>
          </w:p>
          <w:p>
            <w:pPr>
              <w:pBdr/>
              <w:spacing/>
              <w:ind/>
              <w:jc w:val="both"/>
              <w:rPr/>
            </w:pPr>
            <w:r>
              <w:rPr>
                <w:highlight w:val="none"/>
              </w:rPr>
            </w:r>
            <w:r>
              <mc:AlternateContent>
                <mc:Choice Requires="wpg">
                  <w:drawing>
                    <wp:inline xmlns:wp="http://schemas.openxmlformats.org/drawingml/2006/wordprocessingDrawing" distT="0" distB="0" distL="0" distR="0">
                      <wp:extent cx="3788750" cy="262321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29153" name=""/>
                              <pic:cNvPicPr>
                                <a:picLocks noChangeAspect="1"/>
                              </pic:cNvPicPr>
                              <pic:nvPr/>
                            </pic:nvPicPr>
                            <pic:blipFill rotWithShape="1">
                              <a:blip r:embed="rId17"/>
                              <a:stretch/>
                            </pic:blipFill>
                            <pic:spPr bwMode="auto">
                              <a:xfrm flipH="0" flipV="0">
                                <a:off x="0" y="0"/>
                                <a:ext cx="3788749" cy="26232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8.33pt;height:206.55pt;mso-wrap-distance-left:0.00pt;mso-wrap-distance-top:0.00pt;mso-wrap-distance-right:0.00pt;mso-wrap-distance-bottom:0.00pt;z-index:1;" stroked="false">
                      <v:imagedata r:id="rId17" o:title=""/>
                      <o:lock v:ext="edit" rotation="t"/>
                    </v:shape>
                  </w:pict>
                </mc:Fallback>
              </mc:AlternateContent>
            </w:r>
            <w:r>
              <w:rPr>
                <w:highlight w:val="none"/>
              </w:rPr>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ff0000"/>
              </w:rPr>
              <w:t xml:space="preserve">Đường </w:t>
            </w:r>
            <w:r>
              <w:rPr>
                <w:color w:val="000000"/>
              </w:rPr>
              <w:t xml:space="preserve">liên xã</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trục chính đường liên xã</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rPr>
                <w:highlight w:val="yellow"/>
              </w:rPr>
            </w:r>
            <w:commentRangeStart w:id="1"/>
            <w:r>
              <w:rPr>
                <w:highlight w:val="yellow"/>
              </w:rPr>
            </w:r>
            <w:bookmarkStart w:id="3" w:name="OLE_LINK1"/>
            <w:r>
              <w:rPr>
                <w:color w:val="000000" w:themeColor="text1"/>
                <w:highlight w:val="none"/>
              </w:rPr>
              <w:t xml:space="preserve">Hướng Tây Nam: Giáp đường nhựa liên xã</w:t>
            </w:r>
            <w:r>
              <w:rPr>
                <w:color w:val="000000" w:themeColor="text1"/>
                <w:highlight w:val="none"/>
              </w:rPr>
            </w:r>
            <w:r>
              <w:rPr>
                <w:color w:val="000000" w:themeColor="text1"/>
                <w:highlight w:val="none"/>
              </w:rPr>
            </w:r>
          </w:p>
          <w:p>
            <w:pPr>
              <w:pBdr/>
              <w:spacing/>
              <w:ind/>
              <w:rPr>
                <w:color w:val="000000" w:themeColor="text1"/>
                <w:highlight w:val="yellow"/>
              </w:rPr>
            </w:pPr>
            <w:r>
              <w:rPr>
                <w:color w:val="000000" w:themeColor="text1"/>
                <w:highlight w:val="none"/>
              </w:rPr>
            </w:r>
            <w:r>
              <w:rPr>
                <w:color w:val="000000" w:themeColor="text1"/>
                <w:highlight w:val="yellow"/>
              </w:rPr>
              <w:t xml:space="preserve">Các hướng khác: Tiếp giáp thửa đất khác.</w:t>
            </w:r>
            <w:bookmarkEnd w:id="3"/>
            <w:r>
              <w:rPr>
                <w:color w:val="000000" w:themeColor="text1"/>
                <w:highlight w:val="yellow"/>
              </w:rPr>
            </w:r>
            <w:commentRangeEnd w:id="1"/>
            <w:r>
              <w:commentReference w:id="1"/>
            </w:r>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20.84925</w:t>
            </w:r>
            <w:r>
              <w:rPr>
                <w:color w:val="000000"/>
              </w:rPr>
              <w:t xml:space="preserve">, </w:t>
            </w:r>
            <w:r>
              <w:rPr>
                <w:color w:val="000000"/>
              </w:rPr>
              <w:t xml:space="preserve">106.54425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2 tầng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tabs>
                <w:tab w:val="left" w:leader="none" w:pos="720"/>
              </w:tabs>
              <w:spacing w:line="299" w:lineRule="atLeast"/>
              <w:ind w:firstLine="0" w:left="0"/>
              <w:rPr/>
            </w:pPr>
            <w:r>
              <w:rPr>
                <w:rFonts w:ascii="Times New Roman" w:hAnsi="Times New Roman" w:eastAsia="Times New Roman" w:cs="Times New Roman"/>
                <w:color w:val="000000"/>
                <w:sz w:val="24"/>
              </w:rPr>
              <w:t xml:space="preserve">+ Tại thời điểm thẩm định, trên đất là nhà 2 tầng. Kết cấu: Móng BTCT, tường gạch xây, nền gạch men, mái BTCT. Hiện đang sử dụng để ở bình thường.</w:t>
            </w:r>
            <w:r/>
          </w:p>
          <w:p>
            <w:pPr>
              <w:pBdr/>
              <w:spacing/>
              <w:ind/>
              <w:jc w:val="both"/>
              <w:rPr>
                <w:color w:val="ff0000"/>
                <w:highlight w:val="none"/>
              </w:rPr>
            </w:pPr>
            <w:r>
              <w:rPr>
                <w:rFonts w:ascii="Times New Roman" w:hAnsi="Times New Roman" w:eastAsia="Times New Roman" w:cs="Times New Roman"/>
                <w:color w:val="000000"/>
                <w:sz w:val="24"/>
              </w:rPr>
              <w:t xml:space="preserve">+ CTXD trên chưa được chứng nhận trên GCN số: </w:t>
            </w:r>
            <w:r>
              <w:rPr>
                <w:b/>
                <w:bCs/>
                <w:color w:val="ff0000"/>
                <w:highlight w:val="none"/>
              </w:rPr>
              <w:t xml:space="preserve">BS 425163</w:t>
            </w:r>
            <w:r>
              <w:rPr>
                <w:color w:val="ff0000"/>
                <w:highlight w:val="none"/>
              </w:rPr>
            </w:r>
            <w:r>
              <w:rPr>
                <w:color w:val="ff0000"/>
                <w:highlight w:val="none"/>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7"/>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highlight w:val="yellow"/>
              </w:rPr>
            </w:pPr>
            <w:r>
              <w:rPr>
                <w:highlight w:val="yellow"/>
              </w:rPr>
              <w:t xml:space="preserve">1</w:t>
            </w:r>
            <w:r>
              <w:rPr>
                <w:highlight w:val="yellow"/>
              </w:rPr>
            </w:r>
            <w:r>
              <w:rPr>
                <w:highlight w:val="yellow"/>
              </w:rPr>
            </w:r>
          </w:p>
        </w:tc>
        <w:tc>
          <w:tcPr>
            <w:tcBorders/>
            <w:tcW w:w="1663" w:type="dxa"/>
            <w:vAlign w:val="center"/>
            <w:textDirection w:val="lrTb"/>
            <w:noWrap w:val="false"/>
          </w:tcPr>
          <w:p>
            <w:pPr>
              <w:pBdr/>
              <w:spacing/>
              <w:ind/>
              <w:jc w:val="center"/>
              <w:rPr/>
            </w:pPr>
            <w:r>
              <w:t xml:space="preserve">Địa </w:t>
            </w:r>
            <w:r>
              <w:t xml:space="preserve">chỉ</w:t>
            </w:r>
            <w:r/>
          </w:p>
        </w:tc>
        <w:tc>
          <w:tcPr>
            <w:tcBorders/>
            <w:tcW w:w="1560" w:type="dxa"/>
            <w:vAlign w:val="center"/>
            <w:textDirection w:val="lrTb"/>
            <w:noWrap w:val="false"/>
          </w:tcPr>
          <w:p>
            <w:pPr>
              <w:pBdr/>
              <w:spacing/>
              <w:ind/>
              <w:jc w:val="center"/>
              <w:rPr>
                <w:highlight w:val="yellow"/>
              </w:rPr>
            </w:pPr>
            <w:r>
              <w:rPr>
                <w:highlight w:val="none"/>
              </w:rPr>
              <w:t xml:space="preserve">T</w:t>
            </w:r>
            <w:r>
              <w:rPr>
                <w:highlight w:val="yellow"/>
              </w:rPr>
              <w:t xml:space="preserve">hôn Ngọc Chử, xã trường thọ, huyện An Lão, thành phố Hải Phòng</w:t>
            </w:r>
            <w:r>
              <w:rPr>
                <w:highlight w:val="yellow"/>
              </w:rPr>
            </w:r>
            <w:r>
              <w:rPr>
                <w:highlight w:val="yellow"/>
              </w:rPr>
            </w:r>
          </w:p>
        </w:tc>
        <w:tc>
          <w:tcPr>
            <w:tcBorders/>
            <w:tcW w:w="1605" w:type="dxa"/>
            <w:vAlign w:val="center"/>
            <w:textDirection w:val="lrTb"/>
            <w:noWrap w:val="false"/>
          </w:tcPr>
          <w:p>
            <w:pPr>
              <w:pBdr/>
              <w:spacing/>
              <w:ind/>
              <w:jc w:val="center"/>
              <w:rPr>
                <w:highlight w:val="yellow"/>
              </w:rPr>
            </w:pPr>
            <w:r>
              <w:rPr>
                <w:highlight w:val="yellow"/>
              </w:rPr>
              <w:t xml:space="preserve">Xã An Trường, Thành phố Hải Phòng ✔</w:t>
            </w:r>
            <w:r>
              <w:rPr>
                <w:highlight w:val="yellow"/>
              </w:rPr>
            </w:r>
            <w:r>
              <w:rPr>
                <w:highlight w:val="yellow"/>
              </w:rPr>
            </w:r>
          </w:p>
        </w:tc>
        <w:tc>
          <w:tcPr>
            <w:tcBorders/>
            <w:tcW w:w="1371" w:type="dxa"/>
            <w:vAlign w:val="center"/>
            <w:textDirection w:val="lrTb"/>
            <w:noWrap w:val="false"/>
          </w:tcPr>
          <w:p>
            <w:pPr>
              <w:pBdr/>
              <w:spacing/>
              <w:ind/>
              <w:jc w:val="center"/>
              <w:rPr>
                <w:highlight w:val="yellow"/>
              </w:rPr>
            </w:pPr>
            <w:r>
              <w:rPr>
                <w:highlight w:val="yellow"/>
              </w:rPr>
              <w:t xml:space="preserve">Có</w:t>
            </w:r>
            <w:r>
              <w:rPr>
                <w:highlight w:val="yellow"/>
              </w:rPr>
            </w:r>
            <w:r>
              <w:rPr>
                <w:highlight w:val="yellow"/>
              </w:rPr>
            </w:r>
          </w:p>
        </w:tc>
        <w:tc>
          <w:tcPr>
            <w:tcBorders/>
            <w:tcW w:w="2149" w:type="dxa"/>
            <w:vAlign w:val="center"/>
            <w:textDirection w:val="lrTb"/>
            <w:noWrap w:val="false"/>
          </w:tcPr>
          <w:p>
            <w:pPr>
              <w:pBdr/>
              <w:spacing/>
              <w:ind/>
              <w:jc w:val="center"/>
              <w:rPr>
                <w:highlight w:val="yellow"/>
              </w:rPr>
            </w:pPr>
            <w:r>
              <w:rPr>
                <w:highlight w:val="none"/>
              </w:rPr>
              <w:t xml:space="preserve">Sáp nhập địa giới hành chính</w:t>
            </w:r>
            <w:r>
              <w:rPr>
                <w:highlight w:val="yellow"/>
              </w:rPr>
            </w:r>
            <w:r>
              <w:rPr>
                <w:highlight w:val="yellow"/>
              </w:rP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2</w:t>
            </w:r>
            <w:r>
              <w:rPr>
                <w:highlight w:val="yellow"/>
              </w:rPr>
            </w:r>
            <w:r>
              <w:rPr>
                <w:highlight w:val="yellow"/>
              </w:rP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3</w:t>
            </w:r>
            <w:r>
              <w:rPr>
                <w:highlight w:val="yellow"/>
              </w:rPr>
            </w:r>
            <w:r>
              <w:rPr>
                <w:highlight w:val="yellow"/>
              </w:rP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yellow"/>
              </w:rPr>
            </w:pPr>
            <w:r>
              <w:rPr>
                <w:highlight w:val="none"/>
              </w:rPr>
              <w:t xml:space="preserve">4</w:t>
            </w:r>
            <w:r>
              <w:rPr>
                <w:highlight w:val="yellow"/>
              </w:rPr>
            </w:r>
            <w:r>
              <w:rPr>
                <w:highlight w:val="yellow"/>
              </w:rP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none"/>
              </w:rPr>
            </w:pPr>
            <w:r>
              <w:rPr>
                <w:highlight w:val="none"/>
              </w:rPr>
              <w:t xml:space="preserve">7</w:t>
            </w:r>
            <w:r>
              <w:rPr>
                <w:highlight w:val="none"/>
              </w:rPr>
            </w:r>
            <w:r>
              <w:rPr>
                <w:highlight w:val="none"/>
              </w:rPr>
            </w:r>
          </w:p>
        </w:tc>
        <w:tc>
          <w:tcPr>
            <w:tcBorders/>
            <w:tcW w:w="1663" w:type="dxa"/>
            <w:vAlign w:val="center"/>
            <w:textDirection w:val="lrTb"/>
            <w:noWrap w:val="false"/>
          </w:tcPr>
          <w:p>
            <w:pPr>
              <w:pBdr/>
              <w:spacing/>
              <w:ind/>
              <w:jc w:val="center"/>
              <w:rPr>
                <w:highlight w:val="none"/>
              </w:rPr>
            </w:pPr>
            <w:r>
              <w:rPr>
                <w:highlight w:val="none"/>
              </w:rPr>
              <w:t xml:space="preserve">Mặt cắt đường trước nhà</w:t>
            </w:r>
            <w:r>
              <w:rPr>
                <w:highlight w:val="none"/>
              </w:rPr>
            </w:r>
            <w:r>
              <w:rPr>
                <w:highlight w:val="none"/>
              </w:rPr>
            </w:r>
          </w:p>
        </w:tc>
        <w:tc>
          <w:tcPr>
            <w:tcBorders/>
            <w:tcW w:w="1560" w:type="dxa"/>
            <w:vAlign w:val="center"/>
            <w:textDirection w:val="lrTb"/>
            <w:noWrap w:val="false"/>
          </w:tcPr>
          <w:p>
            <w:pPr>
              <w:pBdr/>
              <w:spacing/>
              <w:ind/>
              <w:jc w:val="center"/>
              <w:rPr>
                <w:highlight w:val="none"/>
              </w:rPr>
            </w:pPr>
            <w:r>
              <w:rPr>
                <w:highlight w:val="none"/>
              </w:rPr>
              <w:t xml:space="preserve">10 ✔</w:t>
            </w:r>
            <w:r>
              <w:rPr>
                <w:highlight w:val="none"/>
              </w:rPr>
            </w:r>
            <w:r>
              <w:rPr>
                <w:highlight w:val="none"/>
              </w:rPr>
            </w:r>
          </w:p>
        </w:tc>
        <w:tc>
          <w:tcPr>
            <w:tcBorders/>
            <w:tcW w:w="1605" w:type="dxa"/>
            <w:vAlign w:val="center"/>
            <w:textDirection w:val="lrTb"/>
            <w:noWrap w:val="false"/>
          </w:tcPr>
          <w:p>
            <w:pPr>
              <w:pBdr/>
              <w:spacing/>
              <w:ind/>
              <w:jc w:val="center"/>
              <w:rPr>
                <w:highlight w:val="none"/>
              </w:rPr>
            </w:pPr>
            <w:r>
              <w:rPr>
                <w:highlight w:val="none"/>
              </w:rPr>
              <w:t xml:space="preserve">10</w:t>
            </w:r>
            <w:r>
              <w:rPr>
                <w:highlight w:val="none"/>
              </w:rPr>
            </w:r>
            <w:r>
              <w:rPr>
                <w:highlight w:val="none"/>
              </w:rPr>
            </w:r>
          </w:p>
        </w:tc>
        <w:tc>
          <w:tcPr>
            <w:tcBorders/>
            <w:tcW w:w="1371" w:type="dxa"/>
            <w:vAlign w:val="center"/>
            <w:textDirection w:val="lrTb"/>
            <w:noWrap w:val="false"/>
          </w:tcPr>
          <w:p>
            <w:pPr>
              <w:pBdr/>
              <w:spacing/>
              <w:ind/>
              <w:jc w:val="center"/>
              <w:rPr>
                <w:highlight w:val="none"/>
              </w:rPr>
            </w:pPr>
            <w:r>
              <w:rPr>
                <w:highlight w:val="none"/>
              </w:rPr>
              <w:t xml:space="preserve">0</w:t>
            </w:r>
            <w:r>
              <w:rPr>
                <w:highlight w:val="none"/>
              </w:rPr>
            </w:r>
            <w:r>
              <w:rPr>
                <w:highlight w:val="none"/>
              </w:rPr>
            </w:r>
          </w:p>
        </w:tc>
        <w:tc>
          <w:tcPr>
            <w:tcBorders/>
            <w:tcW w:w="2149" w:type="dxa"/>
            <w:vAlign w:val="center"/>
            <w:textDirection w:val="lrTb"/>
            <w:noWrap w:val="false"/>
          </w:tcPr>
          <w:p>
            <w:pPr>
              <w:pBdr/>
              <w:spacing/>
              <w:ind/>
              <w:jc w:val="center"/>
              <w:rPr>
                <w:highlight w:val="yellow"/>
              </w:rPr>
            </w:pPr>
            <w:r>
              <w:rPr>
                <w:highlight w:val="yellow"/>
              </w:rPr>
            </w:r>
            <w:r>
              <w:rPr>
                <w:highlight w:val="yellow"/>
              </w:rPr>
            </w:r>
            <w:r>
              <w:rPr>
                <w:highlight w:val="yellow"/>
              </w:rPr>
            </w:r>
          </w:p>
        </w:tc>
      </w:tr>
      <w:tr>
        <w:trPr>
          <w:jc w:val="center"/>
        </w:trPr>
        <w:tc>
          <w:tcPr>
            <w:tcBorders/>
            <w:tcW w:w="1167" w:type="dxa"/>
            <w:vAlign w:val="center"/>
            <w:textDirection w:val="lrTb"/>
            <w:noWrap w:val="false"/>
          </w:tcPr>
          <w:p>
            <w:pPr>
              <w:pBdr/>
              <w:spacing/>
              <w:ind/>
              <w:jc w:val="center"/>
              <w:rPr>
                <w:highlight w:val="none"/>
              </w:rPr>
            </w:pPr>
            <w:r>
              <w:rPr>
                <w:highlight w:val="none"/>
              </w:rPr>
              <w:t xml:space="preserve">8</w:t>
            </w:r>
            <w:r>
              <w:rPr>
                <w:highlight w:val="none"/>
              </w:rPr>
            </w:r>
            <w:r>
              <w:rPr>
                <w:highlight w:val="none"/>
              </w:rPr>
            </w:r>
          </w:p>
        </w:tc>
        <w:tc>
          <w:tcPr>
            <w:tcBorders/>
            <w:tcW w:w="1663" w:type="dxa"/>
            <w:vAlign w:val="center"/>
            <w:textDirection w:val="lrTb"/>
            <w:noWrap w:val="false"/>
          </w:tcPr>
          <w:p>
            <w:pPr>
              <w:pBdr/>
              <w:spacing/>
              <w:ind/>
              <w:jc w:val="center"/>
              <w:rPr>
                <w:highlight w:val="none"/>
              </w:rPr>
            </w:pPr>
            <w:r>
              <w:rPr>
                <w:highlight w:val="none"/>
              </w:rPr>
              <w:t xml:space="preserve">Diện tích</w:t>
            </w:r>
            <w:r>
              <w:rPr>
                <w:highlight w:val="none"/>
              </w:rPr>
            </w:r>
            <w:r>
              <w:rPr>
                <w:highlight w:val="none"/>
              </w:rPr>
            </w:r>
          </w:p>
        </w:tc>
        <w:tc>
          <w:tcPr>
            <w:tcBorders/>
            <w:tcW w:w="1560" w:type="dxa"/>
            <w:vAlign w:val="center"/>
            <w:textDirection w:val="lrTb"/>
            <w:noWrap w:val="false"/>
          </w:tcPr>
          <w:p>
            <w:pPr>
              <w:pBdr/>
              <w:spacing/>
              <w:ind/>
              <w:jc w:val="center"/>
              <w:rPr>
                <w:highlight w:val="none"/>
              </w:rPr>
            </w:pPr>
            <w:r>
              <w:rPr>
                <w:highlight w:val="none"/>
              </w:rPr>
              <w:t xml:space="preserve">251</w:t>
            </w:r>
            <w:r>
              <w:rPr>
                <w:highlight w:val="none"/>
              </w:rPr>
            </w:r>
            <w:r>
              <w:rPr>
                <w:highlight w:val="none"/>
              </w:rPr>
            </w:r>
          </w:p>
        </w:tc>
        <w:tc>
          <w:tcPr>
            <w:tcBorders/>
            <w:tcW w:w="1605" w:type="dxa"/>
            <w:vAlign w:val="center"/>
            <w:textDirection w:val="lrTb"/>
            <w:noWrap w:val="false"/>
          </w:tcPr>
          <w:p>
            <w:pPr>
              <w:pBdr/>
              <w:spacing/>
              <w:ind/>
              <w:jc w:val="center"/>
              <w:rPr>
                <w:highlight w:val="none"/>
              </w:rPr>
            </w:pPr>
            <w:r>
              <w:rPr>
                <w:highlight w:val="none"/>
              </w:rPr>
              <w:t xml:space="preserve">251 ✔</w:t>
            </w:r>
            <w:r>
              <w:rPr>
                <w:highlight w:val="none"/>
              </w:rPr>
            </w:r>
            <w:r>
              <w:rPr>
                <w:highlight w:val="none"/>
              </w:rPr>
            </w:r>
          </w:p>
        </w:tc>
        <w:tc>
          <w:tcPr>
            <w:tcBorders/>
            <w:tcW w:w="1371" w:type="dxa"/>
            <w:vAlign w:val="center"/>
            <w:textDirection w:val="lrTb"/>
            <w:noWrap w:val="false"/>
          </w:tcPr>
          <w:p>
            <w:pPr>
              <w:pBdr/>
              <w:spacing/>
              <w:ind/>
              <w:jc w:val="center"/>
              <w:rPr>
                <w:highlight w:val="none"/>
              </w:rPr>
            </w:pPr>
            <w:r>
              <w:rPr>
                <w:highlight w:val="none"/>
              </w:rPr>
              <w:t xml:space="preserve">0</w:t>
            </w:r>
            <w:r>
              <w:rPr>
                <w:highlight w:val="none"/>
              </w:rPr>
            </w:r>
            <w:r>
              <w:rPr>
                <w:highlight w:val="none"/>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none"/>
              </w:rPr>
            </w:pPr>
            <w:r>
              <w:rPr>
                <w:highlight w:val="none"/>
              </w:rPr>
              <w:t xml:space="preserve">9</w:t>
            </w:r>
            <w:r>
              <w:rPr>
                <w:highlight w:val="none"/>
              </w:rPr>
            </w:r>
            <w:r>
              <w:rPr>
                <w:highlight w:val="none"/>
              </w:rPr>
            </w:r>
          </w:p>
        </w:tc>
        <w:tc>
          <w:tcPr>
            <w:tcBorders/>
            <w:tcW w:w="1663" w:type="dxa"/>
            <w:vAlign w:val="center"/>
            <w:textDirection w:val="lrTb"/>
            <w:noWrap w:val="false"/>
          </w:tcPr>
          <w:p>
            <w:pPr>
              <w:pBdr/>
              <w:spacing/>
              <w:ind/>
              <w:jc w:val="center"/>
              <w:rPr>
                <w:highlight w:val="none"/>
              </w:rPr>
            </w:pPr>
            <w:r>
              <w:rPr>
                <w:highlight w:val="none"/>
              </w:rPr>
              <w:t xml:space="preserve">Mặt tiền</w:t>
            </w:r>
            <w:r>
              <w:rPr>
                <w:highlight w:val="none"/>
              </w:rPr>
            </w:r>
            <w:r>
              <w:rPr>
                <w:highlight w:val="none"/>
              </w:rPr>
            </w:r>
          </w:p>
        </w:tc>
        <w:tc>
          <w:tcPr>
            <w:tcBorders/>
            <w:tcW w:w="1560" w:type="dxa"/>
            <w:vAlign w:val="center"/>
            <w:textDirection w:val="lrTb"/>
            <w:noWrap w:val="false"/>
          </w:tcPr>
          <w:p>
            <w:pPr>
              <w:pBdr/>
              <w:spacing/>
              <w:ind/>
              <w:jc w:val="center"/>
              <w:rPr>
                <w:highlight w:val="none"/>
              </w:rPr>
            </w:pPr>
            <w:r>
              <w:rPr>
                <w:highlight w:val="none"/>
              </w:rPr>
              <w:t xml:space="preserve">7,5</w:t>
            </w:r>
            <w:r>
              <w:rPr>
                <w:highlight w:val="none"/>
              </w:rPr>
            </w:r>
            <w:r>
              <w:rPr>
                <w:highlight w:val="none"/>
              </w:rPr>
            </w:r>
          </w:p>
        </w:tc>
        <w:tc>
          <w:tcPr>
            <w:tcBorders/>
            <w:tcW w:w="1605" w:type="dxa"/>
            <w:vAlign w:val="center"/>
            <w:textDirection w:val="lrTb"/>
            <w:noWrap w:val="false"/>
          </w:tcPr>
          <w:p>
            <w:pPr>
              <w:pBdr/>
              <w:spacing/>
              <w:ind/>
              <w:jc w:val="center"/>
              <w:rPr>
                <w:highlight w:val="none"/>
              </w:rPr>
            </w:pPr>
            <w:r>
              <w:rPr>
                <w:highlight w:val="none"/>
              </w:rPr>
              <w:t xml:space="preserve">7,5</w:t>
            </w:r>
            <w:r>
              <w:rPr>
                <w:highlight w:val="none"/>
              </w:rPr>
              <w:t xml:space="preserve"> ✔</w:t>
            </w:r>
            <w:r>
              <w:rPr>
                <w:highlight w:val="none"/>
              </w:rPr>
            </w:r>
            <w:r>
              <w:rPr>
                <w:highlight w:val="none"/>
              </w:rPr>
            </w:r>
          </w:p>
        </w:tc>
        <w:tc>
          <w:tcPr>
            <w:tcBorders/>
            <w:tcW w:w="1371" w:type="dxa"/>
            <w:vAlign w:val="center"/>
            <w:textDirection w:val="lrTb"/>
            <w:noWrap w:val="false"/>
          </w:tcPr>
          <w:p>
            <w:pPr>
              <w:pBdr/>
              <w:spacing/>
              <w:ind/>
              <w:jc w:val="center"/>
              <w:rPr>
                <w:highlight w:val="none"/>
              </w:rPr>
            </w:pPr>
            <w:r>
              <w:rPr>
                <w:highlight w:val="none"/>
              </w:rPr>
              <w:t xml:space="preserve">0</w:t>
            </w:r>
            <w:r>
              <w:rPr>
                <w:highlight w:val="none"/>
              </w:rPr>
            </w:r>
            <w:r>
              <w:rPr>
                <w:highlight w:val="none"/>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none"/>
              </w:rPr>
            </w:pPr>
            <w:r>
              <w:rPr>
                <w:highlight w:val="none"/>
              </w:rPr>
              <w:t xml:space="preserve">10</w:t>
            </w:r>
            <w:r>
              <w:rPr>
                <w:highlight w:val="none"/>
              </w:rPr>
            </w:r>
            <w:r>
              <w:rPr>
                <w:highlight w:val="none"/>
              </w:rPr>
            </w:r>
          </w:p>
        </w:tc>
        <w:tc>
          <w:tcPr>
            <w:tcBorders/>
            <w:tcW w:w="1663" w:type="dxa"/>
            <w:vAlign w:val="center"/>
            <w:textDirection w:val="lrTb"/>
            <w:noWrap w:val="false"/>
          </w:tcPr>
          <w:p>
            <w:pPr>
              <w:pBdr/>
              <w:spacing/>
              <w:ind/>
              <w:jc w:val="center"/>
              <w:rPr>
                <w:highlight w:val="none"/>
              </w:rPr>
            </w:pPr>
            <w:r>
              <w:rPr>
                <w:highlight w:val="none"/>
              </w:rPr>
              <w:t xml:space="preserve">Mặt tiếp giáp</w:t>
            </w:r>
            <w:r>
              <w:rPr>
                <w:highlight w:val="none"/>
              </w:rPr>
            </w:r>
            <w:r>
              <w:rPr>
                <w:highlight w:val="none"/>
              </w:rPr>
            </w:r>
          </w:p>
        </w:tc>
        <w:tc>
          <w:tcPr>
            <w:tcBorders/>
            <w:tcW w:w="1560" w:type="dxa"/>
            <w:vAlign w:val="center"/>
            <w:textDirection w:val="lrTb"/>
            <w:noWrap w:val="false"/>
          </w:tcPr>
          <w:p>
            <w:pPr>
              <w:pBdr/>
              <w:spacing/>
              <w:ind/>
              <w:jc w:val="center"/>
              <w:rPr>
                <w:highlight w:val="none"/>
              </w:rPr>
            </w:pPr>
            <w:r>
              <w:rPr>
                <w:highlight w:val="none"/>
              </w:rPr>
              <w:t xml:space="preserve">Tiếp giáp 1 mặt tiền</w:t>
            </w:r>
            <w:r>
              <w:rPr>
                <w:highlight w:val="none"/>
              </w:rPr>
            </w:r>
            <w:r>
              <w:rPr>
                <w:highlight w:val="none"/>
              </w:rPr>
            </w:r>
          </w:p>
        </w:tc>
        <w:tc>
          <w:tcPr>
            <w:tcBorders/>
            <w:tcW w:w="1605" w:type="dxa"/>
            <w:vAlign w:val="center"/>
            <w:textDirection w:val="lrTb"/>
            <w:noWrap w:val="false"/>
          </w:tcPr>
          <w:p>
            <w:pPr>
              <w:pBdr/>
              <w:spacing/>
              <w:ind/>
              <w:jc w:val="center"/>
              <w:rPr>
                <w:highlight w:val="none"/>
              </w:rPr>
            </w:pPr>
            <w:r>
              <w:rPr>
                <w:highlight w:val="none"/>
              </w:rPr>
              <w:t xml:space="preserve">Tiếp giáp 1 mặt tiền ✔</w:t>
            </w:r>
            <w:r>
              <w:rPr>
                <w:highlight w:val="none"/>
              </w:rPr>
            </w:r>
            <w:r>
              <w:rPr>
                <w:highlight w:val="none"/>
              </w:rPr>
            </w:r>
          </w:p>
        </w:tc>
        <w:tc>
          <w:tcPr>
            <w:tcBorders/>
            <w:tcW w:w="1371" w:type="dxa"/>
            <w:vAlign w:val="center"/>
            <w:textDirection w:val="lrTb"/>
            <w:noWrap w:val="false"/>
          </w:tcPr>
          <w:p>
            <w:pPr>
              <w:pBdr/>
              <w:spacing/>
              <w:ind/>
              <w:jc w:val="center"/>
              <w:rPr>
                <w:highlight w:val="none"/>
              </w:rPr>
            </w:pPr>
            <w:r>
              <w:rPr>
                <w:highlight w:val="none"/>
              </w:rPr>
              <w:t xml:space="preserve">Không</w:t>
            </w:r>
            <w:r>
              <w:rPr>
                <w:highlight w:val="none"/>
              </w:rPr>
            </w:r>
            <w:r>
              <w:rPr>
                <w:highlight w:val="none"/>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none"/>
              </w:rPr>
            </w:pPr>
            <w:r>
              <w:rPr>
                <w:highlight w:val="none"/>
              </w:rPr>
              <w:t xml:space="preserve">11</w:t>
            </w:r>
            <w:r>
              <w:rPr>
                <w:highlight w:val="none"/>
              </w:rPr>
            </w:r>
            <w:r>
              <w:rPr>
                <w:highlight w:val="none"/>
              </w:rPr>
            </w:r>
          </w:p>
        </w:tc>
        <w:tc>
          <w:tcPr>
            <w:tcBorders/>
            <w:tcW w:w="1663" w:type="dxa"/>
            <w:vAlign w:val="center"/>
            <w:textDirection w:val="lrTb"/>
            <w:noWrap w:val="false"/>
          </w:tcPr>
          <w:p>
            <w:pPr>
              <w:pBdr/>
              <w:spacing/>
              <w:ind/>
              <w:jc w:val="center"/>
              <w:rPr>
                <w:highlight w:val="none"/>
              </w:rPr>
            </w:pPr>
            <w:r>
              <w:rPr>
                <w:highlight w:val="none"/>
              </w:rPr>
              <w:t xml:space="preserve">Hình dạng thửa đất</w:t>
            </w:r>
            <w:r>
              <w:rPr>
                <w:highlight w:val="none"/>
              </w:rPr>
            </w:r>
            <w:r>
              <w:rPr>
                <w:highlight w:val="none"/>
              </w:rPr>
            </w:r>
          </w:p>
        </w:tc>
        <w:tc>
          <w:tcPr>
            <w:tcBorders/>
            <w:tcW w:w="1560" w:type="dxa"/>
            <w:vAlign w:val="center"/>
            <w:textDirection w:val="lrTb"/>
            <w:noWrap w:val="false"/>
          </w:tcPr>
          <w:p>
            <w:pPr>
              <w:pBdr/>
              <w:spacing/>
              <w:ind/>
              <w:jc w:val="center"/>
              <w:rPr>
                <w:highlight w:val="none"/>
              </w:rPr>
            </w:pPr>
            <w:r>
              <w:rPr>
                <w:highlight w:val="none"/>
              </w:rPr>
              <w:t xml:space="preserve">Hình chữ nhật</w:t>
            </w:r>
            <w:r>
              <w:rPr>
                <w:highlight w:val="none"/>
              </w:rPr>
            </w:r>
            <w:r>
              <w:rPr>
                <w:highlight w:val="none"/>
              </w:rPr>
            </w:r>
          </w:p>
        </w:tc>
        <w:tc>
          <w:tcPr>
            <w:tcBorders/>
            <w:tcW w:w="1605" w:type="dxa"/>
            <w:vAlign w:val="center"/>
            <w:textDirection w:val="lrTb"/>
            <w:noWrap w:val="false"/>
          </w:tcPr>
          <w:p>
            <w:pPr>
              <w:pBdr/>
              <w:spacing/>
              <w:ind/>
              <w:jc w:val="center"/>
              <w:rPr>
                <w:highlight w:val="none"/>
              </w:rPr>
            </w:pPr>
            <w:r>
              <w:rPr>
                <w:highlight w:val="none"/>
              </w:rPr>
              <w:t xml:space="preserve">Hình chữ nhật ✔</w:t>
            </w:r>
            <w:r>
              <w:rPr>
                <w:highlight w:val="none"/>
              </w:rPr>
            </w:r>
            <w:r>
              <w:rPr>
                <w:highlight w:val="none"/>
              </w:rPr>
            </w:r>
          </w:p>
        </w:tc>
        <w:tc>
          <w:tcPr>
            <w:tcBorders/>
            <w:tcW w:w="1371" w:type="dxa"/>
            <w:vAlign w:val="center"/>
            <w:textDirection w:val="lrTb"/>
            <w:noWrap w:val="false"/>
          </w:tcPr>
          <w:p>
            <w:pPr>
              <w:pBdr/>
              <w:spacing/>
              <w:ind/>
              <w:jc w:val="center"/>
              <w:rPr>
                <w:highlight w:val="none"/>
              </w:rPr>
            </w:pPr>
            <w:r>
              <w:rPr>
                <w:highlight w:val="none"/>
              </w:rPr>
              <w:t xml:space="preserve">Không</w:t>
            </w:r>
            <w:r>
              <w:rPr>
                <w:highlight w:val="none"/>
              </w:rPr>
            </w:r>
            <w:r>
              <w:rPr>
                <w:highlight w:val="none"/>
              </w:rP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ĐẶC ĐIỂM BĐS</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TSTĐ</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TSSS1</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TSSS2</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Thông tin về tài sản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Thôn Ngọc Chử, xã Trường Thọ, huyện An Lão, Thành phố Hải Phòng (nay là xã An Trường, thành phố Hải Phòng)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Xã An Trường, Thành phố Hải Phòng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Xã An Trường, Thành phố Hải Phòng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Xã An Trường, Thành phố Hải Phòng</w:t>
            </w:r>
            <w:r>
              <w:rPr>
                <w:rFonts w:ascii="Times New Roman" w:hAnsi="Times New Roman" w:cs="Times New Roman"/>
                <w:sz w:val="22"/>
                <w:szCs w:val="22"/>
              </w:rPr>
            </w:r>
            <w:r>
              <w:rPr>
                <w:rFonts w:ascii="Times New Roman" w:hAnsi="Times New Roman" w:cs="Times New Roman"/>
                <w:sz w:val="22"/>
                <w:szCs w:val="22"/>
              </w:rPr>
            </w:r>
          </w:p>
        </w:tc>
      </w:tr>
      <w:tr>
        <w:trPr>
          <w:trHeight w:val="55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0985555184</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br/>
              <w:t xml:space="preserve">(</w:t>
            </w:r>
            <w:r>
              <w:rPr>
                <w:rFonts w:ascii="Times New Roman" w:hAnsi="Times New Roman" w:eastAsia="Times New Roman" w:cs="Times New Roman"/>
                <w:sz w:val="22"/>
                <w:szCs w:val="22"/>
              </w:rPr>
              <w:t xml:space="preserve">Thỏa</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0829457988</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Quỳnh</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0829457988</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Quynh</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Đang giao 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themeColor="text1"/>
                <w:sz w:val="22"/>
                <w:szCs w:val="22"/>
              </w:rPr>
              <w:t xml:space="preserve">Tháng 07/2026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themeColor="text1"/>
                <w:sz w:val="22"/>
                <w:szCs w:val="22"/>
              </w:rPr>
              <w:t xml:space="preserve">Tháng 07/2026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themeColor="text1"/>
                <w:sz w:val="22"/>
                <w:szCs w:val="22"/>
              </w:rPr>
              <w:t xml:space="preserve">Tháng 07/2026</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ff0000"/>
                <w:sz w:val="22"/>
                <w:szCs w:val="22"/>
              </w:rPr>
            </w:pPr>
            <w:r>
              <w:rPr>
                <w:rFonts w:ascii="Times New Roman" w:hAnsi="Times New Roman" w:eastAsia="Times New Roman" w:cs="Times New Roman"/>
                <w:color w:val="ff0000"/>
                <w:sz w:val="22"/>
                <w:szCs w:val="22"/>
              </w:rPr>
              <w:t xml:space="preserve">Có Giấy chứng nhận quyền sử dụng đất</w:t>
            </w:r>
            <w:r>
              <w:rPr>
                <w:rFonts w:ascii="Times New Roman" w:hAnsi="Times New Roman" w:cs="Times New Roman"/>
                <w:b/>
                <w:bCs/>
                <w:color w:val="ff0000"/>
                <w:sz w:val="22"/>
                <w:szCs w:val="22"/>
              </w:rPr>
            </w:r>
            <w:r>
              <w:rPr>
                <w:rFonts w:ascii="Times New Roman" w:hAnsi="Times New Roman" w:cs="Times New Roman"/>
                <w:b/>
                <w:bCs/>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r>
            <w:r>
              <w:rPr>
                <w:rFonts w:ascii="Times New Roman" w:hAnsi="Times New Roman" w:eastAsia="Times New Roman" w:cs="Times New Roman"/>
                <w:color w:val="ff0000"/>
                <w:sz w:val="22"/>
                <w:szCs w:val="22"/>
              </w:rPr>
              <w:t xml:space="preserve">Có Giấy chứng nhận quyền sử dụng đất</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r>
            <w:r>
              <w:rPr>
                <w:rFonts w:ascii="Times New Roman" w:hAnsi="Times New Roman" w:eastAsia="Times New Roman" w:cs="Times New Roman"/>
                <w:color w:val="ff0000"/>
                <w:sz w:val="22"/>
                <w:szCs w:val="22"/>
              </w:rPr>
              <w:t xml:space="preserve">Có Giấy chứng nhận quyền sử dụng đất</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r>
            <w:r>
              <w:rPr>
                <w:rFonts w:ascii="Times New Roman" w:hAnsi="Times New Roman" w:eastAsia="Times New Roman" w:cs="Times New Roman"/>
                <w:color w:val="ff0000"/>
                <w:sz w:val="22"/>
                <w:szCs w:val="22"/>
              </w:rPr>
              <w:t xml:space="preserve">Có Giấy chứng nhận quyền sử dụng đất</w:t>
            </w:r>
            <w:r>
              <w:rPr>
                <w:rFonts w:ascii="Times New Roman" w:hAnsi="Times New Roman" w:cs="Times New Roman"/>
                <w:color w:val="ff0000"/>
                <w:sz w:val="22"/>
                <w:szCs w:val="22"/>
              </w:rPr>
            </w:r>
            <w:r>
              <w:rPr>
                <w:rFonts w:ascii="Times New Roman" w:hAnsi="Times New Roman" w:cs="Times New Roman"/>
                <w:color w:val="ff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Tài sản tại:</w:t>
            </w:r>
            <w:r>
              <w:rPr>
                <w:rFonts w:ascii="Times New Roman" w:hAnsi="Times New Roman" w:eastAsia="Times New Roman" w:cs="Times New Roman"/>
                <w:color w:val="000000" w:themeColor="text1"/>
                <w:sz w:val="22"/>
                <w:szCs w:val="22"/>
              </w:rPr>
              <w:t xml:space="preserve">Thôn Ngọc Chử, x ã Trường Thọ, huyện An Lão, Thành phố Hải Phòng (nay là xã An Trường, thành phố Hải Phòng). Tài sản giáp</w:t>
            </w:r>
            <w:r>
              <w:rPr>
                <w:rFonts w:ascii="Times New Roman" w:hAnsi="Times New Roman" w:eastAsia="Times New Roman" w:cs="Times New Roman"/>
                <w:color w:val="000000" w:themeColor="text1"/>
                <w:sz w:val="22"/>
                <w:szCs w:val="22"/>
              </w:rPr>
              <w:t xml:space="preserve"> đường liên xã</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tại: Xã An Trường, Thành phố Hải Phòng, </w:t>
            </w:r>
            <w:r>
              <w:rPr>
                <w:rFonts w:ascii="Times New Roman" w:hAnsi="Times New Roman" w:eastAsia="Times New Roman" w:cs="Times New Roman"/>
                <w:color w:val="000000" w:themeColor="text1"/>
                <w:sz w:val="22"/>
                <w:szCs w:val="22"/>
              </w:rPr>
              <w:t xml:space="preserve">Tài sản giáp</w:t>
            </w:r>
            <w:r>
              <w:rPr>
                <w:rFonts w:ascii="Times New Roman" w:hAnsi="Times New Roman" w:eastAsia="Times New Roman" w:cs="Times New Roman"/>
                <w:color w:val="000000" w:themeColor="text1"/>
                <w:sz w:val="22"/>
                <w:szCs w:val="22"/>
              </w:rPr>
              <w:t xml:space="preserve"> đường liên xã</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Tài sản tại: Xã An Trường, Thành phố Hải Phòng, </w:t>
            </w:r>
            <w:r>
              <w:rPr>
                <w:rFonts w:ascii="Times New Roman" w:hAnsi="Times New Roman" w:eastAsia="Times New Roman" w:cs="Times New Roman"/>
                <w:color w:val="000000" w:themeColor="text1"/>
                <w:sz w:val="22"/>
                <w:szCs w:val="22"/>
              </w:rPr>
              <w:t xml:space="preserve">Tài sản giáp</w:t>
            </w:r>
            <w:r>
              <w:rPr>
                <w:rFonts w:ascii="Times New Roman" w:hAnsi="Times New Roman" w:eastAsia="Times New Roman" w:cs="Times New Roman"/>
                <w:color w:val="000000" w:themeColor="text1"/>
                <w:sz w:val="22"/>
                <w:szCs w:val="22"/>
              </w:rPr>
              <w:t xml:space="preserve"> đường liên xã</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Tài sản tại: Xã An Trường, Thành phố Hải Phòng, </w:t>
            </w:r>
            <w:r>
              <w:rPr>
                <w:rFonts w:ascii="Times New Roman" w:hAnsi="Times New Roman" w:eastAsia="Times New Roman" w:cs="Times New Roman"/>
                <w:color w:val="000000" w:themeColor="text1"/>
                <w:sz w:val="22"/>
                <w:szCs w:val="22"/>
              </w:rPr>
              <w:t xml:space="preserve">Tài sản giáp</w:t>
            </w:r>
            <w:r>
              <w:rPr>
                <w:rFonts w:ascii="Times New Roman" w:hAnsi="Times New Roman" w:eastAsia="Times New Roman" w:cs="Times New Roman"/>
                <w:color w:val="000000" w:themeColor="text1"/>
                <w:sz w:val="22"/>
                <w:szCs w:val="22"/>
              </w:rPr>
              <w:t xml:space="preserve"> đường liên xã</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251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highlight w:val="none"/>
              </w:rPr>
            </w:pPr>
            <w:r>
              <w:rPr>
                <w:rFonts w:ascii="Times New Roman" w:hAnsi="Times New Roman" w:eastAsia="Times New Roman" w:cs="Times New Roman"/>
                <w:color w:val="000000" w:themeColor="text1"/>
                <w:sz w:val="22"/>
                <w:szCs w:val="22"/>
                <w:highlight w:val="none"/>
              </w:rPr>
              <w:t xml:space="preserve">75,7</w:t>
            </w:r>
            <w:r>
              <w:rPr>
                <w:rFonts w:ascii="Times New Roman" w:hAnsi="Times New Roman" w:eastAsia="Times New Roman" w:cs="Times New Roman"/>
                <w:color w:val="000000" w:themeColor="text1"/>
                <w:sz w:val="22"/>
                <w:szCs w:val="22"/>
                <w:highlight w:val="none"/>
              </w:rPr>
              <w:t xml:space="preserve"> (QH: 42)</w:t>
            </w:r>
            <w:r>
              <w:rPr>
                <w:rFonts w:ascii="Times New Roman" w:hAnsi="Times New Roman" w:cs="Times New Roman"/>
                <w:color w:val="000000"/>
                <w:sz w:val="22"/>
                <w:szCs w:val="22"/>
                <w:highlight w:val="none"/>
              </w:rPr>
            </w:r>
            <w:r>
              <w:rPr>
                <w:rFonts w:ascii="Times New Roman" w:hAnsi="Times New Roman" w:cs="Times New Roman"/>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highlight w:val="none"/>
              </w:rPr>
            </w:pPr>
            <w:r>
              <w:rPr>
                <w:rFonts w:ascii="Times New Roman" w:hAnsi="Times New Roman" w:eastAsia="Times New Roman" w:cs="Times New Roman"/>
                <w:color w:val="000000" w:themeColor="text1"/>
                <w:sz w:val="22"/>
                <w:szCs w:val="22"/>
                <w:highlight w:val="none"/>
              </w:rPr>
              <w:t xml:space="preserve">98</w:t>
            </w:r>
            <w:r>
              <w:rPr>
                <w:rFonts w:ascii="Times New Roman" w:hAnsi="Times New Roman" w:cs="Times New Roman"/>
                <w:color w:val="000000"/>
                <w:sz w:val="22"/>
                <w:szCs w:val="22"/>
                <w:highlight w:val="none"/>
              </w:rPr>
            </w:r>
            <w:r>
              <w:rPr>
                <w:rFonts w:ascii="Times New Roman" w:hAnsi="Times New Roman" w:cs="Times New Roman"/>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highlight w:val="none"/>
              </w:rPr>
            </w:pPr>
            <w:r>
              <w:rPr>
                <w:rFonts w:ascii="Times New Roman" w:hAnsi="Times New Roman" w:eastAsia="Times New Roman" w:cs="Times New Roman"/>
                <w:color w:val="000000" w:themeColor="text1"/>
                <w:sz w:val="22"/>
                <w:szCs w:val="22"/>
                <w:highlight w:val="none"/>
              </w:rPr>
              <w:t xml:space="preserve">75,5</w:t>
            </w:r>
            <w:r>
              <w:rPr>
                <w:rFonts w:ascii="Times New Roman" w:hAnsi="Times New Roman" w:eastAsia="Times New Roman" w:cs="Times New Roman"/>
                <w:color w:val="000000" w:themeColor="text1"/>
                <w:sz w:val="22"/>
                <w:szCs w:val="22"/>
                <w:highlight w:val="none"/>
              </w:rPr>
              <w:t xml:space="preserve"> (QH: 41)</w:t>
            </w:r>
            <w:r>
              <w:rPr>
                <w:rFonts w:ascii="Times New Roman" w:hAnsi="Times New Roman" w:cs="Times New Roman"/>
                <w:color w:val="000000"/>
                <w:sz w:val="22"/>
                <w:szCs w:val="22"/>
                <w:highlight w:val="none"/>
              </w:rPr>
            </w:r>
            <w:r>
              <w:rPr>
                <w:rFonts w:ascii="Times New Roman" w:hAnsi="Times New Roman" w:cs="Times New Roman"/>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4,5</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góc 1 mặt đường, phố + 1 mặt ngõ</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Bất lợi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Không có</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Không có</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View mộ, gần đối diện mộ</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Không có</w:t>
            </w:r>
            <w:r>
              <w:rPr>
                <w:rFonts w:ascii="Times New Roman" w:hAnsi="Times New Roman" w:cs="Times New Roman"/>
                <w:color w:val="ff0000"/>
                <w:sz w:val="22"/>
                <w:szCs w:val="22"/>
              </w:rPr>
            </w:r>
            <w:r>
              <w:rPr>
                <w:rFonts w:ascii="Times New Roman" w:hAnsi="Times New Roman" w:cs="Times New Roman"/>
                <w:color w:val="ff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ff0000"/>
                <w:sz w:val="22"/>
                <w:szCs w:val="22"/>
              </w:rPr>
            </w:pPr>
            <w:r>
              <w:rPr>
                <w:rFonts w:ascii="Times New Roman" w:hAnsi="Times New Roman" w:eastAsia="Times New Roman" w:cs="Times New Roman"/>
                <w:color w:val="000000" w:themeColor="text1"/>
                <w:sz w:val="22"/>
                <w:szCs w:val="22"/>
              </w:rPr>
            </w:r>
            <w:commentRangeStart w:id="2"/>
            <w:r>
              <w:rPr>
                <w:rFonts w:ascii="Times New Roman" w:hAnsi="Times New Roman" w:eastAsia="Times New Roman" w:cs="Times New Roman"/>
                <w:color w:val="000000" w:themeColor="text1"/>
                <w:sz w:val="22"/>
                <w:szCs w:val="22"/>
              </w:rPr>
              <w:t xml:space="preserve">C</w:t>
            </w:r>
            <w:r>
              <w:rPr>
                <w:rFonts w:ascii="Times New Roman" w:hAnsi="Times New Roman" w:eastAsia="Times New Roman" w:cs="Times New Roman"/>
                <w:color w:val="ff0000"/>
                <w:sz w:val="22"/>
                <w:szCs w:val="22"/>
              </w:rPr>
              <w:t xml:space="preserve">ông</w:t>
            </w:r>
            <w:commentRangeEnd w:id="2"/>
            <w:r>
              <w:commentReference w:id="2"/>
            </w:r>
            <w:r>
              <w:rPr>
                <w:rFonts w:ascii="Times New Roman" w:hAnsi="Times New Roman" w:eastAsia="Times New Roman" w:cs="Times New Roman"/>
                <w:color w:val="ff0000"/>
                <w:sz w:val="22"/>
                <w:szCs w:val="22"/>
              </w:rPr>
              <w:t xml:space="preserve"> trình trên đất</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2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trống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trống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sàn (m2)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Khoảng 151,4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highlight w:val="yellow"/>
              </w:rPr>
            </w:pPr>
            <w:r>
              <w:rPr>
                <w:rFonts w:ascii="Times New Roman" w:hAnsi="Times New Roman" w:eastAsia="Times New Roman" w:cs="Times New Roman"/>
                <w:color w:val="000000" w:themeColor="text1"/>
                <w:sz w:val="22"/>
                <w:szCs w:val="22"/>
                <w:highlight w:val="yellow"/>
              </w:rPr>
              <w:t xml:space="preserve">17</w:t>
            </w:r>
            <w:r>
              <w:rPr>
                <w:rFonts w:ascii="Times New Roman" w:hAnsi="Times New Roman" w:cs="Times New Roman"/>
                <w:color w:val="000000"/>
                <w:sz w:val="22"/>
                <w:szCs w:val="22"/>
                <w:highlight w:val="yellow"/>
              </w:rPr>
            </w:r>
            <w:r>
              <w:rPr>
                <w:rFonts w:ascii="Times New Roman" w:hAnsi="Times New Roman" w:cs="Times New Roman"/>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5.900.000.000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4.600.000.000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4.200.000.000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highlight w:val="yellow"/>
              </w:rPr>
            </w:pPr>
            <w:r>
              <w:rPr>
                <w:rFonts w:ascii="Times New Roman" w:hAnsi="Times New Roman" w:eastAsia="Times New Roman" w:cs="Times New Roman"/>
                <w:color w:val="000000" w:themeColor="text1"/>
                <w:sz w:val="22"/>
                <w:szCs w:val="22"/>
                <w:highlight w:val="yellow"/>
              </w:rPr>
              <w:t xml:space="preserve">18</w:t>
            </w:r>
            <w:r>
              <w:rPr>
                <w:rFonts w:ascii="Times New Roman" w:hAnsi="Times New Roman" w:cs="Times New Roman"/>
                <w:color w:val="000000"/>
                <w:sz w:val="22"/>
                <w:szCs w:val="22"/>
                <w:highlight w:val="yellow"/>
              </w:rPr>
            </w:r>
            <w:r>
              <w:rPr>
                <w:rFonts w:ascii="Times New Roman" w:hAnsi="Times New Roman" w:cs="Times New Roman"/>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5.310.000.000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4.140.000.000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3.780.000.000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Chi tiết tính toán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sz w:val="22"/>
                <w:szCs w:val="22"/>
                <w:highlight w:val="yellow"/>
              </w:rPr>
            </w:pPr>
            <w:r>
              <w:rPr>
                <w:rFonts w:ascii="Times New Roman" w:hAnsi="Times New Roman" w:eastAsia="Times New Roman" w:cs="Times New Roman"/>
                <w:b/>
                <w:bCs/>
                <w:color w:val="000000"/>
                <w:sz w:val="22"/>
                <w:szCs w:val="22"/>
                <w:highlight w:val="none"/>
              </w:rPr>
              <w:t xml:space="preserve">1</w:t>
            </w:r>
            <w:r>
              <w:rPr>
                <w:rFonts w:ascii="Times New Roman" w:hAnsi="Times New Roman" w:cs="Times New Roman"/>
                <w:b/>
                <w:bCs/>
                <w:color w:val="000000"/>
                <w:sz w:val="22"/>
                <w:szCs w:val="22"/>
                <w:highlight w:val="yellow"/>
              </w:rPr>
            </w:r>
            <w:r>
              <w:rPr>
                <w:rFonts w:ascii="Times New Roman" w:hAnsi="Times New Roman" w:cs="Times New Roman"/>
                <w:b/>
                <w:bCs/>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sz w:val="22"/>
                <w:szCs w:val="22"/>
                <w:highlight w:val="yellow"/>
              </w:rPr>
            </w:pPr>
            <w:r>
              <w:rPr>
                <w:rFonts w:ascii="Times New Roman" w:hAnsi="Times New Roman" w:eastAsia="Times New Roman" w:cs="Times New Roman"/>
                <w:b/>
                <w:bCs/>
                <w:color w:val="000000"/>
                <w:sz w:val="22"/>
                <w:szCs w:val="22"/>
                <w:highlight w:val="none"/>
              </w:rPr>
              <w:t xml:space="preserve">Giá trị Công trình xây dựng trên đất</w:t>
            </w:r>
            <w:r>
              <w:rPr>
                <w:rFonts w:ascii="Times New Roman" w:hAnsi="Times New Roman" w:cs="Times New Roman"/>
                <w:b/>
                <w:bCs/>
                <w:color w:val="000000"/>
                <w:sz w:val="22"/>
                <w:szCs w:val="22"/>
                <w:highlight w:val="yellow"/>
              </w:rPr>
            </w:r>
            <w:r>
              <w:rPr>
                <w:rFonts w:ascii="Times New Roman" w:hAnsi="Times New Roman" w:cs="Times New Roman"/>
                <w:b/>
                <w:bCs/>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sz w:val="22"/>
                <w:szCs w:val="22"/>
                <w:highlight w:val="yellow"/>
              </w:rPr>
            </w:pPr>
            <w:r>
              <w:rPr>
                <w:rFonts w:ascii="Times New Roman" w:hAnsi="Times New Roman" w:eastAsia="Times New Roman" w:cs="Times New Roman"/>
                <w:color w:val="000000"/>
                <w:sz w:val="22"/>
                <w:szCs w:val="22"/>
                <w:highlight w:val="yellow"/>
              </w:rPr>
            </w:r>
            <w:r>
              <w:rPr>
                <w:rFonts w:ascii="Times New Roman" w:hAnsi="Times New Roman" w:cs="Times New Roman"/>
                <w:color w:val="000000"/>
                <w:sz w:val="22"/>
                <w:szCs w:val="22"/>
                <w:highlight w:val="yellow"/>
              </w:rPr>
            </w:r>
            <w:r>
              <w:rPr>
                <w:rFonts w:ascii="Times New Roman" w:hAnsi="Times New Roman" w:cs="Times New Roman"/>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eastAsia="Times New Roman" w:cs="Times New Roman"/>
                <w:color w:val="ff0000"/>
                <w:sz w:val="22"/>
                <w:szCs w:val="22"/>
                <w:highlight w:val="white"/>
              </w:rPr>
              <w:t xml:space="preserve">982.900.336</w:t>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sz w:val="22"/>
                <w:szCs w:val="22"/>
                <w:highlight w:val="none"/>
              </w:rPr>
            </w:pPr>
            <w:r>
              <w:rPr>
                <w:rFonts w:ascii="Times New Roman" w:hAnsi="Times New Roman" w:eastAsia="Times New Roman" w:cs="Times New Roman"/>
                <w:b/>
                <w:bCs/>
                <w:color w:val="000000"/>
                <w:sz w:val="22"/>
                <w:szCs w:val="22"/>
                <w:highlight w:val="none"/>
              </w:rPr>
              <w:t xml:space="preserve">-</w:t>
            </w:r>
            <w:r>
              <w:rPr>
                <w:rFonts w:ascii="Times New Roman" w:hAnsi="Times New Roman" w:cs="Times New Roman"/>
                <w:b/>
                <w:bCs/>
                <w:color w:val="000000"/>
                <w:sz w:val="22"/>
                <w:szCs w:val="22"/>
                <w:highlight w:val="none"/>
              </w:rPr>
            </w:r>
            <w:r>
              <w:rPr>
                <w:rFonts w:ascii="Times New Roman" w:hAnsi="Times New Roman" w:cs="Times New Roman"/>
                <w:b/>
                <w:bCs/>
                <w:color w:val="000000"/>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sz w:val="22"/>
                <w:szCs w:val="22"/>
                <w:highlight w:val="yellow"/>
              </w:rPr>
            </w:pPr>
            <w:r>
              <w:rPr>
                <w:rFonts w:ascii="Times New Roman" w:hAnsi="Times New Roman" w:eastAsia="Times New Roman" w:cs="Times New Roman"/>
                <w:b/>
                <w:bCs/>
                <w:color w:val="000000"/>
                <w:sz w:val="22"/>
                <w:szCs w:val="22"/>
                <w:highlight w:val="none"/>
              </w:rPr>
              <w:t xml:space="preserve">Đơn giá xây mới theo Suất vốn ban hành bởi Bộ Xây dựng</w:t>
            </w:r>
            <w:r>
              <w:rPr>
                <w:rFonts w:ascii="Times New Roman" w:hAnsi="Times New Roman" w:cs="Times New Roman"/>
                <w:b/>
                <w:bCs/>
                <w:color w:val="000000"/>
                <w:sz w:val="22"/>
                <w:szCs w:val="22"/>
                <w:highlight w:val="yellow"/>
              </w:rPr>
            </w:r>
            <w:r>
              <w:rPr>
                <w:rFonts w:ascii="Times New Roman" w:hAnsi="Times New Roman" w:cs="Times New Roman"/>
                <w:b/>
                <w:bCs/>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sz w:val="22"/>
                <w:szCs w:val="22"/>
                <w:highlight w:val="yellow"/>
              </w:rPr>
            </w:pPr>
            <w:r>
              <w:rPr>
                <w:rFonts w:ascii="Times New Roman" w:hAnsi="Times New Roman" w:eastAsia="Times New Roman" w:cs="Times New Roman"/>
                <w:color w:val="000000"/>
                <w:sz w:val="22"/>
                <w:szCs w:val="22"/>
                <w:highlight w:val="yellow"/>
              </w:rPr>
            </w:r>
            <w:r>
              <w:rPr>
                <w:rFonts w:ascii="Times New Roman" w:hAnsi="Times New Roman" w:cs="Times New Roman"/>
                <w:color w:val="000000"/>
                <w:sz w:val="22"/>
                <w:szCs w:val="22"/>
                <w:highlight w:val="yellow"/>
              </w:rPr>
            </w:r>
            <w:r>
              <w:rPr>
                <w:rFonts w:ascii="Times New Roman" w:hAnsi="Times New Roman" w:cs="Times New Roman"/>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eastAsia="Times New Roman" w:cs="Times New Roman"/>
                <w:color w:val="ff0000"/>
                <w:sz w:val="22"/>
                <w:szCs w:val="22"/>
                <w:highlight w:val="white"/>
              </w:rPr>
              <w:t xml:space="preserve">7.213.418</w:t>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sz w:val="22"/>
                <w:szCs w:val="22"/>
                <w:highlight w:val="none"/>
              </w:rPr>
            </w:pPr>
            <w:r>
              <w:rPr>
                <w:rFonts w:ascii="Times New Roman" w:hAnsi="Times New Roman" w:eastAsia="Times New Roman" w:cs="Times New Roman"/>
                <w:b/>
                <w:bCs/>
                <w:color w:val="000000"/>
                <w:sz w:val="22"/>
                <w:szCs w:val="22"/>
                <w:highlight w:val="none"/>
              </w:rPr>
              <w:t xml:space="preserve">-</w:t>
            </w:r>
            <w:r>
              <w:rPr>
                <w:rFonts w:ascii="Times New Roman" w:hAnsi="Times New Roman" w:cs="Times New Roman"/>
                <w:b/>
                <w:bCs/>
                <w:color w:val="000000"/>
                <w:sz w:val="22"/>
                <w:szCs w:val="22"/>
                <w:highlight w:val="none"/>
              </w:rPr>
            </w:r>
            <w:r>
              <w:rPr>
                <w:rFonts w:ascii="Times New Roman" w:hAnsi="Times New Roman" w:cs="Times New Roman"/>
                <w:b/>
                <w:bCs/>
                <w:color w:val="000000"/>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sz w:val="22"/>
                <w:szCs w:val="22"/>
                <w:highlight w:val="yellow"/>
              </w:rPr>
            </w:pPr>
            <w:r>
              <w:rPr>
                <w:rFonts w:ascii="Times New Roman" w:hAnsi="Times New Roman" w:eastAsia="Times New Roman" w:cs="Times New Roman"/>
                <w:b/>
                <w:bCs/>
                <w:color w:val="000000"/>
                <w:sz w:val="22"/>
                <w:szCs w:val="22"/>
                <w:highlight w:val="none"/>
              </w:rPr>
              <w:t xml:space="preserve">Tỷ lệ CLCL (%)</w:t>
            </w:r>
            <w:r>
              <w:rPr>
                <w:rFonts w:ascii="Times New Roman" w:hAnsi="Times New Roman" w:cs="Times New Roman"/>
                <w:b/>
                <w:bCs/>
                <w:color w:val="000000"/>
                <w:sz w:val="22"/>
                <w:szCs w:val="22"/>
                <w:highlight w:val="yellow"/>
              </w:rPr>
            </w:r>
            <w:r>
              <w:rPr>
                <w:rFonts w:ascii="Times New Roman" w:hAnsi="Times New Roman" w:cs="Times New Roman"/>
                <w:b/>
                <w:bCs/>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sz w:val="22"/>
                <w:szCs w:val="22"/>
                <w:highlight w:val="yellow"/>
              </w:rPr>
            </w:pPr>
            <w:r>
              <w:rPr>
                <w:rFonts w:ascii="Times New Roman" w:hAnsi="Times New Roman" w:eastAsia="Times New Roman" w:cs="Times New Roman"/>
                <w:color w:val="000000"/>
                <w:sz w:val="22"/>
                <w:szCs w:val="22"/>
                <w:highlight w:val="yellow"/>
              </w:rPr>
            </w:r>
            <w:r>
              <w:rPr>
                <w:rFonts w:ascii="Times New Roman" w:hAnsi="Times New Roman" w:cs="Times New Roman"/>
                <w:color w:val="000000"/>
                <w:sz w:val="22"/>
                <w:szCs w:val="22"/>
                <w:highlight w:val="yellow"/>
              </w:rPr>
            </w:r>
            <w:r>
              <w:rPr>
                <w:rFonts w:ascii="Times New Roman" w:hAnsi="Times New Roman" w:cs="Times New Roman"/>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none"/>
              </w:rPr>
              <w:t xml:space="preserve">90 %</w:t>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r>
      <w:tr>
        <w:trPr>
          <w:trHeight w:val="1117"/>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sz w:val="22"/>
                <w:szCs w:val="22"/>
                <w:highlight w:val="yellow"/>
              </w:rPr>
            </w:pPr>
            <w:r>
              <w:rPr>
                <w:rFonts w:ascii="Times New Roman" w:hAnsi="Times New Roman" w:eastAsia="Times New Roman" w:cs="Times New Roman"/>
                <w:b/>
                <w:bCs/>
                <w:color w:val="000000"/>
                <w:sz w:val="22"/>
                <w:szCs w:val="22"/>
                <w:highlight w:val="none"/>
              </w:rPr>
              <w:t xml:space="preserve">2</w:t>
            </w:r>
            <w:r>
              <w:rPr>
                <w:rFonts w:ascii="Times New Roman" w:hAnsi="Times New Roman" w:cs="Times New Roman"/>
                <w:b/>
                <w:bCs/>
                <w:color w:val="000000"/>
                <w:sz w:val="22"/>
                <w:szCs w:val="22"/>
                <w:highlight w:val="yellow"/>
              </w:rPr>
            </w:r>
            <w:r>
              <w:rPr>
                <w:rFonts w:ascii="Times New Roman" w:hAnsi="Times New Roman" w:cs="Times New Roman"/>
                <w:b/>
                <w:bCs/>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sz w:val="22"/>
                <w:szCs w:val="22"/>
                <w:highlight w:val="yellow"/>
              </w:rPr>
            </w:pPr>
            <w:r>
              <w:rPr>
                <w:rFonts w:ascii="Times New Roman" w:hAnsi="Times New Roman" w:eastAsia="Times New Roman" w:cs="Times New Roman"/>
                <w:b/>
                <w:bCs/>
                <w:color w:val="000000"/>
                <w:sz w:val="22"/>
                <w:szCs w:val="22"/>
                <w:highlight w:val="none"/>
              </w:rPr>
              <w:t xml:space="preserve">Giá trị đất thuộc quy hoạch hàng lang giao thông tạm tính đơn giá NN</w:t>
            </w:r>
            <w:r>
              <w:rPr>
                <w:rFonts w:ascii="Times New Roman" w:hAnsi="Times New Roman" w:cs="Times New Roman"/>
                <w:b/>
                <w:bCs/>
                <w:color w:val="000000"/>
                <w:sz w:val="22"/>
                <w:szCs w:val="22"/>
                <w:highlight w:val="yellow"/>
              </w:rPr>
            </w:r>
            <w:r>
              <w:rPr>
                <w:rFonts w:ascii="Times New Roman" w:hAnsi="Times New Roman" w:cs="Times New Roman"/>
                <w:b/>
                <w:bCs/>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sz w:val="22"/>
                <w:szCs w:val="22"/>
                <w:highlight w:val="yellow"/>
              </w:rPr>
            </w:pPr>
            <w:r>
              <w:rPr>
                <w:rFonts w:ascii="Times New Roman" w:hAnsi="Times New Roman" w:eastAsia="Times New Roman" w:cs="Times New Roman"/>
                <w:color w:val="000000"/>
                <w:sz w:val="22"/>
                <w:szCs w:val="22"/>
                <w:highlight w:val="yellow"/>
              </w:rPr>
            </w:r>
            <w:r>
              <w:rPr>
                <w:rFonts w:ascii="Times New Roman" w:hAnsi="Times New Roman" w:cs="Times New Roman"/>
                <w:color w:val="000000"/>
                <w:sz w:val="22"/>
                <w:szCs w:val="22"/>
                <w:highlight w:val="yellow"/>
              </w:rPr>
            </w:r>
            <w:r>
              <w:rPr>
                <w:rFonts w:ascii="Times New Roman" w:hAnsi="Times New Roman" w:cs="Times New Roman"/>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eastAsia="Times New Roman" w:cs="Times New Roman"/>
                <w:color w:val="ff0000"/>
                <w:sz w:val="22"/>
                <w:szCs w:val="22"/>
                <w:highlight w:val="white"/>
              </w:rPr>
              <w:t xml:space="preserve">504.000.000</w:t>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none"/>
              </w:rPr>
              <w:t xml:space="preserve">410.000.000</w:t>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sz w:val="22"/>
                <w:szCs w:val="22"/>
                <w:highlight w:val="yellow"/>
              </w:rPr>
            </w:pPr>
            <w:r>
              <w:rPr>
                <w:rFonts w:ascii="Times New Roman" w:hAnsi="Times New Roman" w:eastAsia="Times New Roman" w:cs="Times New Roman"/>
                <w:b/>
                <w:bCs/>
                <w:color w:val="000000"/>
                <w:sz w:val="22"/>
                <w:szCs w:val="22"/>
                <w:highlight w:val="yellow"/>
              </w:rPr>
            </w:r>
            <w:r>
              <w:rPr>
                <w:rFonts w:ascii="Times New Roman" w:hAnsi="Times New Roman" w:cs="Times New Roman"/>
                <w:b/>
                <w:bCs/>
                <w:color w:val="000000"/>
                <w:sz w:val="22"/>
                <w:szCs w:val="22"/>
                <w:highlight w:val="yellow"/>
              </w:rPr>
            </w:r>
            <w:r>
              <w:rPr>
                <w:rFonts w:ascii="Times New Roman" w:hAnsi="Times New Roman" w:cs="Times New Roman"/>
                <w:b/>
                <w:bCs/>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sz w:val="22"/>
                <w:szCs w:val="22"/>
                <w:highlight w:val="yellow"/>
              </w:rPr>
            </w:pPr>
            <w:r>
              <w:rPr>
                <w:rFonts w:ascii="Times New Roman" w:hAnsi="Times New Roman" w:eastAsia="Times New Roman" w:cs="Times New Roman"/>
                <w:b/>
                <w:bCs/>
                <w:color w:val="000000"/>
                <w:sz w:val="22"/>
                <w:szCs w:val="22"/>
                <w:highlight w:val="none"/>
              </w:rPr>
              <w:t xml:space="preserve">Đơn giá UBND</w:t>
            </w:r>
            <w:r>
              <w:rPr>
                <w:rFonts w:ascii="Times New Roman" w:hAnsi="Times New Roman" w:cs="Times New Roman"/>
                <w:b/>
                <w:bCs/>
                <w:color w:val="000000"/>
                <w:sz w:val="22"/>
                <w:szCs w:val="22"/>
                <w:highlight w:val="yellow"/>
              </w:rPr>
            </w:r>
            <w:r>
              <w:rPr>
                <w:rFonts w:ascii="Times New Roman" w:hAnsi="Times New Roman" w:cs="Times New Roman"/>
                <w:b/>
                <w:bCs/>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sz w:val="22"/>
                <w:szCs w:val="22"/>
                <w:highlight w:val="yellow"/>
              </w:rPr>
            </w:pPr>
            <w:r>
              <w:rPr>
                <w:rFonts w:ascii="Times New Roman" w:hAnsi="Times New Roman" w:eastAsia="Times New Roman" w:cs="Times New Roman"/>
                <w:color w:val="000000"/>
                <w:sz w:val="22"/>
                <w:szCs w:val="22"/>
                <w:highlight w:val="yellow"/>
              </w:rPr>
            </w:r>
            <w:r>
              <w:rPr>
                <w:rFonts w:ascii="Times New Roman" w:hAnsi="Times New Roman" w:cs="Times New Roman"/>
                <w:color w:val="000000"/>
                <w:sz w:val="22"/>
                <w:szCs w:val="22"/>
                <w:highlight w:val="yellow"/>
              </w:rPr>
            </w:r>
            <w:r>
              <w:rPr>
                <w:rFonts w:ascii="Times New Roman" w:hAnsi="Times New Roman" w:cs="Times New Roman"/>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none"/>
              </w:rPr>
              <w:t xml:space="preserve">12.000.000</w:t>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none"/>
              </w:rPr>
              <w:t xml:space="preserve">10.000.000</w:t>
            </w:r>
            <w:r>
              <w:rPr>
                <w:rFonts w:ascii="Times New Roman" w:hAnsi="Times New Roman" w:cs="Times New Roman"/>
                <w:color w:val="ff0000"/>
                <w:sz w:val="22"/>
                <w:szCs w:val="22"/>
                <w:highlight w:val="yellow"/>
              </w:rPr>
            </w:r>
            <w:r>
              <w:rPr>
                <w:rFonts w:ascii="Times New Roman" w:hAnsi="Times New Roman" w:cs="Times New Roman"/>
                <w:color w:val="ff0000"/>
                <w:sz w:val="22"/>
                <w:szCs w:val="22"/>
                <w:highlight w:val="yellow"/>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sz w:val="22"/>
                <w:szCs w:val="22"/>
                <w:highlight w:val="yellow"/>
              </w:rPr>
            </w:pPr>
            <w:r>
              <w:rPr>
                <w:rFonts w:ascii="Times New Roman" w:hAnsi="Times New Roman" w:eastAsia="Times New Roman" w:cs="Times New Roman"/>
                <w:b/>
                <w:bCs/>
                <w:color w:val="000000"/>
                <w:sz w:val="22"/>
                <w:szCs w:val="22"/>
                <w:highlight w:val="yellow"/>
              </w:rPr>
              <w:t xml:space="preserve">3</w:t>
            </w:r>
            <w:r>
              <w:rPr>
                <w:rFonts w:ascii="Times New Roman" w:hAnsi="Times New Roman" w:cs="Times New Roman"/>
                <w:b/>
                <w:bCs/>
                <w:color w:val="000000"/>
                <w:sz w:val="22"/>
                <w:szCs w:val="22"/>
                <w:highlight w:val="yellow"/>
              </w:rPr>
            </w:r>
            <w:r>
              <w:rPr>
                <w:rFonts w:ascii="Times New Roman" w:hAnsi="Times New Roman" w:cs="Times New Roman"/>
                <w:b/>
                <w:bCs/>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sz w:val="22"/>
                <w:szCs w:val="22"/>
                <w:highlight w:val="yellow"/>
              </w:rPr>
            </w:pPr>
            <w:r>
              <w:rPr>
                <w:rFonts w:ascii="Times New Roman" w:hAnsi="Times New Roman" w:eastAsia="Times New Roman" w:cs="Times New Roman"/>
                <w:b/>
                <w:bCs/>
                <w:color w:val="000000"/>
                <w:sz w:val="22"/>
                <w:szCs w:val="22"/>
                <w:highlight w:val="yellow"/>
              </w:rPr>
              <w:t xml:space="preserve">Giá trị đất ngoài quy hoạch (đồng)</w:t>
            </w:r>
            <w:r>
              <w:rPr>
                <w:rFonts w:ascii="Times New Roman" w:hAnsi="Times New Roman" w:cs="Times New Roman"/>
                <w:b/>
                <w:bCs/>
                <w:color w:val="000000"/>
                <w:sz w:val="22"/>
                <w:szCs w:val="22"/>
                <w:highlight w:val="yellow"/>
              </w:rPr>
            </w:r>
            <w:r>
              <w:rPr>
                <w:rFonts w:ascii="Times New Roman" w:hAnsi="Times New Roman" w:cs="Times New Roman"/>
                <w:b/>
                <w:bCs/>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highlight w:val="yellow"/>
              </w:rPr>
            </w:pPr>
            <w:r>
              <w:rPr>
                <w:rFonts w:ascii="Times New Roman" w:hAnsi="Times New Roman" w:eastAsia="Times New Roman" w:cs="Times New Roman"/>
                <w:color w:val="000000"/>
                <w:sz w:val="22"/>
                <w:szCs w:val="22"/>
                <w:highlight w:val="yellow"/>
              </w:rPr>
              <w:t xml:space="preserve"> </w:t>
            </w:r>
            <w:r>
              <w:rPr>
                <w:rFonts w:ascii="Times New Roman" w:hAnsi="Times New Roman" w:cs="Times New Roman"/>
                <w:color w:val="000000"/>
                <w:sz w:val="22"/>
                <w:szCs w:val="22"/>
                <w:highlight w:val="yellow"/>
              </w:rPr>
            </w:r>
            <w:r>
              <w:rPr>
                <w:rFonts w:ascii="Times New Roman" w:hAnsi="Times New Roman" w:cs="Times New Roman"/>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eastAsia="Times New Roman" w:cs="Times New Roman"/>
                <w:color w:val="ff0000"/>
                <w:sz w:val="22"/>
                <w:szCs w:val="22"/>
                <w:highlight w:val="white"/>
              </w:rPr>
              <w:t xml:space="preserve">3.823.099.664</w:t>
            </w: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eastAsia="Times New Roman" w:cs="Times New Roman"/>
                <w:color w:val="ff0000"/>
                <w:sz w:val="22"/>
                <w:szCs w:val="22"/>
                <w:highlight w:val="white"/>
              </w:rPr>
              <w:t xml:space="preserve">4.140.000.000</w:t>
            </w: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ff0000"/>
                <w:sz w:val="22"/>
                <w:szCs w:val="22"/>
                <w:highlight w:val="yellow"/>
              </w:rPr>
            </w:pPr>
            <w:r>
              <w:rPr>
                <w:rFonts w:ascii="Times New Roman" w:hAnsi="Times New Roman" w:eastAsia="Times New Roman" w:cs="Times New Roman"/>
                <w:color w:val="ff0000"/>
                <w:sz w:val="22"/>
                <w:szCs w:val="22"/>
                <w:highlight w:val="yellow"/>
              </w:rPr>
            </w:r>
            <w:r>
              <w:rPr>
                <w:rFonts w:ascii="Times New Roman" w:hAnsi="Times New Roman" w:eastAsia="Times New Roman" w:cs="Times New Roman"/>
                <w:color w:val="ff0000"/>
                <w:sz w:val="22"/>
                <w:szCs w:val="22"/>
                <w:highlight w:val="white"/>
              </w:rPr>
              <w:t xml:space="preserve">3.370.000.000</w:t>
            </w:r>
            <w:r>
              <w:rPr>
                <w:rFonts w:ascii="Times New Roman" w:hAnsi="Times New Roman" w:eastAsia="Times New Roman" w:cs="Times New Roman"/>
                <w:color w:val="ff0000"/>
                <w:sz w:val="22"/>
                <w:szCs w:val="22"/>
                <w:highlight w:val="yellow"/>
              </w:rPr>
            </w:r>
            <w:r>
              <w:rPr>
                <w:rFonts w:ascii="Times New Roman" w:hAnsi="Times New Roman" w:cs="Times New Roman"/>
                <w:color w:val="ff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4</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Đơn giá QSDĐ (đồng/m²)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50.503.298</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42.244.898</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44.635.762</w:t>
            </w:r>
            <w:r>
              <w:rPr>
                <w:rFonts w:ascii="Times New Roman" w:hAnsi="Times New Roman" w:cs="Times New Roman"/>
                <w:color w:val="ff0000"/>
                <w:sz w:val="22"/>
                <w:szCs w:val="22"/>
              </w:rPr>
            </w:r>
            <w:r>
              <w:rPr>
                <w:rFonts w:ascii="Times New Roman" w:hAnsi="Times New Roman" w:cs="Times New Roman"/>
                <w:color w:val="ff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C</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NHẬN XÉT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Bất lợi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3.823.099.664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3.370.000.000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50.503.298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42.244.898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44.635.762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ff0000"/>
                <w:sz w:val="22"/>
                <w:szCs w:val="22"/>
              </w:rPr>
            </w:pPr>
            <w:r>
              <w:rPr>
                <w:color w:val="ff0000"/>
                <w:sz w:val="22"/>
                <w:szCs w:val="22"/>
              </w:rPr>
              <w:t xml:space="preserve">Có Giấy chứng nhận quyền sử dụng đất</w:t>
            </w:r>
            <w:r>
              <w:rPr>
                <w:b/>
                <w:bCs/>
                <w:color w:val="ff0000"/>
                <w:sz w:val="22"/>
                <w:szCs w:val="22"/>
              </w:rPr>
            </w:r>
            <w:r>
              <w:rPr>
                <w:b/>
                <w:bCs/>
                <w:color w:val="ff0000"/>
                <w:sz w:val="22"/>
                <w:szCs w:val="22"/>
              </w:rPr>
            </w:r>
          </w:p>
        </w:tc>
        <w:tc>
          <w:tcPr>
            <w:shd w:val="clear" w:color="000000" w:fill="ffffff"/>
            <w:tcBorders/>
            <w:tcW w:w="1522" w:type="dxa"/>
            <w:vAlign w:val="center"/>
            <w:textDirection w:val="lrTb"/>
            <w:noWrap w:val="false"/>
          </w:tcPr>
          <w:p>
            <w:pPr>
              <w:pBdr/>
              <w:spacing/>
              <w:ind/>
              <w:jc w:val="center"/>
              <w:rPr>
                <w:color w:val="ff0000"/>
              </w:rPr>
            </w:pPr>
            <w:r>
              <w:rPr>
                <w:color w:val="ff0000"/>
              </w:rPr>
            </w:r>
            <w:r>
              <w:rPr>
                <w:color w:val="ff0000"/>
                <w:sz w:val="22"/>
                <w:szCs w:val="22"/>
              </w:rPr>
              <w:t xml:space="preserve">Có Giấy chứng nhận quyền sử dụng đấ</w:t>
            </w:r>
            <w:r>
              <w:rPr>
                <w:color w:val="ff0000"/>
              </w:rPr>
            </w:r>
            <w:r>
              <w:rPr>
                <w:color w:val="ff0000"/>
              </w:rPr>
            </w:r>
          </w:p>
        </w:tc>
        <w:tc>
          <w:tcPr>
            <w:shd w:val="clear" w:color="000000" w:fill="ffffff"/>
            <w:tcBorders/>
            <w:tcW w:w="1522" w:type="dxa"/>
            <w:vAlign w:val="center"/>
            <w:textDirection w:val="lrTb"/>
            <w:noWrap w:val="false"/>
          </w:tcPr>
          <w:p>
            <w:pPr>
              <w:pBdr/>
              <w:spacing/>
              <w:ind/>
              <w:jc w:val="center"/>
              <w:rPr>
                <w:color w:val="ff0000"/>
              </w:rPr>
            </w:pPr>
            <w:r>
              <w:rPr>
                <w:color w:val="ff0000"/>
              </w:rPr>
            </w:r>
            <w:r>
              <w:rPr>
                <w:color w:val="ff0000"/>
                <w:sz w:val="22"/>
                <w:szCs w:val="22"/>
              </w:rPr>
              <w:t xml:space="preserve">Có Giấy chứng nhận quyền sử dụng đấ</w:t>
            </w:r>
            <w:r>
              <w:rPr>
                <w:color w:val="ff0000"/>
              </w:rPr>
            </w:r>
            <w:r>
              <w:rPr>
                <w:color w:val="ff0000"/>
              </w:rPr>
            </w:r>
          </w:p>
        </w:tc>
        <w:tc>
          <w:tcPr>
            <w:shd w:val="clear" w:color="000000" w:fill="ffffff"/>
            <w:tcBorders/>
            <w:tcW w:w="1522" w:type="dxa"/>
            <w:vAlign w:val="center"/>
            <w:textDirection w:val="lrTb"/>
            <w:noWrap w:val="false"/>
          </w:tcPr>
          <w:p>
            <w:pPr>
              <w:pBdr/>
              <w:spacing/>
              <w:ind/>
              <w:jc w:val="center"/>
              <w:rPr>
                <w:color w:val="ff0000"/>
              </w:rPr>
            </w:pPr>
            <w:r>
              <w:rPr>
                <w:color w:val="ff0000"/>
              </w:rPr>
            </w:r>
            <w:r>
              <w:rPr>
                <w:color w:val="ff0000"/>
                <w:sz w:val="22"/>
                <w:szCs w:val="22"/>
              </w:rPr>
              <w:t xml:space="preserve">Có Giấy chứng nhận quyền sử dụng đấ</w:t>
            </w:r>
            <w:r>
              <w:rPr>
                <w:color w:val="ff0000"/>
              </w:rPr>
            </w:r>
            <w:r>
              <w:rPr>
                <w:color w:val="ff000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50.503.298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42.244.898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44.635.762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50.503.298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42.244.898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44.635.762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50.503.298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42.244.898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44.635.762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w:t>
            </w:r>
            <w:r>
              <w:rPr>
                <w:color w:val="000000" w:themeColor="text1"/>
                <w:sz w:val="22"/>
                <w:szCs w:val="22"/>
              </w:rPr>
              <w:t xml:space="preserve">Thôn Ngọc Chử, xã Trường Thọ, huyện An Lão, Thành phố Hải Phòng (nay là xã An Trường, thành phố Hải Phòng). Tài sản giáp</w:t>
            </w:r>
            <w:r>
              <w:rPr>
                <w:color w:val="000000" w:themeColor="text1"/>
                <w:sz w:val="22"/>
                <w:szCs w:val="22"/>
              </w:rPr>
              <w:t xml:space="preserve"> đường liên xã</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An Trường, Thành phố Hải Phòng, </w:t>
            </w:r>
            <w:r>
              <w:rPr>
                <w:color w:val="000000" w:themeColor="text1"/>
                <w:sz w:val="22"/>
                <w:szCs w:val="22"/>
              </w:rPr>
              <w:t xml:space="preserve">Tài sản giáp</w:t>
            </w:r>
            <w:r>
              <w:rPr>
                <w:color w:val="000000" w:themeColor="text1"/>
                <w:sz w:val="22"/>
                <w:szCs w:val="22"/>
              </w:rPr>
              <w:t xml:space="preserve"> đường liên xã</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Tài sản tại: Xã An Trường, Thành phố Hải Phòng, </w:t>
            </w:r>
            <w:r>
              <w:rPr>
                <w:color w:val="000000" w:themeColor="text1"/>
                <w:sz w:val="22"/>
                <w:szCs w:val="22"/>
              </w:rPr>
              <w:t xml:space="preserve">Tài sản giáp</w:t>
            </w:r>
            <w:r>
              <w:rPr>
                <w:color w:val="000000" w:themeColor="text1"/>
                <w:sz w:val="22"/>
                <w:szCs w:val="22"/>
              </w:rPr>
              <w:t xml:space="preserve"> đường liên xã</w:t>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Tài sản tại: Xã An Trường, Thành phố Hải Phòng, </w:t>
            </w:r>
            <w:r>
              <w:rPr>
                <w:color w:val="000000" w:themeColor="text1"/>
                <w:sz w:val="22"/>
                <w:szCs w:val="22"/>
              </w:rPr>
              <w:t xml:space="preserve">Tài sản giáp</w:t>
            </w:r>
            <w:r>
              <w:rPr>
                <w:color w:val="000000" w:themeColor="text1"/>
                <w:sz w:val="22"/>
                <w:szCs w:val="22"/>
              </w:rPr>
              <w:t xml:space="preserve"> đường liên xã</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50.503.298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42.244.898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44.635.762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892.715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50.503.298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42.244.898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45.528.477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2.231.788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50.503.298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42.244.898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47.760.265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75,7 (QH: 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75,5 (QH: 41)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-7.575.495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-5.069.388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-6.695.364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42.927.803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37.175.510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41.064.901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4.696.845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3.379.592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5.006.623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47.624.648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40.555.102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46.071.524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C.9</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-2.525.165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45.099.483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40.555.102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46.071.524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C.10</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45.099.483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40.555.102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46.071.524</w:t>
            </w:r>
            <w:r>
              <w:rPr>
                <w:color w:val="000000"/>
                <w:sz w:val="22"/>
                <w:szCs w:val="22"/>
              </w:rPr>
            </w:r>
            <w:r>
              <w:rPr>
                <w:color w:val="000000"/>
                <w:sz w:val="22"/>
                <w:szCs w:val="22"/>
              </w:rPr>
            </w:r>
          </w:p>
        </w:tc>
      </w:tr>
      <w:tr>
        <w:trPr>
          <w:trHeight w:val="253"/>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C.11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ff0000"/>
                <w:sz w:val="22"/>
                <w:szCs w:val="22"/>
              </w:rPr>
            </w:pPr>
            <w:r>
              <w:rPr>
                <w:color w:val="ff0000"/>
                <w:sz w:val="22"/>
                <w:szCs w:val="22"/>
              </w:rPr>
              <w:t xml:space="preserve">Không có</w:t>
            </w:r>
            <w:r>
              <w:rPr>
                <w:b/>
                <w:bCs/>
                <w:color w:val="ff0000"/>
                <w:sz w:val="22"/>
                <w:szCs w:val="22"/>
              </w:rPr>
            </w:r>
            <w:r>
              <w:rPr>
                <w:b/>
                <w:bCs/>
                <w:color w:val="ff0000"/>
                <w:sz w:val="22"/>
                <w:szCs w:val="22"/>
              </w:rPr>
            </w:r>
          </w:p>
        </w:tc>
        <w:tc>
          <w:tcPr>
            <w:shd w:val="clear" w:color="000000" w:fill="ffffff"/>
            <w:tcBorders/>
            <w:tcW w:w="1522" w:type="dxa"/>
            <w:vAlign w:val="center"/>
            <w:textDirection w:val="lrTb"/>
            <w:noWrap w:val="false"/>
          </w:tcPr>
          <w:p>
            <w:pPr>
              <w:pBdr/>
              <w:spacing/>
              <w:ind/>
              <w:jc w:val="center"/>
              <w:rPr>
                <w:b/>
                <w:bCs/>
                <w:color w:val="ff0000"/>
                <w:sz w:val="22"/>
                <w:szCs w:val="22"/>
              </w:rPr>
            </w:pPr>
            <w:r>
              <w:rPr>
                <w:color w:val="ff0000"/>
                <w:sz w:val="22"/>
                <w:szCs w:val="22"/>
              </w:rPr>
              <w:t xml:space="preserve">Không có</w:t>
            </w:r>
            <w:r>
              <w:rPr>
                <w:b/>
                <w:bCs/>
                <w:color w:val="ff0000"/>
                <w:sz w:val="22"/>
                <w:szCs w:val="22"/>
              </w:rPr>
            </w:r>
            <w:r>
              <w:rPr>
                <w:b/>
                <w:bCs/>
                <w:color w:val="ff0000"/>
                <w:sz w:val="22"/>
                <w:szCs w:val="22"/>
              </w:rPr>
            </w:r>
          </w:p>
          <w:p>
            <w:pPr>
              <w:pBdr/>
              <w:spacing/>
              <w:ind/>
              <w:jc w:val="center"/>
              <w:rPr>
                <w:b/>
                <w:bCs/>
                <w:color w:val="ff0000"/>
                <w:sz w:val="22"/>
                <w:szCs w:val="22"/>
              </w:rPr>
            </w:pPr>
            <w:r>
              <w:rPr>
                <w:color w:val="ff0000"/>
                <w:sz w:val="22"/>
                <w:szCs w:val="22"/>
              </w:rPr>
            </w:r>
            <w:r>
              <w:rPr>
                <w:b/>
                <w:bCs/>
                <w:color w:val="ff0000"/>
                <w:sz w:val="22"/>
                <w:szCs w:val="22"/>
              </w:rPr>
            </w:r>
            <w:r>
              <w:rPr>
                <w:b/>
                <w:bCs/>
                <w:color w:val="ff0000"/>
                <w:sz w:val="22"/>
                <w:szCs w:val="22"/>
              </w:rPr>
            </w:r>
          </w:p>
        </w:tc>
        <w:tc>
          <w:tcPr>
            <w:shd w:val="clear" w:color="000000" w:fill="ffffff"/>
            <w:tcBorders/>
            <w:tcW w:w="1522" w:type="dxa"/>
            <w:vAlign w:val="center"/>
            <w:textDirection w:val="lrTb"/>
            <w:noWrap w:val="false"/>
          </w:tcPr>
          <w:p>
            <w:pPr>
              <w:pBdr/>
              <w:spacing/>
              <w:ind/>
              <w:jc w:val="center"/>
              <w:rPr/>
            </w:pPr>
            <w:r>
              <w:rPr>
                <w:color w:val="ff0000"/>
                <w:sz w:val="22"/>
                <w:szCs w:val="22"/>
              </w:rPr>
              <w:t xml:space="preserve">View mộ, gần đối diện mộ</w:t>
            </w:r>
            <w:r>
              <w:rPr>
                <w:color w:val="ff0000"/>
                <w:sz w:val="22"/>
                <w:szCs w:val="22"/>
              </w:rPr>
            </w:r>
            <w:r/>
          </w:p>
        </w:tc>
        <w:tc>
          <w:tcPr>
            <w:shd w:val="clear" w:color="000000" w:fill="ffffff"/>
            <w:tcBorders/>
            <w:tcW w:w="1522" w:type="dxa"/>
            <w:vAlign w:val="center"/>
            <w:textDirection w:val="lrTb"/>
            <w:noWrap w:val="false"/>
          </w:tcPr>
          <w:p>
            <w:pPr>
              <w:pBdr/>
              <w:spacing/>
              <w:ind/>
              <w:jc w:val="center"/>
              <w:rPr>
                <w:b/>
                <w:bCs/>
                <w:color w:val="ff0000"/>
                <w:sz w:val="22"/>
                <w:szCs w:val="22"/>
              </w:rPr>
            </w:pPr>
            <w:r>
              <w:rPr>
                <w:color w:val="ff0000"/>
                <w:sz w:val="22"/>
                <w:szCs w:val="22"/>
              </w:rPr>
              <w:t xml:space="preserve">Không có</w:t>
            </w:r>
            <w:r>
              <w:rPr>
                <w:b/>
                <w:bCs/>
                <w:color w:val="ff0000"/>
                <w:sz w:val="22"/>
                <w:szCs w:val="22"/>
              </w:rPr>
            </w:r>
            <w:r>
              <w:rPr>
                <w:b/>
                <w:bCs/>
                <w:color w:val="ff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6.336.735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45.099.483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46.891.837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46.071.524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45.099.483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46.891.837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46.071.524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46.020.948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14.797.505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14.785.715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14.826.490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- 15</w:t>
            </w:r>
            <w:r>
              <w:rPr>
                <w:color w:val="000000" w:themeColor="text1"/>
                <w:sz w:val="22"/>
                <w:szCs w:val="22"/>
                <w:highlight w:val="none"/>
              </w:rPr>
              <w:t xml:space="preserve">%</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- 15%</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- 15%</w:t>
            </w:r>
            <w:r>
              <w:rPr>
                <w:sz w:val="22"/>
                <w:szCs w:val="22"/>
                <w:highlight w:val="none"/>
              </w:rPr>
            </w:r>
            <w:r>
              <w:rPr>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5.403.815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4.646.939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1.435.762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w:t>
      </w:r>
      <w:r>
        <w:t xml:space="preserve">% đến</w:t>
      </w:r>
      <w:r>
        <w:t xml:space="preserve"> </w:t>
      </w:r>
      <w:r>
        <w:t xml:space="preserve"> </w:t>
      </w:r>
      <w:r>
        <w:t xml:space="preserve">1,89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45.099.483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15.036.168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46.891.837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15.629.049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46.071.524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15.355.639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46.020.856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46.000.000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46.000.000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Tài sản thẩm định: Quyền sử dụng đất và công trình xây dựng trên đất tại thửa đất số 81, tờ bản đồ số 171-A-2, có địa chỉ thôn Ngọc Chử, xã Trường Thọ, thành phố Hải Phòng (nay là xã An Trườn</w:t>
            </w:r>
            <w:r>
              <w:rPr>
                <w:color w:val="000000"/>
              </w:rPr>
              <w:t xml:space="preserve">g, thành phố Hải Phòng) theo Giấy chứng nhận quyền sử dụng đất, quyền sở hữu nhà ở và tài sản gắn liền với đất số: BS 425163, số vào sổ cấp GCN: CH 0067/AL do UBND huyện An Lão  cấp ngày 24/04/2015. Chủ sử dụng đất là ông Bùi Văn Hùy và bà Nguyễn Thị Chúc.</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251</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46.000.000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11.546.000.000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11.546.000.000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một tỷ năm trăm bốn mươi sáu triệu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top w:val="none" w:color="000000" w:sz="4" w:space="0"/>
          <w:left w:val="none" w:color="000000" w:sz="4" w:space="0"/>
          <w:bottom w:val="none" w:color="000000" w:sz="4" w:space="0"/>
          <w:right w:val="none" w:color="000000" w:sz="4" w:space="0"/>
        </w:pBdr>
        <w:spacing w:after="120" w:before="120" w:line="288" w:lineRule="auto"/>
        <w:ind w:hanging="357" w:left="357"/>
        <w:jc w:val="both"/>
        <w:rPr>
          <w:lang w:val="pt-BR"/>
          <w14:ligatures w14:val="none"/>
        </w:rPr>
      </w:pPr>
      <w:r>
        <w:rPr>
          <w:shd w:val="clear" w:color="auto" w:fill="ffffff"/>
          <w:lang w:val="pt-BR" w:bidi="pt-BR"/>
        </w:rPr>
      </w:r>
      <w:r>
        <w:rPr>
          <w:shd w:val="clear" w:color="auto" w:fill="ffffff"/>
          <w:lang w:val="pt-BR"/>
        </w:rPr>
        <w:t xml:space="preserve">Tại thời điểm khảo sát, </w:t>
      </w:r>
      <w:r>
        <w:rPr>
          <w:shd w:val="clear" w:color="auto" w:fill="ffffff"/>
          <w:lang w:val="pt-BR"/>
        </w:rPr>
        <w:t xml:space="preserve">trên đất là nhà 2 tầng. Kết cấu: Móng BTCT, tường gạch xây, nền gạch men, mái BTCT. Hiện đang sử dụng để ở bình thường.</w:t>
      </w:r>
      <w:r>
        <w:rPr>
          <w:shd w:val="clear" w:color="auto" w:fill="ffffff"/>
          <w:lang w:val="pt-BR"/>
        </w:rPr>
        <w:t xml:space="preserve"> CTXD trên chưa được chứng nhận trên GCN số: </w:t>
      </w:r>
      <w:r>
        <w:rPr>
          <w:shd w:val="clear" w:color="auto" w:fill="ffffff"/>
          <w:lang w:val="pt-BR"/>
        </w:rPr>
        <w:t xml:space="preserve">BS 425163</w:t>
      </w:r>
      <w:r>
        <w:rPr>
          <w:shd w:val="clear" w:color="auto" w:fill="ffffff"/>
          <w:lang w:val="pt-BR"/>
        </w:rPr>
        <w:t xml:space="preserve">. </w:t>
      </w:r>
      <w:r>
        <w:rPr>
          <w:shd w:val="clear" w:color="auto" w:fill="ffffff"/>
          <w:lang w:val="pt-BR"/>
        </w:rPr>
        <w:t xml:space="preserve">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w:t>
      </w:r>
      <w:r>
        <w:rPr>
          <w:shd w:val="clear" w:color="auto" w:fill="ffffff"/>
          <w:lang w:val="pt-BR"/>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Pr>
          <w:shd w:val="clear" w:color="auto" w:fill="ffffff"/>
          <w:lang w:val="pt-BR"/>
        </w:rPr>
      </w:r>
      <w:r>
        <w:rPr>
          <w:lang w:val="pt-BR"/>
          <w14:ligatures w14:val="none"/>
        </w:rPr>
      </w:r>
    </w:p>
    <w:p>
      <w:pPr>
        <w:pStyle w:val="1033"/>
        <w:numPr>
          <w:ilvl w:val="0"/>
          <w:numId w:val="5"/>
        </w:numPr>
        <w:pBdr>
          <w:top w:val="none" w:color="000000" w:sz="4" w:space="0"/>
          <w:left w:val="none" w:color="000000" w:sz="4" w:space="0"/>
          <w:bottom w:val="none" w:color="000000" w:sz="4" w:space="0"/>
          <w:right w:val="none" w:color="000000" w:sz="4" w:space="0"/>
        </w:pBdr>
        <w:spacing w:after="120" w:before="120" w:line="288" w:lineRule="auto"/>
        <w:ind w:hanging="357" w:left="357"/>
        <w:jc w:val="both"/>
        <w:rPr>
          <w:lang w:val="pt-BR"/>
          <w14:ligatures w14:val="none"/>
        </w:rPr>
      </w:pPr>
      <w:r>
        <w:rPr>
          <w:shd w:val="clear" w:color="auto" w:fill="ffffff"/>
          <w:lang w:val="pt-BR" w:bidi="pt-BR"/>
        </w:rPr>
      </w:r>
      <w:r>
        <w:rPr>
          <w:shd w:val="clear" w:color="auto" w:fill="ffffff"/>
          <w:lang w:val="pt-BR"/>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 </w:t>
      </w:r>
      <w:r>
        <w:rPr>
          <w:shd w:val="clear" w:color="auto" w:fill="ffffff"/>
          <w:lang w:val="pt-BR"/>
        </w:rPr>
        <w:t xml:space="preserve">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w:t>
      </w:r>
      <w:r>
        <w:rPr>
          <w:shd w:val="clear" w:color="auto" w:fill="ffffff"/>
          <w:lang w:val="pt-BR"/>
        </w:rPr>
        <w:t xml:space="preserve">nhận rõ tình trạng quy hoạch thì kết quả thẩm định giá cần được xem xét, điều chỉnh phù hợp, đồng thời chúng tôi bảo lưu quyền xem xét lại kết quả thẩm định giá.</w:t>
      </w:r>
      <w:r>
        <w:rPr>
          <w:shd w:val="clear" w:color="auto" w:fill="ffffff"/>
          <w:lang w:val="pt-BR"/>
        </w:rPr>
      </w:r>
      <w:r>
        <w:rPr>
          <w:lang w:val="pt-BR"/>
          <w14:ligatures w14:val="none"/>
        </w:rPr>
      </w:r>
    </w:p>
    <w:p>
      <w:pPr>
        <w:pStyle w:val="1033"/>
        <w:numPr>
          <w:ilvl w:val="0"/>
          <w:numId w:val="5"/>
        </w:numPr>
        <w:pBdr/>
        <w:spacing w:after="120" w:before="120" w:line="288" w:lineRule="auto"/>
        <w:ind w:hanging="357" w:left="357"/>
        <w:jc w:val="both"/>
        <w:rPr>
          <w:lang w:val="pt-BR"/>
          <w14:ligatures w14:val="none"/>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pt-BR"/>
        </w:rPr>
        <w:t xml:space="preserve">.</w:t>
      </w:r>
      <w:r>
        <w:rPr>
          <w:shd w:val="clear" w:color="auto" w:fill="ffffff"/>
          <w:lang w:val="pt-BR"/>
        </w:rPr>
      </w:r>
      <w:r>
        <w:rPr>
          <w:lang w:val="pt-BR"/>
          <w14:ligatures w14:val="none"/>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w:t>
      </w:r>
      <w:r>
        <w:rPr>
          <w:iCs/>
          <w:lang w:val="pt-BR"/>
        </w:rPr>
        <w:t xml:space="preserve">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highlight w:val="none"/>
          <w:lang w:val="vi-VN"/>
        </w:rPr>
      </w:r>
      <w:r>
        <w:rPr>
          <w:lang w:val="vi-VN"/>
        </w:rPr>
      </w:r>
    </w:p>
    <w:p>
      <w:pPr>
        <w:pStyle w:val="1033"/>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275/2026/1058/VFI-CT.C01.A</w:t>
      </w:r>
      <w:r>
        <w:rPr>
          <w:color w:val="ff0000"/>
          <w:lang w:val="vi-VN"/>
        </w:rPr>
        <w:t xml:space="preserve"> </w:t>
      </w:r>
      <w:r>
        <w:rPr>
          <w:color w:val="000000" w:themeColor="text1"/>
        </w:rPr>
        <w:t xml:space="preserve">ngày 10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p>
      <w:pPr>
        <w:pStyle w:val="1033"/>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3"/>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3"/>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Mạnh Tuấn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275/2026/1058/VFI-BC.C01</w:t>
      </w:r>
      <w:commentRangeStart w:id="3"/>
      <w:r>
        <w:rPr>
          <w:i/>
        </w:rPr>
        <w:t xml:space="preserve">.A</w:t>
      </w:r>
      <w:r>
        <w:rPr>
          <w:i/>
          <w:lang w:val="pt-BR"/>
        </w:rPr>
        <w:t xml:space="preserve"> ngày </w:t>
      </w:r>
      <w:r>
        <w:rPr>
          <w:i/>
          <w:lang w:val="pt-BR"/>
        </w:rPr>
        <w:t xml:space="preserve">10</w:t>
      </w:r>
      <w:commentRangeEnd w:id="3"/>
      <w:r>
        <w:commentReference w:id="3"/>
      </w:r>
      <w:r>
        <w:rPr>
          <w:i/>
          <w:lang w:val="pt-BR"/>
        </w:rPr>
        <w:t xml:space="preserve">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4131" cy="211809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56155" name=""/>
                              <pic:cNvPicPr>
                                <a:picLocks noChangeAspect="1"/>
                              </pic:cNvPicPr>
                              <pic:nvPr/>
                            </pic:nvPicPr>
                            <pic:blipFill rotWithShape="1">
                              <a:blip r:embed="rId19"/>
                              <a:stretch/>
                            </pic:blipFill>
                            <pic:spPr bwMode="auto">
                              <a:xfrm flipH="0" flipV="0">
                                <a:off x="0" y="0"/>
                                <a:ext cx="2824130" cy="2118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37pt;height:166.7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9930" cy="207744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65731" name=""/>
                              <pic:cNvPicPr>
                                <a:picLocks noChangeAspect="1"/>
                              </pic:cNvPicPr>
                              <pic:nvPr/>
                            </pic:nvPicPr>
                            <pic:blipFill rotWithShape="1">
                              <a:blip r:embed="rId20"/>
                              <a:stretch/>
                            </pic:blipFill>
                            <pic:spPr bwMode="auto">
                              <a:xfrm flipH="0" flipV="0">
                                <a:off x="0" y="0"/>
                                <a:ext cx="2769930" cy="20774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8.10pt;height:163.5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3732" cy="183249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93073" name=""/>
                              <pic:cNvPicPr>
                                <a:picLocks noChangeAspect="1"/>
                              </pic:cNvPicPr>
                              <pic:nvPr/>
                            </pic:nvPicPr>
                            <pic:blipFill rotWithShape="1">
                              <a:blip r:embed="rId21"/>
                              <a:stretch/>
                            </pic:blipFill>
                            <pic:spPr bwMode="auto">
                              <a:xfrm flipH="0" flipV="0">
                                <a:off x="0" y="0"/>
                                <a:ext cx="2633731" cy="1832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7.38pt;height:144.2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4178" cy="185563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82083" name=""/>
                              <pic:cNvPicPr>
                                <a:picLocks noChangeAspect="1"/>
                              </pic:cNvPicPr>
                              <pic:nvPr/>
                            </pic:nvPicPr>
                            <pic:blipFill rotWithShape="1">
                              <a:blip r:embed="rId22"/>
                              <a:stretch/>
                            </pic:blipFill>
                            <pic:spPr bwMode="auto">
                              <a:xfrm flipH="0" flipV="0">
                                <a:off x="0" y="0"/>
                                <a:ext cx="2474178" cy="18556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4.82pt;height:146.1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3536" cy="202765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179" name=""/>
                              <pic:cNvPicPr>
                                <a:picLocks noChangeAspect="1"/>
                              </pic:cNvPicPr>
                              <pic:nvPr/>
                            </pic:nvPicPr>
                            <pic:blipFill rotWithShape="1">
                              <a:blip r:embed="rId23"/>
                              <a:stretch/>
                            </pic:blipFill>
                            <pic:spPr bwMode="auto">
                              <a:xfrm flipH="0" flipV="0">
                                <a:off x="0" y="0"/>
                                <a:ext cx="2703535" cy="2027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2.88pt;height:159.6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69512" cy="207713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17396" name=""/>
                              <pic:cNvPicPr>
                                <a:picLocks noChangeAspect="1"/>
                              </pic:cNvPicPr>
                              <pic:nvPr/>
                            </pic:nvPicPr>
                            <pic:blipFill rotWithShape="1">
                              <a:blip r:embed="rId24"/>
                              <a:stretch/>
                            </pic:blipFill>
                            <pic:spPr bwMode="auto">
                              <a:xfrm flipH="0" flipV="0">
                                <a:off x="0" y="0"/>
                                <a:ext cx="2769511" cy="20771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8.07pt;height:163.5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highlight w:val="none"/>
        </w:rPr>
      </w:pPr>
      <w:r>
        <w:br w:type="page" w:clear="all"/>
      </w:r>
      <w:r>
        <w:rPr>
          <w:b/>
          <w:bCs/>
        </w:rPr>
        <w:t xml:space="preserve">PHÁP LÝ</w: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50760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36619" name=""/>
                        <pic:cNvPicPr>
                          <a:picLocks noChangeAspect="1"/>
                        </pic:cNvPicPr>
                        <pic:nvPr/>
                      </pic:nvPicPr>
                      <pic:blipFill rotWithShape="1">
                        <a:blip r:embed="rId25"/>
                        <a:stretch/>
                      </pic:blipFill>
                      <pic:spPr bwMode="auto">
                        <a:xfrm>
                          <a:off x="0" y="0"/>
                          <a:ext cx="6048374" cy="8507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69.89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422796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15289" name=""/>
                        <pic:cNvPicPr>
                          <a:picLocks noChangeAspect="1"/>
                        </pic:cNvPicPr>
                        <pic:nvPr/>
                      </pic:nvPicPr>
                      <pic:blipFill rotWithShape="1">
                        <a:blip r:embed="rId26"/>
                        <a:stretch/>
                      </pic:blipFill>
                      <pic:spPr bwMode="auto">
                        <a:xfrm>
                          <a:off x="0" y="0"/>
                          <a:ext cx="6048374" cy="4227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32.91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rPr/>
      </w:pPr>
      <w:r>
        <w:rPr>
          <w:highlight w:val="none"/>
        </w:rPr>
      </w:r>
      <w:r>
        <w:rPr>
          <w:highlight w:val="none"/>
        </w:rPr>
      </w: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410155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351" name=""/>
                        <pic:cNvPicPr>
                          <a:picLocks noChangeAspect="1"/>
                        </pic:cNvPicPr>
                        <pic:nvPr/>
                      </pic:nvPicPr>
                      <pic:blipFill rotWithShape="1">
                        <a:blip r:embed="rId27"/>
                        <a:stretch/>
                      </pic:blipFill>
                      <pic:spPr bwMode="auto">
                        <a:xfrm>
                          <a:off x="0" y="0"/>
                          <a:ext cx="6048374" cy="4101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22.96pt;mso-wrap-distance-left:0.00pt;mso-wrap-distance-top:0.00pt;mso-wrap-distance-right:0.00pt;mso-wrap-distance-bottom:0.00pt;z-index:1;" stroked="false">
                <v:imagedata r:id="rId27"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43346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22552" name=""/>
                        <pic:cNvPicPr>
                          <a:picLocks noChangeAspect="1"/>
                        </pic:cNvPicPr>
                        <pic:nvPr/>
                      </pic:nvPicPr>
                      <pic:blipFill rotWithShape="1">
                        <a:blip r:embed="rId28"/>
                        <a:stretch/>
                      </pic:blipFill>
                      <pic:spPr bwMode="auto">
                        <a:xfrm>
                          <a:off x="0" y="0"/>
                          <a:ext cx="6048374" cy="8433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64.05pt;mso-wrap-distance-left:0.00pt;mso-wrap-distance-top:0.00pt;mso-wrap-distance-right:0.00pt;mso-wrap-distance-bottom:0.00pt;z-index:1;" stroked="false">
                <v:imagedata r:id="rId28"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w:t>
      </w:r>
      <w:commentRangeStart w:id="4"/>
      <w:r>
        <w:rPr>
          <w:b/>
          <w:lang w:val="vi-VN"/>
        </w:rPr>
        <w:t xml:space="preserve">THU THẬP </w:t>
      </w:r>
      <w:commentRangeEnd w:id="4"/>
      <w:r>
        <w:commentReference w:id="4"/>
      </w:r>
      <w:r>
        <w:rPr>
          <w:b/>
          <w:lang w:val="vi-VN"/>
        </w:rPr>
        <w:t xml:space="preserve">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275/2026/1058/VFI-BC.C01.A</w:t>
      </w:r>
      <w:r>
        <w:rPr>
          <w:i/>
          <w:lang w:val="pt-BR"/>
        </w:rPr>
        <w:t xml:space="preserve"> </w:t>
      </w:r>
      <w:r>
        <w:rPr>
          <w:i/>
          <w:lang w:val="pt-BR"/>
        </w:rPr>
        <w:t xml:space="preserve">ngày 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0985555184</w:t>
            </w:r>
            <w:r>
              <w:rPr>
                <w:sz w:val="22"/>
                <w:szCs w:val="22"/>
              </w:rPr>
              <w:t xml:space="preserve"> </w:t>
            </w:r>
            <w:r>
              <w:rPr>
                <w:sz w:val="22"/>
                <w:szCs w:val="22"/>
              </w:rPr>
              <w:br/>
              <w:t xml:space="preserve">(Thỏa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(75,7m², QH: 42m²)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An Trường, Thành phố Hải Phòng, </w:t>
            </w:r>
            <w:r>
              <w:rPr>
                <w:color w:val="000000" w:themeColor="text1"/>
                <w:sz w:val="22"/>
                <w:szCs w:val="22"/>
              </w:rPr>
              <w:t xml:space="preserve">Tài sản giáp</w:t>
            </w:r>
            <w:r>
              <w:rPr>
                <w:color w:val="000000" w:themeColor="text1"/>
                <w:sz w:val="22"/>
                <w:szCs w:val="22"/>
              </w:rPr>
              <w:t xml:space="preserve"> đường liên xã</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b/>
                <w:bCs/>
                <w:color w:val="000000"/>
                <w:sz w:val="22"/>
                <w:szCs w:val="22"/>
              </w:rPr>
            </w:pPr>
            <w:r>
              <w:rPr>
                <w:b/>
                <w:bCs/>
                <w:color w:val="000000"/>
                <w:sz w:val="22"/>
                <w:szCs w:val="22"/>
              </w:rPr>
              <w:t xml:space="preserve">15</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r>
            <w:r>
              <w:rPr>
                <w:rFonts w:ascii="Times New Roman" w:hAnsi="Times New Roman" w:eastAsia="Times New Roman" w:cs="Times New Roman"/>
                <w:color w:val="000000"/>
                <w:sz w:val="24"/>
              </w:rPr>
              <w:t xml:space="preserve"> Trên đất là nhà 2 tầng. Kết cấu: Móng BTCT, tường gạch xây, nền gạch men, mái BTCT. Hiện đang sử dụng để ở bình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0678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4067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46.9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3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Mạnh Tuấn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0829457988</w:t>
            </w:r>
            <w:r>
              <w:rPr>
                <w:sz w:val="22"/>
                <w:szCs w:val="22"/>
              </w:rPr>
              <w:t xml:space="preserve"> </w:t>
            </w:r>
            <w:r>
              <w:rPr>
                <w:sz w:val="22"/>
                <w:szCs w:val="22"/>
              </w:rPr>
              <w:br/>
              <w:t xml:space="preserve">(Quỳnh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An Trường, Thành phố Hải Phòng, </w:t>
            </w:r>
            <w:r>
              <w:rPr>
                <w:color w:val="000000" w:themeColor="text1"/>
                <w:sz w:val="22"/>
                <w:szCs w:val="22"/>
              </w:rPr>
              <w:t xml:space="preserve">Tài sản giáp</w:t>
            </w:r>
            <w:r>
              <w:rPr>
                <w:color w:val="000000" w:themeColor="text1"/>
                <w:sz w:val="22"/>
                <w:szCs w:val="22"/>
              </w:rPr>
              <w:t xml:space="preserve"> đường liên xã</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sát khu mộ phần hoặc liền kề mộ phần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86349"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4863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53.2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30146"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5301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56.7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56244"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4562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50.89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15956"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5159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55.59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525"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14645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15.32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56035"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14560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14.65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56035"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14560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14.65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Mạnh Tuấn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0829457988</w:t>
            </w:r>
            <w:r>
              <w:rPr>
                <w:sz w:val="22"/>
                <w:szCs w:val="22"/>
              </w:rPr>
              <w:t xml:space="preserve"> </w:t>
            </w:r>
            <w:r>
              <w:rPr>
                <w:sz w:val="22"/>
                <w:szCs w:val="22"/>
              </w:rPr>
              <w:br/>
              <w:t xml:space="preserve">(Quynh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(75,5m², QH: 41m²)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An Trường, Thành phố Hải Phòng, </w:t>
            </w:r>
            <w:r>
              <w:rPr>
                <w:color w:val="000000" w:themeColor="text1"/>
                <w:sz w:val="22"/>
                <w:szCs w:val="22"/>
              </w:rPr>
              <w:t xml:space="preserve">Tài sản giáp</w:t>
            </w:r>
            <w:r>
              <w:rPr>
                <w:color w:val="000000" w:themeColor="text1"/>
                <w:sz w:val="22"/>
                <w:szCs w:val="22"/>
              </w:rPr>
              <w:t xml:space="preserve"> đường liên xã</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26380"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45263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56.41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2378"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42323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33.26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4525"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14645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15.32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333.33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Mạnh Tuấn</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ind/>
        <w:rPr/>
      </w:pPr>
      <w:r/>
      <w:r/>
    </w:p>
    <w:p>
      <w:pPr>
        <w:pBdr/>
        <w:spacing/>
        <w:ind/>
        <w:rPr/>
      </w:pPr>
      <w:r/>
      <w:r/>
    </w:p>
    <w:p>
      <w:pPr>
        <w:pBdr/>
        <w:spacing/>
        <w:ind/>
        <w:rPr/>
      </w:pPr>
      <w:r/>
      <w:r/>
    </w:p>
    <w:p>
      <w:pPr>
        <w:pBdr/>
        <w:spacing/>
        <w:ind/>
        <w:rPr/>
      </w:pPr>
      <w:r/>
      <w:r/>
    </w:p>
    <w:p>
      <w:pPr>
        <w:pBdr/>
        <w:spacing/>
        <w:ind/>
        <w:rPr/>
      </w:pPr>
      <w:r/>
      <w:r/>
    </w:p>
    <w:p>
      <w:pPr>
        <w:pBdr/>
        <w:tabs>
          <w:tab w:val="left" w:leader="none" w:pos="4021"/>
        </w:tabs>
        <w:spacing/>
        <w:ind/>
        <w:rPr>
          <w:b/>
          <w:bCs/>
        </w:rPr>
      </w:pPr>
      <w:r>
        <w:rPr>
          <w:b/>
          <w:bCs/>
        </w:rPr>
        <w:tab/>
      </w:r>
      <w:r>
        <w:rPr>
          <w:b/>
          <w:bCs/>
        </w:rPr>
      </w:r>
      <w:r>
        <w:rPr>
          <w:b/>
          <w:bCs/>
        </w:rPr>
      </w:r>
    </w:p>
    <w:p>
      <w:pPr>
        <w:pBdr/>
        <w:tabs>
          <w:tab w:val="left" w:leader="none" w:pos="4021"/>
        </w:tabs>
        <w:spacing/>
        <w:ind/>
        <w:rPr>
          <w:b/>
          <w:bCs/>
        </w:rPr>
      </w:pPr>
      <w:r>
        <w:rPr>
          <w:b/>
          <w:bCs/>
          <w:highlight w:val="none"/>
        </w:rPr>
      </w:r>
      <w:r>
        <w:rPr>
          <w:b/>
          <w:bCs/>
        </w:rPr>
      </w:r>
      <w:r>
        <w:rPr>
          <w:b/>
          <w:bCs/>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rPr>
          <w:b/>
          <w:bCs/>
          <w:highlight w:val="none"/>
        </w:rPr>
      </w:pPr>
      <w:r>
        <w:rPr>
          <w:b/>
          <w:bCs/>
          <w:highlight w:val="none"/>
        </w:rPr>
      </w:r>
      <w:r>
        <w:rPr>
          <w:b/>
          <w:bCs/>
          <w:highlight w:val="none"/>
        </w:rPr>
      </w:r>
      <w:r>
        <w:rPr>
          <w:b/>
          <w:bCs/>
          <w:highlight w:val="none"/>
        </w:rPr>
      </w:r>
    </w:p>
    <w:p>
      <w:pPr>
        <w:pBdr/>
        <w:tabs>
          <w:tab w:val="left" w:leader="none" w:pos="4021"/>
        </w:tabs>
        <w:spacing/>
        <w:ind/>
        <w:jc w:val="center"/>
        <w:rPr>
          <w:b/>
          <w:bCs/>
          <w:highlight w:val="none"/>
        </w:rPr>
      </w:pPr>
      <w:r>
        <w:rPr>
          <w:b/>
          <w:bCs/>
        </w:rPr>
        <w:t xml:space="preserve">BIÊN BẢN KHẢO SÁT</w:t>
      </w:r>
      <w:r>
        <w:rPr>
          <w:b/>
          <w:bCs/>
          <w:highlight w:val="none"/>
        </w:rPr>
      </w:r>
      <w:r>
        <w:rPr>
          <w:b/>
          <w:bCs/>
          <w:highlight w:val="none"/>
        </w:rPr>
      </w:r>
    </w:p>
    <w:p>
      <w:pPr>
        <w:pBdr/>
        <w:tabs>
          <w:tab w:val="left" w:leader="none" w:pos="4021"/>
        </w:tabs>
        <w:spacing/>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10666" name=""/>
                        <pic:cNvPicPr>
                          <a:picLocks noChangeAspect="1"/>
                        </pic:cNvPicPr>
                        <pic:nvPr/>
                      </pic:nvPicPr>
                      <pic:blipFill rotWithShape="1">
                        <a:blip r:embed="rId4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76.25pt;height:635.00pt;mso-wrap-distance-left:0.00pt;mso-wrap-distance-top:0.00pt;mso-wrap-distance-right:0.00pt;mso-wrap-distance-bottom:0.00pt;z-index:1;" stroked="false">
                <v:imagedata r:id="rId46" o:title=""/>
                <o:lock v:ext="edit" rotation="t"/>
              </v:shape>
            </w:pict>
          </mc:Fallback>
        </mc:AlternateContent>
      </w:r>
      <w:r>
        <w:rPr>
          <w:b/>
          <w:bCs/>
          <w:highlight w:val="none"/>
        </w:rPr>
      </w:r>
      <w:r>
        <w:rPr>
          <w:b/>
          <w:b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guyễn Thị Thùy Dương" w:date="2026-07-15T15:58:49Z" w:initials="NTTD">
    <w:p w14:paraId="00000001" w14:textId="00000001">
      <w:pPr>
        <w:spacing w:line="240" w:after="0" w:lineRule="auto" w:before="0"/>
        <w:ind w:firstLine="0" w:left="0" w:right="0"/>
        <w:jc w:val="left"/>
      </w:pPr>
      <w:r>
        <w:rPr>
          <w:rFonts w:eastAsia="Arial" w:ascii="Arial" w:hAnsi="Arial" w:cs="Arial"/>
          <w:sz w:val="22"/>
        </w:rPr>
        <w:t xml:space="preserve">Bổ sung mô tả công trình trên đất các TSSS</w:t>
      </w:r>
    </w:p>
  </w:comment>
  <w:comment w:id="3" w:author="Nguyễn Thị Thùy Dương" w:date="2026-07-15T15:58:14Z" w:initials="NTTD">
    <w:p w14:paraId="00000002" w14:textId="00000002">
      <w:pPr>
        <w:spacing w:line="240" w:after="0" w:lineRule="auto" w:before="0"/>
        <w:ind w:firstLine="0" w:left="0" w:right="0"/>
        <w:jc w:val="left"/>
      </w:pPr>
      <w:r>
        <w:rPr>
          <w:rFonts w:eastAsia="Arial" w:ascii="Arial" w:hAnsi="Arial" w:cs="Arial"/>
          <w:sz w:val="22"/>
        </w:rPr>
        <w:t xml:space="preserve">ngày</w:t>
      </w:r>
    </w:p>
  </w:comment>
  <w:comment w:id="2" w:author="Nguyễn Thị Thùy Dương" w:date="2026-07-15T15:49:35Z" w:initials="NTTD">
    <w:p w14:paraId="00000003" w14:textId="00000003">
      <w:pPr>
        <w:spacing w:line="240" w:after="0" w:lineRule="auto" w:before="0"/>
        <w:ind w:firstLine="0" w:left="0" w:right="0"/>
        <w:jc w:val="left"/>
      </w:pPr>
      <w:r>
        <w:rPr>
          <w:rFonts w:eastAsia="Arial" w:ascii="Arial" w:hAnsi="Arial" w:cs="Arial"/>
          <w:sz w:val="22"/>
        </w:rPr>
        <w:t xml:space="preserve">Bổ sung</w:t>
      </w:r>
    </w:p>
  </w:comment>
  <w:comment w:id="1" w:author="Nguyễn Thị Thùy Dương" w:date="2026-07-15T15:35:30Z" w:initials="NTTD">
    <w:p w14:paraId="00000004" w14:textId="00000004">
      <w:pPr>
        <w:spacing w:line="240" w:after="0" w:lineRule="auto" w:before="0"/>
        <w:ind w:firstLine="0" w:left="0" w:right="0"/>
        <w:jc w:val="left"/>
      </w:pPr>
      <w:r>
        <w:rPr>
          <w:rFonts w:eastAsia="Arial" w:ascii="Arial" w:hAnsi="Arial" w:cs="Arial"/>
          <w:sz w:val="22"/>
        </w:rPr>
        <w:t xml:space="preserve">Thiếu hướng tiếp giáp đường</w:t>
      </w:r>
    </w:p>
  </w:comment>
  <w:comment w:id="0" w:author="Nguyễn Thị Thùy Dương" w:date="2026-07-15T15:30:15Z" w:initials="NTTD">
    <w:p w14:paraId="00000005" w14:textId="00000005">
      <w:pPr>
        <w:spacing w:line="240" w:after="0" w:lineRule="auto" w:before="0"/>
        <w:ind w:firstLine="0" w:left="0" w:right="0"/>
        <w:jc w:val="left"/>
      </w:pPr>
      <w:r>
        <w:rPr>
          <w:rFonts w:eastAsia="Arial" w:ascii="Arial" w:hAnsi="Arial" w:cs="Arial"/>
          <w:sz w:val="22"/>
        </w:rPr>
        <w:t xml:space="preserve">Sửa tất cả tên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8D5356D" w16cex:dateUtc="2026-07-15T08:58:49Z"/>
  <w16cex:commentExtensible w16cex:durableId="2026FD57" w16cex:dateUtc="2026-07-15T08:58:14Z"/>
  <w16cex:commentExtensible w16cex:durableId="485B50B8" w16cex:dateUtc="2026-07-15T08:49:35Z"/>
  <w16cex:commentExtensible w16cex:durableId="2F4F8076" w16cex:dateUtc="2026-07-15T08:35:30Z"/>
  <w16cex:commentExtensible w16cex:durableId="32016C0A" w16cex:dateUtc="2026-07-15T08:30:1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8D5356D"/>
  <w16cid:commentId w16cid:paraId="00000002" w16cid:durableId="2026FD57"/>
  <w16cid:commentId w16cid:paraId="00000003" w16cid:durableId="485B50B8"/>
  <w16cid:commentId w16cid:paraId="00000004" w16cid:durableId="2F4F8076"/>
  <w16cid:commentId w16cid:paraId="00000005" w16cid:durableId="32016C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B02F91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4C80B06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png"/><Relationship Id="rId43" Type="http://schemas.openxmlformats.org/officeDocument/2006/relationships/image" Target="media/image29.jpg"/><Relationship Id="rId44" Type="http://schemas.openxmlformats.org/officeDocument/2006/relationships/image" Target="media/image30.jpg"/><Relationship Id="rId45" Type="http://schemas.openxmlformats.org/officeDocument/2006/relationships/image" Target="media/image31.jpg"/><Relationship Id="rId46" Type="http://schemas.openxmlformats.org/officeDocument/2006/relationships/image" Target="media/image32.jpg"/><Relationship Id="rId47" Type="http://schemas.openxmlformats.org/officeDocument/2006/relationships/comments" Target="comments.xml" /><Relationship Id="rId48" Type="http://schemas.microsoft.com/office/2011/relationships/commentsExtended" Target="commentsExtended.xml" /><Relationship Id="rId49" Type="http://schemas.microsoft.com/office/2018/08/relationships/commentsExtensible" Target="commentsExtensible.xml" /><Relationship Id="rId50" Type="http://schemas.microsoft.com/office/2016/09/relationships/commentsIds" Target="commentsIds.xml" /><Relationship Id="rId5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Mạnh Tuấn</cp:lastModifiedBy>
  <cp:revision>284</cp:revision>
  <dcterms:created xsi:type="dcterms:W3CDTF">2025-09-15T09:58:00Z</dcterms:created>
  <dcterms:modified xsi:type="dcterms:W3CDTF">2026-07-23T01:29:26Z</dcterms:modified>
</cp:coreProperties>
</file>