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825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825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275/2026/1179/VFI-CT.69.A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Đình Năm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8149, tờ bản đồ 5, có địa chỉ: tại x</w:t>
                            </w:r>
                            <w:r>
                              <w:rPr>
                                <w:color w:val="000000"/>
                              </w:rPr>
                              <w:t xml:space="preserve">ã An Viễn, thành phố Đồng Nai theo Giấy chứng nhận quyền sử dụng đất, quyền sở hữu tài sản gắn liền với đất số AA 08655860, số vào sổ cấp GCN: CN18375 do Văn phòng đăng ký đất đai chi nhánh Trảng Bom cấp ngày 19/06/2026; chủ sử dụng đất là Ông Lê Đình Năm.</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4.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275/2026/1179/VFI-CT.69.A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Đình Năm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8149, tờ bản đồ 5, có địa chỉ: tại x</w:t>
                      </w:r>
                      <w:r>
                        <w:rPr>
                          <w:color w:val="000000"/>
                        </w:rPr>
                        <w:t xml:space="preserve">ã An Viễn, thành phố Đồng Nai theo Giấy chứng nhận quyền sử dụng đất, quyền sở hữu tài sản gắn liền với đất số AA 08655860, số vào sổ cấp GCN: CN18375 do Văn phòng đăng ký đất đai chi nhánh Trảng Bom cấp ngày 19/06/2026; chủ sử dụng đất là Ông Lê Đình Năm.</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275/2026/1179/VFI-CT.69.A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Lê Đình Năm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275/2026/1178/VFI-HĐTĐ.69.A</w:t>
      </w:r>
      <w:r>
        <w:rPr>
          <w:spacing w:val="-4"/>
          <w:lang w:val="vi-VN"/>
        </w:rPr>
        <w:t xml:space="preserve"> ký ngày </w:t>
      </w:r>
      <w:r>
        <w:rPr>
          <w:color w:val="000000" w:themeColor="text1"/>
          <w:spacing w:val="-4"/>
        </w:rPr>
        <w:t xml:space="preserve">30 tháng 7 năm 2026</w:t>
      </w:r>
      <w:r>
        <w:rPr>
          <w:spacing w:val="-4"/>
          <w:lang w:val="vi-VN"/>
        </w:rPr>
        <w:t xml:space="preserve"> </w:t>
      </w:r>
      <w:r>
        <w:rPr>
          <w:spacing w:val="-4"/>
          <w:lang w:val="vi-VN"/>
        </w:rPr>
        <w:t xml:space="preserve">giữa </w:t>
      </w:r>
      <w:r>
        <w:rPr>
          <w:color w:val="000000" w:themeColor="text1"/>
          <w:spacing w:val="-4"/>
        </w:rPr>
        <w:t xml:space="preserve">Ông Lê Đình Năm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275/2026/1179/VFI-BC.69.A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w:t>
            </w:r>
            <w:r>
              <w:rPr>
                <w:b/>
                <w:bCs/>
              </w:rPr>
              <w:t xml:space="preserve">Lê </w:t>
            </w:r>
            <w:r>
              <w:rPr>
                <w:b/>
                <w:bCs/>
              </w:rPr>
              <w:t xml:space="preserve">Đình </w:t>
            </w:r>
            <w:r>
              <w:rPr>
                <w:b/>
                <w:bCs/>
              </w:rPr>
              <w:t xml:space="preserve">Năm </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068091029999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P2-16.09 </w:t>
            </w:r>
            <w:r>
              <w:rPr>
                <w:color w:val="000000" w:themeColor="text1"/>
                <w:lang w:val="vi-VN"/>
              </w:rPr>
              <w:t xml:space="preserve">V.</w:t>
            </w:r>
            <w:r>
              <w:rPr>
                <w:color w:val="000000" w:themeColor="text1"/>
                <w:lang w:val="vi-VN"/>
              </w:rPr>
              <w:t xml:space="preserve">C </w:t>
            </w:r>
            <w:r>
              <w:rPr>
                <w:color w:val="000000" w:themeColor="text1"/>
                <w:lang w:val="vi-VN"/>
              </w:rPr>
              <w:t xml:space="preserve">Park 720</w:t>
            </w:r>
            <w:r>
              <w:rPr>
                <w:color w:val="000000" w:themeColor="text1"/>
                <w:lang w:val="vi-VN"/>
              </w:rPr>
              <w:t xml:space="preserve">A </w:t>
            </w:r>
            <w:r>
              <w:rPr>
                <w:color w:val="000000" w:themeColor="text1"/>
                <w:lang w:val="vi-VN"/>
              </w:rPr>
              <w:t xml:space="preserve">Điện </w:t>
            </w:r>
            <w:r>
              <w:rPr>
                <w:color w:val="000000" w:themeColor="text1"/>
                <w:lang w:val="vi-VN"/>
              </w:rPr>
              <w:t xml:space="preserve">Biên </w:t>
            </w:r>
            <w:r>
              <w:rPr>
                <w:color w:val="000000" w:themeColor="text1"/>
                <w:lang w:val="vi-VN"/>
              </w:rPr>
              <w:t xml:space="preserve">Phủ, </w:t>
            </w:r>
            <w:r>
              <w:rPr>
                <w:color w:val="000000" w:themeColor="text1"/>
                <w:lang w:val="vi-VN"/>
              </w:rPr>
              <w:t xml:space="preserve">phường 22, </w:t>
            </w:r>
            <w:r>
              <w:rPr>
                <w:color w:val="000000" w:themeColor="text1"/>
                <w:lang w:val="vi-VN"/>
              </w:rPr>
              <w:t xml:space="preserve">Bình </w:t>
            </w:r>
            <w:r>
              <w:rPr>
                <w:color w:val="000000" w:themeColor="text1"/>
                <w:lang w:val="vi-VN"/>
              </w:rPr>
              <w:t xml:space="preserve">Thạnh, </w:t>
            </w:r>
            <w:r>
              <w:rPr>
                <w:color w:val="000000" w:themeColor="text1"/>
                <w:lang w:val="vi-VN"/>
              </w:rPr>
              <w:t xml:space="preserve">HCM. </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8149, tờ bản đồ 5, có địa chỉ: tại x</w:t>
      </w:r>
      <w:r>
        <w:rPr>
          <w:color w:val="000000" w:themeColor="text1"/>
        </w:rPr>
        <w:t xml:space="preserve">ã An Viễn, thành phố Đồng Nai theo Giấy chứng nhận quyền sử dụng đất, quyền sở hữu tài sản gắn liền với đất số AA 08655860, số vào sổ cấp GCN: CN18375 do Văn phòng đăng ký đất đai chi nhánh Trảng Bom cấp ngày 19/06/2026; chủ sử dụng đất là Ông Lê Đình Năm.</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Ind w:w="28" w:type="dxa"/>
        <w:tblW w:w="4762"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09"/>
        <w:gridCol w:w="2753"/>
        <w:gridCol w:w="1869"/>
        <w:gridCol w:w="1756"/>
        <w:gridCol w:w="1984"/>
      </w:tblGrid>
      <w:tr>
        <w:trPr>
          <w:trHeight w:val="20"/>
        </w:trPr>
        <w:tc>
          <w:tcPr>
            <w:shd w:val="clear" w:color="000000" w:fill="ffffff"/>
            <w:tcBorders/>
            <w:tcW w:w="709" w:type="dxa"/>
            <w:vAlign w:val="center"/>
            <w:textDirection w:val="lrTb"/>
            <w:noWrap w:val="false"/>
          </w:tcPr>
          <w:p>
            <w:pPr>
              <w:pBdr/>
              <w:spacing w:after="40" w:before="40" w:line="240" w:lineRule="auto"/>
              <w:ind/>
              <w:jc w:val="center"/>
              <w:rPr>
                <w:b/>
                <w:bCs/>
              </w:rPr>
            </w:pPr>
            <w:r>
              <w:rPr>
                <w:b/>
                <w:bCs/>
              </w:rPr>
              <w:t xml:space="preserve">TT</w:t>
            </w:r>
            <w:r>
              <w:rPr>
                <w:b/>
                <w:bCs/>
              </w:rPr>
            </w:r>
            <w:r>
              <w:rPr>
                <w:b/>
                <w:bCs/>
              </w:rPr>
            </w:r>
          </w:p>
        </w:tc>
        <w:tc>
          <w:tcPr>
            <w:shd w:val="clear" w:color="000000" w:fill="ffffff"/>
            <w:tcBorders/>
            <w:tcW w:w="2753" w:type="dxa"/>
            <w:vAlign w:val="center"/>
            <w:textDirection w:val="lrTb"/>
            <w:noWrap w:val="false"/>
          </w:tcPr>
          <w:p>
            <w:pPr>
              <w:pBdr/>
              <w:spacing w:after="40" w:before="40" w:line="240" w:lineRule="auto"/>
              <w:ind/>
              <w:jc w:val="center"/>
              <w:rPr>
                <w:b/>
                <w:bCs/>
              </w:rPr>
            </w:pPr>
            <w:r>
              <w:rPr>
                <w:b/>
                <w:bCs/>
              </w:rPr>
              <w:t xml:space="preserve">Tài sản</w:t>
            </w:r>
            <w:r>
              <w:rPr>
                <w:b/>
                <w:bCs/>
              </w:rPr>
            </w:r>
            <w:r>
              <w:rPr>
                <w:b/>
                <w:bCs/>
              </w:rPr>
            </w:r>
          </w:p>
        </w:tc>
        <w:tc>
          <w:tcPr>
            <w:shd w:val="clear" w:color="000000" w:fill="ffffff"/>
            <w:tcBorders/>
            <w:tcW w:w="1869" w:type="dxa"/>
            <w:vAlign w:val="center"/>
            <w:textDirection w:val="lrTb"/>
            <w:noWrap w:val="false"/>
          </w:tcPr>
          <w:p>
            <w:pPr>
              <w:pBdr/>
              <w:spacing w:after="40" w:before="40" w:line="240" w:lineRule="auto"/>
              <w:ind/>
              <w:jc w:val="center"/>
              <w:rPr>
                <w:b/>
                <w:bCs/>
              </w:rPr>
            </w:pPr>
            <w:r>
              <w:rPr>
                <w:b/>
                <w:bCs/>
              </w:rPr>
              <w:t xml:space="preserve">Diện tích (m²)</w:t>
            </w:r>
            <w:r>
              <w:rPr>
                <w:b/>
                <w:bCs/>
              </w:rPr>
            </w:r>
            <w:r>
              <w:rPr>
                <w:b/>
                <w:bCs/>
              </w:rPr>
            </w:r>
          </w:p>
        </w:tc>
        <w:tc>
          <w:tcPr>
            <w:shd w:val="clear" w:color="000000" w:fill="ffffff"/>
            <w:tcBorders/>
            <w:tcW w:w="1756" w:type="dxa"/>
            <w:vAlign w:val="center"/>
            <w:textDirection w:val="lrTb"/>
            <w:noWrap w:val="false"/>
          </w:tcPr>
          <w:p>
            <w:pPr>
              <w:pBdr/>
              <w:spacing w:after="40" w:before="40" w:line="240" w:lineRule="auto"/>
              <w:ind/>
              <w:jc w:val="center"/>
              <w:rPr>
                <w:b/>
                <w:bCs/>
              </w:rPr>
            </w:pPr>
            <w:r>
              <w:rPr>
                <w:b/>
                <w:bCs/>
              </w:rPr>
              <w:t xml:space="preserve">Đơn giá (đồng/m²)</w:t>
            </w:r>
            <w:r>
              <w:rPr>
                <w:b/>
                <w:bCs/>
              </w:rPr>
            </w:r>
            <w:r>
              <w:rPr>
                <w:b/>
                <w:bCs/>
              </w:rPr>
            </w:r>
          </w:p>
        </w:tc>
        <w:tc>
          <w:tcPr>
            <w:shd w:val="clear" w:color="000000" w:fill="ffffff"/>
            <w:tcBorders/>
            <w:tcW w:w="1984" w:type="dxa"/>
            <w:vAlign w:val="center"/>
            <w:textDirection w:val="lrTb"/>
            <w:noWrap w:val="false"/>
          </w:tcPr>
          <w:p>
            <w:pPr>
              <w:pBdr/>
              <w:spacing w:after="40" w:before="40" w:line="240"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09" w:type="dxa"/>
            <w:vAlign w:val="center"/>
            <w:textDirection w:val="lrTb"/>
            <w:noWrap w:val="false"/>
          </w:tcPr>
          <w:p>
            <w:pPr>
              <w:pBdr/>
              <w:spacing w:after="40" w:before="40" w:line="240" w:lineRule="auto"/>
              <w:ind/>
              <w:jc w:val="center"/>
              <w:rPr>
                <w:b/>
                <w:bCs/>
              </w:rPr>
            </w:pPr>
            <w:r>
              <w:rPr>
                <w:b/>
                <w:bCs/>
              </w:rPr>
              <w:t xml:space="preserve"> </w:t>
            </w:r>
            <w:r>
              <w:rPr>
                <w:b/>
                <w:bCs/>
              </w:rPr>
            </w:r>
            <w:r>
              <w:rPr>
                <w:b/>
                <w:bCs/>
              </w:rPr>
            </w:r>
          </w:p>
        </w:tc>
        <w:tc>
          <w:tcPr>
            <w:gridSpan w:val="3"/>
            <w:shd w:val="clear" w:color="000000" w:fill="ffffff"/>
            <w:tcBorders/>
            <w:tcW w:w="6378" w:type="dxa"/>
            <w:vAlign w:val="center"/>
            <w:textDirection w:val="lrTb"/>
            <w:noWrap w:val="false"/>
          </w:tcPr>
          <w:p>
            <w:pPr>
              <w:pBdr/>
              <w:spacing w:after="40" w:before="40" w:line="240" w:lineRule="auto"/>
              <w:ind/>
              <w:jc w:val="both"/>
              <w:rPr>
                <w:b/>
                <w:bCs/>
              </w:rPr>
            </w:pPr>
            <w:r>
              <w:rPr>
                <w:b/>
                <w:bCs/>
                <w:color w:val="000000"/>
              </w:rPr>
              <w:t xml:space="preserve">Quyền sử dụng đất tại thửa đất số 8149, tờ bản đồ 5, có địa chỉ: tại x</w:t>
            </w:r>
            <w:r>
              <w:rPr>
                <w:b/>
                <w:bCs/>
                <w:color w:val="000000"/>
              </w:rPr>
              <w:t xml:space="preserve">ã An Viễn, thành phố Đồng Nai theo Giấy chứng nhận quyền sử dụng đất, quyền sở hữu tài sản gắn liền với đất số AA 08655860, số vào sổ cấp GCN: CN18375 do Văn phòng đăng ký đất đai chi nhánh Trảng Bom cấp ngày 19/06/2026; chủ sử dụng đất là Ông Lê Đình Năm.</w:t>
            </w:r>
            <w:r>
              <w:rPr>
                <w:b/>
                <w:bCs/>
              </w:rPr>
            </w:r>
            <w:r>
              <w:rPr>
                <w:b/>
                <w:bCs/>
              </w:rPr>
            </w:r>
          </w:p>
        </w:tc>
        <w:tc>
          <w:tcPr>
            <w:shd w:val="clear" w:color="000000" w:fill="ffffff"/>
            <w:tcBorders/>
            <w:tcW w:w="1984" w:type="dxa"/>
            <w:vAlign w:val="center"/>
            <w:textDirection w:val="lrTb"/>
            <w:noWrap w:val="false"/>
          </w:tcPr>
          <w:p>
            <w:pPr>
              <w:pBdr/>
              <w:spacing w:after="40" w:before="40" w:line="240" w:lineRule="auto"/>
              <w:ind/>
              <w:jc w:val="right"/>
              <w:rPr>
                <w:b/>
                <w:bCs/>
              </w:rPr>
            </w:pPr>
            <w:r>
              <w:rPr>
                <w:b/>
                <w:bCs/>
              </w:rPr>
              <w:t xml:space="preserve"> </w:t>
            </w:r>
            <w:r>
              <w:rPr>
                <w:b/>
                <w:bCs/>
              </w:rPr>
            </w:r>
            <w:r>
              <w:rPr>
                <w:b/>
                <w:bCs/>
              </w:rPr>
            </w:r>
          </w:p>
        </w:tc>
      </w:tr>
      <w:tr>
        <w:trPr>
          <w:trHeight w:val="20"/>
        </w:trPr>
        <w:tc>
          <w:tcPr>
            <w:shd w:val="clear" w:color="000000" w:fill="ffffff"/>
            <w:tcBorders/>
            <w:tcW w:w="709" w:type="dxa"/>
            <w:vAlign w:val="center"/>
            <w:textDirection w:val="lrTb"/>
            <w:noWrap w:val="false"/>
          </w:tcPr>
          <w:p>
            <w:pPr>
              <w:pBdr/>
              <w:spacing w:after="40" w:before="40" w:line="240" w:lineRule="auto"/>
              <w:ind/>
              <w:jc w:val="center"/>
              <w:rPr>
                <w:b w:val="0"/>
                <w:bCs w:val="0"/>
              </w:rPr>
            </w:pPr>
            <w:r>
              <w:rPr>
                <w:b w:val="0"/>
                <w:bCs w:val="0"/>
              </w:rPr>
              <w:t xml:space="preserve">1</w:t>
            </w:r>
            <w:r>
              <w:rPr>
                <w:b w:val="0"/>
                <w:bCs w:val="0"/>
              </w:rPr>
            </w:r>
            <w:r>
              <w:rPr>
                <w:b w:val="0"/>
                <w:bCs w:val="0"/>
              </w:rPr>
            </w:r>
          </w:p>
        </w:tc>
        <w:tc>
          <w:tcPr>
            <w:shd w:val="clear" w:color="000000" w:fill="ffffff"/>
            <w:tcBorders/>
            <w:tcW w:w="2753" w:type="dxa"/>
            <w:vAlign w:val="center"/>
            <w:textDirection w:val="lrTb"/>
            <w:noWrap w:val="false"/>
          </w:tcPr>
          <w:p>
            <w:pPr>
              <w:pBdr/>
              <w:spacing w:after="40" w:before="40" w:line="240" w:lineRule="auto"/>
              <w:ind/>
              <w:rPr>
                <w:b w:val="0"/>
                <w:bCs w:val="0"/>
              </w:rPr>
            </w:pPr>
            <w:r>
              <w:rPr>
                <w:b w:val="0"/>
                <w:bCs w:val="0"/>
              </w:rPr>
              <w:t xml:space="preserve">Đất ở nông thôn</w:t>
            </w:r>
            <w:r>
              <w:rPr>
                <w:b w:val="0"/>
                <w:bCs w:val="0"/>
              </w:rPr>
            </w:r>
            <w:r>
              <w:rPr>
                <w:b w:val="0"/>
                <w:bCs w:val="0"/>
              </w:rPr>
            </w:r>
          </w:p>
        </w:tc>
        <w:tc>
          <w:tcPr>
            <w:tcBorders/>
            <w:tcW w:w="1869" w:type="dxa"/>
            <w:vAlign w:val="center"/>
            <w:textDirection w:val="lrTb"/>
            <w:noWrap/>
          </w:tcPr>
          <w:p>
            <w:pPr>
              <w:pBdr/>
              <w:spacing w:after="40" w:before="40" w:line="240" w:lineRule="auto"/>
              <w:ind/>
              <w:jc w:val="center"/>
              <w:rPr>
                <w:color w:val="000000"/>
              </w:rPr>
            </w:pPr>
            <w:r>
              <w:rPr>
                <w:color w:val="000000" w:themeColor="text1"/>
              </w:rPr>
              <w:t xml:space="preserve">99,0</w:t>
            </w:r>
            <w:r>
              <w:rPr>
                <w:color w:val="000000"/>
              </w:rPr>
            </w:r>
            <w:r>
              <w:rPr>
                <w:color w:val="000000"/>
              </w:rPr>
            </w:r>
          </w:p>
        </w:tc>
        <w:tc>
          <w:tcPr>
            <w:shd w:val="clear" w:color="000000" w:fill="ffffff"/>
            <w:tcBorders/>
            <w:tcW w:w="1756" w:type="dxa"/>
            <w:vAlign w:val="center"/>
            <w:textDirection w:val="lrTb"/>
            <w:noWrap w:val="false"/>
          </w:tcPr>
          <w:p>
            <w:pPr>
              <w:pBdr/>
              <w:spacing w:after="40" w:before="40" w:line="240" w:lineRule="auto"/>
              <w:ind/>
              <w:jc w:val="center"/>
              <w:rPr/>
            </w:pPr>
            <w:r>
              <w:rPr>
                <w:color w:val="000000" w:themeColor="text1"/>
              </w:rPr>
              <w:t xml:space="preserve">15.500.000</w:t>
            </w:r>
            <w:r/>
          </w:p>
        </w:tc>
        <w:tc>
          <w:tcPr>
            <w:shd w:val="clear" w:color="000000" w:fill="ffffff"/>
            <w:tcBorders/>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1.534.500.000</w:t>
            </w:r>
            <w:r/>
          </w:p>
        </w:tc>
      </w:tr>
      <w:tr>
        <w:trPr>
          <w:trHeight w:val="20"/>
        </w:trPr>
        <w:tc>
          <w:tcPr>
            <w:gridSpan w:val="4"/>
            <w:tcBorders/>
            <w:tcW w:w="7087" w:type="dxa"/>
            <w:vAlign w:val="center"/>
            <w:textDirection w:val="lrTb"/>
            <w:noWrap/>
          </w:tcPr>
          <w:p>
            <w:pPr>
              <w:pBdr/>
              <w:spacing w:after="40" w:before="40" w:line="240" w:lineRule="auto"/>
              <w:ind/>
              <w:jc w:val="center"/>
              <w:rPr>
                <w:b/>
                <w:bCs/>
                <w:color w:val="000000"/>
              </w:rPr>
            </w:pPr>
            <w:r>
              <w:rPr>
                <w:b/>
                <w:bCs/>
                <w:color w:val="000000"/>
              </w:rPr>
              <w:t xml:space="preserve">TỔNG CỘNG</w:t>
            </w:r>
            <w:r>
              <w:rPr>
                <w:b/>
                <w:bCs/>
                <w:color w:val="000000"/>
              </w:rPr>
            </w:r>
            <w:r>
              <w:rPr>
                <w:b/>
                <w:bCs/>
                <w:color w:val="000000"/>
              </w:rPr>
            </w:r>
          </w:p>
        </w:tc>
        <w:tc>
          <w:tcPr>
            <w:tcBorders/>
            <w:tcW w:w="198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1.534.500.000</w:t>
            </w:r>
            <w:r/>
          </w:p>
        </w:tc>
      </w:tr>
      <w:tr>
        <w:trPr>
          <w:trHeight w:val="20"/>
        </w:trPr>
        <w:tc>
          <w:tcPr>
            <w:gridSpan w:val="5"/>
            <w:tcBorders/>
            <w:tcW w:w="9071" w:type="dxa"/>
            <w:vAlign w:val="center"/>
            <w:textDirection w:val="lrTb"/>
            <w:noWrap w:val="false"/>
          </w:tcPr>
          <w:p>
            <w:pPr>
              <w:pBdr/>
              <w:spacing w:after="40" w:before="40" w:line="240" w:lineRule="auto"/>
              <w:ind/>
              <w:jc w:val="center"/>
              <w:rPr>
                <w:b/>
                <w:bCs/>
                <w:i/>
                <w:iCs/>
                <w:color w:val="000000"/>
              </w:rPr>
            </w:pPr>
            <w:r>
              <w:rPr>
                <w:b/>
                <w:bCs/>
                <w:i/>
                <w:iCs/>
                <w:color w:val="000000"/>
              </w:rPr>
              <w:t xml:space="preserve">(Bằng chữ: </w:t>
            </w:r>
            <w:r>
              <w:rPr>
                <w:b/>
                <w:bCs/>
                <w:i/>
                <w:iCs/>
                <w:color w:val="000000"/>
              </w:rPr>
              <w:t xml:space="preserve">Một </w:t>
            </w:r>
            <w:r>
              <w:rPr>
                <w:b/>
                <w:bCs/>
                <w:i/>
                <w:iCs/>
                <w:color w:val="000000"/>
              </w:rPr>
              <w:t xml:space="preserve">tỷ </w:t>
            </w:r>
            <w:r>
              <w:rPr>
                <w:b/>
                <w:bCs/>
                <w:i/>
                <w:iCs/>
                <w:color w:val="000000"/>
              </w:rPr>
              <w:t xml:space="preserve">năm </w:t>
            </w:r>
            <w:r>
              <w:rPr>
                <w:b/>
                <w:bCs/>
                <w:i/>
                <w:iCs/>
                <w:color w:val="000000"/>
              </w:rPr>
              <w:t xml:space="preserve">trăm </w:t>
            </w:r>
            <w:r>
              <w:rPr>
                <w:b/>
                <w:bCs/>
                <w:i/>
                <w:iCs/>
                <w:color w:val="000000"/>
              </w:rPr>
              <w:t xml:space="preserve">ba </w:t>
            </w:r>
            <w:r>
              <w:rPr>
                <w:b/>
                <w:bCs/>
                <w:i/>
                <w:iCs/>
                <w:color w:val="000000"/>
              </w:rPr>
              <w:t xml:space="preserve">mươi </w:t>
            </w:r>
            <w:r>
              <w:rPr>
                <w:b/>
                <w:bCs/>
                <w:i/>
                <w:iCs/>
                <w:color w:val="000000"/>
              </w:rPr>
              <w:t xml:space="preserve">bốn </w:t>
            </w:r>
            <w:r>
              <w:rPr>
                <w:b/>
                <w:bCs/>
                <w:i/>
                <w:iCs/>
                <w:color w:val="000000"/>
              </w:rPr>
              <w:t xml:space="preserve">tri</w:t>
            </w:r>
            <w:r>
              <w:rPr>
                <w:b/>
                <w:bCs/>
                <w:i/>
                <w:iCs/>
                <w:color w:val="000000"/>
              </w:rPr>
              <w:t xml:space="preserve">ệu </w:t>
            </w:r>
            <w:r>
              <w:rPr>
                <w:b/>
                <w:bCs/>
                <w:i/>
                <w:iCs/>
                <w:color w:val="000000"/>
              </w:rPr>
              <w:t xml:space="preserve">nă</w:t>
            </w:r>
            <w:r>
              <w:rPr>
                <w:b/>
                <w:bCs/>
                <w:i/>
                <w:iCs/>
                <w:color w:val="000000"/>
              </w:rPr>
              <w:t xml:space="preserve">m </w:t>
            </w:r>
            <w:r>
              <w:rPr>
                <w:b/>
                <w:bCs/>
                <w:i/>
                <w:iCs/>
                <w:color w:val="000000"/>
              </w:rPr>
              <w:t xml:space="preserve">tră</w:t>
            </w:r>
            <w:r>
              <w:rPr>
                <w:b/>
                <w:bCs/>
                <w:i/>
                <w:iCs/>
                <w:color w:val="000000"/>
              </w:rPr>
              <w:t xml:space="preserve">m </w:t>
            </w:r>
            <w:r>
              <w:rPr>
                <w:b/>
                <w:bCs/>
                <w:i/>
                <w:iCs/>
                <w:color w:val="000000"/>
              </w:rPr>
              <w:t xml:space="preserve">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pPr>
      <w:r>
        <w:rPr>
          <w:highlight w:val="none"/>
          <w:lang w:val="vi-VN"/>
        </w:rPr>
      </w:r>
      <w:r>
        <w:rPr>
          <w:highlight w:val="none"/>
          <w:lang w:val="vi-VN"/>
        </w:rPr>
      </w:r>
      <w:r/>
    </w:p>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275/2026/1179/VFI-</w:t>
            </w:r>
            <w:r>
              <w:rPr>
                <w:rStyle w:val="1023"/>
                <w:rFonts w:ascii="Times New Roman" w:hAnsi="Times New Roman"/>
                <w:color w:val="000000" w:themeColor="text1"/>
                <w:lang w:val="pt-BR"/>
              </w:rPr>
              <w:t xml:space="preserve">BC</w:t>
            </w:r>
            <w:r>
              <w:rPr>
                <w:rStyle w:val="1023"/>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3 tháng 8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275/2026/1179/VFI-CT.69.A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w:t>
            </w:r>
            <w:r>
              <w:rPr>
                <w:b/>
                <w:bCs/>
              </w:rPr>
              <w:t xml:space="preserve">Lê </w:t>
            </w:r>
            <w:r>
              <w:rPr>
                <w:b/>
                <w:bCs/>
              </w:rPr>
              <w:t xml:space="preserve">Đình </w:t>
            </w:r>
            <w:r>
              <w:rPr>
                <w:b/>
                <w:bCs/>
              </w:rPr>
              <w:t xml:space="preserve">Năm </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068091029999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P2-16.09 </w:t>
            </w:r>
            <w:r>
              <w:rPr>
                <w:color w:val="000000" w:themeColor="text1"/>
                <w:lang w:val="vi-VN"/>
              </w:rPr>
              <w:t xml:space="preserve">V.</w:t>
            </w:r>
            <w:r>
              <w:rPr>
                <w:color w:val="000000" w:themeColor="text1"/>
                <w:lang w:val="vi-VN"/>
              </w:rPr>
              <w:t xml:space="preserve">C </w:t>
            </w:r>
            <w:r>
              <w:rPr>
                <w:color w:val="000000" w:themeColor="text1"/>
                <w:lang w:val="vi-VN"/>
              </w:rPr>
              <w:t xml:space="preserve">Park 720</w:t>
            </w:r>
            <w:r>
              <w:rPr>
                <w:color w:val="000000" w:themeColor="text1"/>
                <w:lang w:val="vi-VN"/>
              </w:rPr>
              <w:t xml:space="preserve">A </w:t>
            </w:r>
            <w:r>
              <w:rPr>
                <w:color w:val="000000" w:themeColor="text1"/>
                <w:lang w:val="vi-VN"/>
              </w:rPr>
              <w:t xml:space="preserve">Điện </w:t>
            </w:r>
            <w:r>
              <w:rPr>
                <w:color w:val="000000" w:themeColor="text1"/>
                <w:lang w:val="vi-VN"/>
              </w:rPr>
              <w:t xml:space="preserve">Biên </w:t>
            </w:r>
            <w:r>
              <w:rPr>
                <w:color w:val="000000" w:themeColor="text1"/>
                <w:lang w:val="vi-VN"/>
              </w:rPr>
              <w:t xml:space="preserve">Phủ, </w:t>
            </w:r>
            <w:r>
              <w:rPr>
                <w:color w:val="000000" w:themeColor="text1"/>
                <w:lang w:val="vi-VN"/>
              </w:rPr>
              <w:t xml:space="preserve">phường 22, </w:t>
            </w:r>
            <w:r>
              <w:rPr>
                <w:color w:val="000000" w:themeColor="text1"/>
                <w:lang w:val="vi-VN"/>
              </w:rPr>
              <w:t xml:space="preserve">Bình </w:t>
            </w:r>
            <w:r>
              <w:rPr>
                <w:color w:val="000000" w:themeColor="text1"/>
                <w:lang w:val="vi-VN"/>
              </w:rPr>
              <w:t xml:space="preserve">Thạnh, </w:t>
            </w:r>
            <w:r>
              <w:rPr>
                <w:color w:val="000000" w:themeColor="text1"/>
                <w:lang w:val="vi-VN"/>
              </w:rPr>
              <w:t xml:space="preserve">HCM. </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8149, tờ bản đồ 5, có địa chỉ: tại x</w:t>
            </w:r>
            <w:r>
              <w:rPr>
                <w:bCs/>
                <w:color w:val="000000" w:themeColor="text1"/>
                <w:lang w:val="pt-BR"/>
              </w:rPr>
              <w:t xml:space="preserve">ã An Viễn, thành phố Đồng Nai theo Giấy chứng nhận quyền sử dụng đất, quyền sở hữu tài sản gắn liền với đất số AA 08655860, số vào sổ cấp GCN: CN18375 do Văn phòng đăng ký đất đai chi nhánh Trảng Bom cấp ngày 19/06/2026; chủ sử dụng đất là Ông Lê Đình Năm.</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An Viễn, thành phố Đồng 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10.875666666667, 106.99030555556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08655860, số vào sổ cấp GCN: CN18375 do Văn phòng đăng ký đất đai chi nhánh Trảng Bom cấp ngày 19/06/2026; chủ sử dụng đất là Ông Lê Đình Năm.</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275/2026/1178/VFI-HĐTĐ.69.A ký ngày 30/07/2026 giữa Ông Lê Đình Năm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center"/>
        <w:rPr>
          <w:b/>
          <w:bCs/>
          <w:iCs/>
        </w:rPr>
      </w:pPr>
      <w:r>
        <w:rPr>
          <w:b/>
          <w:bCs/>
          <w:lang w:val="pt-BR"/>
        </w:rPr>
        <w:tab/>
      </w:r>
      <w:r>
        <w:rPr>
          <w:b/>
          <w:bCs/>
          <w:shd w:val="clear" w:color="auto" w:fill="ffffff"/>
        </w:rPr>
        <w:t xml:space="preserve">Bất động sản Đồng Nai 2026: Thời điểm vàng để đầu tư &amp; sinh lời</w:t>
      </w:r>
      <w:r>
        <w:rPr>
          <w:b/>
          <w:bCs/>
          <w:iCs/>
        </w:rPr>
      </w:r>
      <w:r>
        <w:rPr>
          <w:b/>
          <w:bCs/>
          <w:iCs/>
        </w:rPr>
      </w:r>
    </w:p>
    <w:p>
      <w:pPr>
        <w:pBdr/>
        <w:tabs>
          <w:tab w:val="left" w:leader="none" w:pos="426"/>
        </w:tabs>
        <w:spacing w:after="120" w:before="120" w:line="276" w:lineRule="auto"/>
        <w:ind/>
        <w:jc w:val="both"/>
        <w:rPr/>
      </w:pPr>
      <w:r>
        <w:rPr>
          <w:shd w:val="clear" w:color="auto" w:fill="ffffff"/>
        </w:rPr>
        <w:t xml:space="preserve">Đồng Nai chính thức được thông qua Đề án thành lập Thành phố trực thuộc Trung ương chắc hẳn đang là tâm điểm chú ý với bất kỳ</w:t>
      </w:r>
      <w:r>
        <w:rPr>
          <w:shd w:val="clear" w:color="auto" w:fill="ffffff"/>
        </w:rPr>
        <w:t xml:space="preserve"> ai đang theo dõi thị trường. Năm 2026, bất động sản Đồng Nai bước vào giai đoạn tái cấu trúc toàn diện, quyết định lịch sử này kết hợp cùng sức nóng từ Sân bay Long Thành, cơ sở hạ tầng và bảng giá đất mới, đã chấm dứt hoàn toàn mô hình đầu cơ phân lô tự </w:t>
      </w:r>
      <w:r>
        <w:rPr>
          <w:shd w:val="clear" w:color="auto" w:fill="ffffff"/>
        </w:rPr>
        <w:t xml:space="preserve">phát. Giữa bối cảnh một “Thành phố Sân bay” đang hình thành, Global Homes sẽ phân tích những động lực tăng trưởng cốt lõi, giúp nhà đầu tư thiết lập chiến lược sở hữu tài sản minh bạch và sinh lời thực chất nhất.</w:t>
      </w:r>
      <w:r/>
    </w:p>
    <w:p>
      <w:pPr>
        <w:pBdr/>
        <w:tabs>
          <w:tab w:val="left" w:leader="none" w:pos="426"/>
        </w:tabs>
        <w:spacing w:after="120" w:before="120" w:line="276" w:lineRule="auto"/>
        <w:ind/>
        <w:jc w:val="both"/>
        <w:rPr>
          <w:b/>
          <w:bCs/>
          <w:i/>
        </w:rPr>
      </w:pPr>
      <w:r>
        <w:rPr>
          <w:b/>
          <w:bCs/>
          <w:i/>
          <w:iCs/>
          <w:shd w:val="clear" w:color="auto" w:fill="ffffff"/>
        </w:rPr>
      </w:r>
      <w:r>
        <w:rPr>
          <w:b/>
          <w:bCs/>
          <w:i/>
          <w:iCs/>
          <w:shd w:val="clear" w:color="auto" w:fill="ffffff"/>
        </w:rPr>
        <w:t xml:space="preserve">1. Cú hích lịch sử: Từ tỉnh công nghiệp đến Thành phố trực thuộc Trung ương</w:t>
      </w:r>
      <w:r>
        <w:rPr>
          <w:b/>
          <w:bCs/>
          <w:i/>
        </w:rPr>
      </w:r>
      <w:r>
        <w:rPr>
          <w:b/>
          <w:bCs/>
          <w:i/>
        </w:rPr>
      </w:r>
    </w:p>
    <w:p>
      <w:pPr>
        <w:pBdr/>
        <w:tabs>
          <w:tab w:val="left" w:leader="none" w:pos="426"/>
        </w:tabs>
        <w:spacing w:after="120" w:before="120" w:line="276" w:lineRule="auto"/>
        <w:ind/>
        <w:jc w:val="both"/>
        <w:rPr/>
      </w:pPr>
      <w:r>
        <w:rPr>
          <w:shd w:val="clear" w:color="auto" w:fill="ffffff"/>
        </w:rPr>
        <w:t xml:space="preserve">Bước ngoặt đầu tiên và quan trọng nhất phải kể đến chính là quyết định nâng cấp vị thế hành chính. Khi</w:t>
      </w:r>
      <w:r>
        <w:rPr>
          <w:shd w:val="clear" w:color="auto" w:fill="ffffff"/>
        </w:rPr>
        <w:t xml:space="preserve"> hồ sơ Đề án thành lập Thành phố Đồng Nai trực thuộc Trung ương (cùng 10 phường mới) chính thức được thông qua vào tháng 3 và đầu tháng 4/2026, nó mang ý nghĩa vượt xa một danh xưng thông thường.</w:t>
      </w:r>
      <w:r/>
    </w:p>
    <w:p>
      <w:pPr>
        <w:pBdr/>
        <w:tabs>
          <w:tab w:val="left" w:leader="none" w:pos="426"/>
        </w:tabs>
        <w:spacing w:after="120" w:before="120" w:line="276" w:lineRule="auto"/>
        <w:ind/>
        <w:jc w:val="both"/>
        <w:rPr/>
      </w:pPr>
      <w:r>
        <w:rPr>
          <w:shd w:val="clear" w:color="auto" w:fill="ffffff"/>
        </w:rPr>
        <w:t xml:space="preserve">Sự kiện này đánh dấu quá trình chuyển đổi toàn diện: Đồng N</w:t>
      </w:r>
      <w:r>
        <w:rPr>
          <w:shd w:val="clear" w:color="auto" w:fill="ffffff"/>
        </w:rPr>
        <w:t xml:space="preserve">ai sẽ thoát khỏi hình ảnh một “tỉnh công nghiệp” để vươn mình trở thành “Thành phố sân bay” (Airport City), trung tâm logistics, công nghiệp công nghệ cao và đô thị ven sông (River City). Hệ quả tất yếu là bất động sản sẽ không thể phát triển theo kiểu ph</w:t>
      </w:r>
      <w:r>
        <w:rPr>
          <w:shd w:val="clear" w:color="auto" w:fill="ffffff"/>
        </w:rPr>
        <w:t xml:space="preserve">ân lô bán nền đơn thuần, mà bắt buộc phải gắn liền với hệ sinh thái đô thị – dịch vụ, đạt các tiêu chuẩn xanh và hiện đại. Điều này lập tức nâng tầm giá trị cho các dự án được quy hoạch bài bản.</w:t>
      </w:r>
      <w:r/>
    </w:p>
    <w:p>
      <w:pPr>
        <w:pBdr/>
        <w:tabs>
          <w:tab w:val="left" w:leader="none" w:pos="426"/>
        </w:tabs>
        <w:spacing w:after="120" w:before="120" w:line="276" w:lineRule="auto"/>
        <w:ind/>
        <w:jc w:val="both"/>
        <w:rPr>
          <w:b/>
          <w:bCs/>
          <w:i/>
        </w:rPr>
      </w:pPr>
      <w:r>
        <w:rPr>
          <w:b/>
          <w:bCs/>
          <w:i/>
          <w:iCs/>
          <w:shd w:val="clear" w:color="auto" w:fill="ffffff"/>
        </w:rPr>
        <w:t xml:space="preserve">2. Điểm rơi hạ tầng: Đòn bẩy thật cho nhu cầu ở thực khổng l</w:t>
      </w:r>
      <w:r>
        <w:rPr>
          <w:b/>
          <w:bCs/>
          <w:i/>
          <w:iCs/>
          <w:shd w:val="clear" w:color="auto" w:fill="ffffff"/>
        </w:rPr>
        <w:t xml:space="preserve">ồ tại bất động sản Đồng Na</w:t>
      </w:r>
      <w:r>
        <w:rPr>
          <w:b/>
          <w:bCs/>
          <w:i/>
          <w:iCs/>
          <w:shd w:val="clear" w:color="auto" w:fill="ffffff"/>
        </w:rPr>
        <w:t xml:space="preserve">i</w:t>
      </w:r>
      <w:r>
        <w:rPr>
          <w:b/>
          <w:bCs/>
          <w:i/>
        </w:rPr>
      </w:r>
      <w:r>
        <w:rPr>
          <w:b/>
          <w:bCs/>
          <w:i/>
        </w:rPr>
      </w:r>
    </w:p>
    <w:p>
      <w:pPr>
        <w:pBdr/>
        <w:tabs>
          <w:tab w:val="left" w:leader="none" w:pos="426"/>
        </w:tabs>
        <w:spacing w:after="120" w:before="120" w:line="276" w:lineRule="auto"/>
        <w:ind/>
        <w:jc w:val="both"/>
        <w:rPr/>
      </w:pPr>
      <w:r>
        <w:rPr>
          <w:shd w:val="clear" w:color="auto" w:fill="ffffff"/>
        </w:rPr>
      </w:r>
      <w:r>
        <w:rPr>
          <w:shd w:val="clear" w:color="auto" w:fill="ffffff"/>
        </w:rPr>
        <w:t xml:space="preserve">Nếu như hạ tầng trước đây thường gắn liền với sự chờ đợi, thì hiện tại, những đại công trình tại Đồng Nai đã thực sự bước vào giai đoạn mang lại giá trị thực tiễn. Tâm điểm chú ý dồn về Sân bay quốc tế Long Thành dự kiến đưa và</w:t>
      </w:r>
      <w:r>
        <w:rPr>
          <w:shd w:val="clear" w:color="auto" w:fill="ffffff"/>
        </w:rPr>
        <w:t xml:space="preserve">o khai thác giai đoạn 1 vào cuối năm 2026. Với quy mô nhân sự lên đến gần 14.000 lao động ngay khi vận hành và từ 200.000 – 500.000 việc làm trong tương lai, khu vực này đang hình thành một lượng cầu thực khổng lồ về nhà ở dành cho giới chuyên gia, kỹ sư v</w:t>
      </w:r>
      <w:r>
        <w:rPr>
          <w:shd w:val="clear" w:color="auto" w:fill="ffffff"/>
        </w:rPr>
        <w:t xml:space="preserve">à nhân sự dịch vụ.</w:t>
      </w:r>
      <w:r/>
    </w:p>
    <w:p>
      <w:pPr>
        <w:pBdr/>
        <w:tabs>
          <w:tab w:val="left" w:leader="none" w:pos="426"/>
        </w:tabs>
        <w:spacing w:after="120" w:before="120" w:line="276" w:lineRule="auto"/>
        <w:ind/>
        <w:jc w:val="both"/>
        <w:rPr/>
      </w:pPr>
      <w:r>
        <w:rPr>
          <w:shd w:val="clear" w:color="auto" w:fill="ffffff"/>
        </w:rPr>
        <w:t xml:space="preserve">Bên cạnh đó, mạng lưới giao thông liên vùng cũng đang có sự đột phá. Ngay đầu năm 2026, việc động thổ ba cây cầu trọng điểm kết nối TP.HCM (Cát Lái, Long Hưng, Phú Mỹ 2) cùng tiến độ khả quan của cao tốc Biên Hòa – Vũng Tàu và Vành đai </w:t>
      </w:r>
      <w:r>
        <w:rPr>
          <w:shd w:val="clear" w:color="auto" w:fill="ffffff"/>
        </w:rPr>
        <w:t xml:space="preserve">3 đã trực tiếp gỡ bỏ điểm nghẽn địa lý. Những khu vực như Nhơn Trạch, Long Thành, Biên Hòa đang thu hút mạnh mẽ dòng vốn và luồng cư dân dịch chuyển từ TP.HCM.</w:t>
      </w:r>
      <w:r/>
    </w:p>
    <w:p>
      <w:pPr>
        <w:pBdr/>
        <w:tabs>
          <w:tab w:val="left" w:leader="none" w:pos="426"/>
        </w:tabs>
        <w:spacing w:after="120" w:before="120" w:line="276" w:lineRule="auto"/>
        <w:ind/>
        <w:jc w:val="both"/>
        <w:rPr/>
      </w:pPr>
      <w:r>
        <w:rPr>
          <w:shd w:val="clear" w:color="auto" w:fill="ffffff"/>
        </w:rPr>
      </w:r>
      <w:r>
        <w:rPr>
          <w:shd w:val="clear" w:color="auto" w:fill="ffffff"/>
        </w:rPr>
        <w:br/>
      </w:r>
      <w:r>
        <w:rPr>
          <w:b/>
          <w:bCs/>
          <w:i/>
          <w:iCs/>
          <w:shd w:val="clear" w:color="auto" w:fill="ffffff"/>
        </w:rPr>
        <w:t xml:space="preserve">3. Bảng giá đất mới 2026: Thiết lập</w:t>
      </w:r>
      <w:r>
        <w:rPr>
          <w:b/>
          <w:bCs/>
          <w:i/>
          <w:iCs/>
          <w:shd w:val="clear" w:color="auto" w:fill="ffffff"/>
        </w:rPr>
        <w:t xml:space="preserve"> mặt bằng giá trị bền vững cho bất động sản Đồng Nai</w:t>
      </w:r>
      <w:r/>
    </w:p>
    <w:p>
      <w:pPr>
        <w:pBdr/>
        <w:tabs>
          <w:tab w:val="left" w:leader="none" w:pos="426"/>
        </w:tabs>
        <w:spacing w:after="120" w:before="120" w:line="276" w:lineRule="auto"/>
        <w:ind/>
        <w:jc w:val="both"/>
        <w:rPr/>
      </w:pPr>
      <w:r>
        <w:rPr>
          <w:shd w:val="clear" w:color="auto" w:fill="ffffff"/>
        </w:rPr>
        <w:t xml:space="preserve">Một yếu tố vĩ mô tác động trực tiếp đến cán cân cung – cầu chính là bài toán chi phí. Theo dự thảo năm 2026, giá đất tại Đồng Nai tăng trung bình từ 3,2 đến 3,6 lần, có nơi khu vực đô thị tăng tới 9 lần.</w:t>
      </w:r>
      <w:r>
        <w:rPr>
          <w:shd w:val="clear" w:color="auto" w:fill="ffffff"/>
        </w:rPr>
        <w:t xml:space="preserve"> Áp lực từ chi phí bồi thường giải phóng mặt bằng và chuyển mục đích sử dụng đất tăng vọt buộc các chủ đầu tư dự án mới phải nâng giá bán để bù đắp.</w:t>
      </w:r>
      <w:r/>
    </w:p>
    <w:p>
      <w:pPr>
        <w:pBdr/>
        <w:tabs>
          <w:tab w:val="left" w:leader="none" w:pos="426"/>
        </w:tabs>
        <w:spacing w:after="120" w:before="120" w:line="276" w:lineRule="auto"/>
        <w:ind/>
        <w:jc w:val="both"/>
        <w:rPr/>
      </w:pPr>
      <w:r>
        <w:rPr>
          <w:shd w:val="clear" w:color="auto" w:fill="ffffff"/>
        </w:rPr>
        <w:t xml:space="preserve">Trong bối cảnh nguồn cung sơ cấp phải thiết lập mặt bằng giá mới cao hơn, lợi thế cạnh tranh tuyệt đối đan</w:t>
      </w:r>
      <w:r>
        <w:rPr>
          <w:shd w:val="clear" w:color="auto" w:fill="ffffff"/>
        </w:rPr>
        <w:t xml:space="preserve">g nghiêng về các sản phẩm hiện hữu. Những bất động sản, đất thổ cư đã có sẵn sổ hồng ít bị ảnh hưởng bởi mức thuế phí mới nhưng lại nghiễm nhiên được hưởng lợi từ sự gia tăng của toàn thị trường.</w:t>
      </w:r>
      <w:r/>
    </w:p>
    <w:p>
      <w:pPr>
        <w:pBdr/>
        <w:tabs>
          <w:tab w:val="left" w:leader="none" w:pos="426"/>
        </w:tabs>
        <w:spacing w:after="120" w:before="120" w:line="276" w:lineRule="auto"/>
        <w:ind/>
        <w:jc w:val="both"/>
        <w:rPr>
          <w:b/>
          <w:bCs/>
          <w:i/>
        </w:rPr>
      </w:pPr>
      <w:r>
        <w:rPr>
          <w:b/>
          <w:bCs/>
          <w:i/>
          <w:iCs/>
          <w:shd w:val="clear" w:color="auto" w:fill="ffffff"/>
        </w:rPr>
        <w:t xml:space="preserve">4. Chiến lược đầu tư bất động sản Đồng Nai 2026: Giữ vốn an</w:t>
      </w:r>
      <w:r>
        <w:rPr>
          <w:b/>
          <w:bCs/>
          <w:i/>
          <w:iCs/>
          <w:shd w:val="clear" w:color="auto" w:fill="ffffff"/>
        </w:rPr>
        <w:t xml:space="preserve"> toàn, Sinh lời bền vững</w:t>
      </w:r>
      <w:r>
        <w:rPr>
          <w:b/>
          <w:bCs/>
          <w:i/>
        </w:rPr>
      </w:r>
      <w:r>
        <w:rPr>
          <w:b/>
          <w:bCs/>
          <w:i/>
        </w:rPr>
      </w:r>
    </w:p>
    <w:p>
      <w:pPr>
        <w:pBdr/>
        <w:tabs>
          <w:tab w:val="left" w:leader="none" w:pos="426"/>
        </w:tabs>
        <w:spacing w:after="120" w:before="120" w:line="276" w:lineRule="auto"/>
        <w:ind/>
        <w:jc w:val="both"/>
        <w:rPr/>
      </w:pPr>
      <w:r>
        <w:rPr>
          <w:shd w:val="clear" w:color="auto" w:fill="ffffff"/>
        </w:rPr>
        <w:t xml:space="preserve">Năm 2026, thị trường Đồng Nai đang bước vào một chu kỳ chuyển mình mạnh mẽ. Giữa những biến động mới, nguyên tắc hàng đầu của dòng tiền thông minh không chỉ là tìm kiếm lợi nhuận, mà phải xây dựng được một “bức tường phòng thủ” vữn</w:t>
      </w:r>
      <w:r>
        <w:rPr>
          <w:shd w:val="clear" w:color="auto" w:fill="ffffff"/>
        </w:rPr>
        <w:t xml:space="preserve">g chắc cho tài sản. Dưới góc nhìn chuyên môn từ Global Homes, một chiến lược đầu tư an toàn và sắc bén lúc này cần bám sát 3 trọng tâm cốt lõi:</w:t>
      </w:r>
      <w:r/>
    </w:p>
    <w:p>
      <w:pPr>
        <w:pBdr/>
        <w:tabs>
          <w:tab w:val="left" w:leader="none" w:pos="426"/>
        </w:tabs>
        <w:spacing w:after="120" w:before="120" w:line="276" w:lineRule="auto"/>
        <w:ind/>
        <w:jc w:val="both"/>
        <w:rPr>
          <w:b/>
          <w:bCs/>
          <w:u w:val="none"/>
        </w:rPr>
      </w:pPr>
      <w:r>
        <w:rPr>
          <w:b/>
          <w:bCs/>
          <w:u w:val="none"/>
          <w:shd w:val="clear" w:color="auto" w:fill="ffffff"/>
        </w:rPr>
      </w:r>
      <w:r>
        <w:rPr>
          <w:b/>
          <w:bCs/>
          <w:u w:val="none"/>
          <w:shd w:val="clear" w:color="auto" w:fill="ffffff"/>
        </w:rPr>
        <w:t xml:space="preserve">Thứ nhất: Ưu tiên pháp lý chuẩn – Chìa khóa an to</w:t>
      </w:r>
      <w:r>
        <w:rPr>
          <w:b/>
          <w:bCs/>
          <w:u w:val="none"/>
          <w:shd w:val="clear" w:color="auto" w:fill="ffffff"/>
        </w:rPr>
        <w:t xml:space="preserve">àn và thanh khoản</w:t>
      </w:r>
      <w:r>
        <w:rPr>
          <w:b/>
          <w:bCs/>
          <w:u w:val="none"/>
        </w:rPr>
      </w:r>
      <w:r>
        <w:rPr>
          <w:b/>
          <w:bCs/>
          <w:u w:val="none"/>
        </w:rPr>
      </w:r>
    </w:p>
    <w:p>
      <w:pPr>
        <w:pBdr/>
        <w:tabs>
          <w:tab w:val="left" w:leader="none" w:pos="426"/>
        </w:tabs>
        <w:spacing w:after="120" w:before="120" w:line="276" w:lineRule="auto"/>
        <w:ind/>
        <w:jc w:val="both"/>
        <w:rPr/>
      </w:pPr>
      <w:r>
        <w:rPr>
          <w:shd w:val="clear" w:color="auto" w:fill="ffffff"/>
        </w:rPr>
        <w:t xml:space="preserve">Bước đầu tiên để tối ưu lợi nhuận chính là quản trị rủi ro. Với hành lang pháp lý mới và bảng giá đất được cập nhật, các sản phẩm có tính rủi ro cao (như mua bán qua vi bằng hay đất diện tích lớn sổ chung) không còn là lựa chọn an toàn.</w:t>
      </w:r>
      <w:r/>
    </w:p>
    <w:p>
      <w:pPr>
        <w:pBdr/>
        <w:tabs>
          <w:tab w:val="left" w:leader="none" w:pos="426"/>
        </w:tabs>
        <w:spacing w:after="120" w:before="120" w:line="276" w:lineRule="auto"/>
        <w:ind/>
        <w:jc w:val="both"/>
        <w:rPr/>
      </w:pPr>
      <w:r>
        <w:rPr>
          <w:shd w:val="clear" w:color="auto" w:fill="ffffff"/>
        </w:rPr>
      </w:r>
      <w:r>
        <w:rPr>
          <w:shd w:val="clear" w:color="auto" w:fill="ffffff"/>
        </w:rPr>
        <w:t xml:space="preserve">Thay vào đó, nhà đầu tư nên đặt tiêu chí “Sổ hồng, sở hữu độc lập” lên hàng đầu. Một tài sản chuẩn chỉnh về pháp lý không chỉ mang lại sự an tâm tuyệt đối, mà còn giúp bạn dễ dàng chuyển nhượng hoặc dùng làm tài sản thế chấp vay vốn ngân hàng trong mọi gia</w:t>
      </w:r>
      <w:r>
        <w:rPr>
          <w:shd w:val="clear" w:color="auto" w:fill="ffffff"/>
        </w:rPr>
        <w:t xml:space="preserve">i đoạn của thị trường.</w:t>
      </w:r>
      <w:r/>
    </w:p>
    <w:p>
      <w:pPr>
        <w:pBdr/>
        <w:tabs>
          <w:tab w:val="left" w:leader="none" w:pos="426"/>
        </w:tabs>
        <w:spacing w:after="120" w:before="120" w:line="276" w:lineRule="auto"/>
        <w:ind/>
        <w:jc w:val="both"/>
        <w:rPr>
          <w:b/>
          <w:bCs/>
          <w:i w:val="0"/>
        </w:rPr>
      </w:pPr>
      <w:r>
        <w:rPr>
          <w:b/>
          <w:bCs/>
          <w:i w:val="0"/>
          <w:iCs w:val="0"/>
          <w:shd w:val="clear" w:color="auto" w:fill="ffffff"/>
        </w:rPr>
        <w:t xml:space="preserve">Thứ hai: Chọn đúng tọa độ theo nhịp phát triển hạ tầng bất động sản Đồng Nai</w:t>
        <w:br/>
        <w:t xml:space="preserve">Thời của việc đầu tư dàn trải đã qua. Dòng tiền giờ đây cần được đặt đúng vào những khu vực có động lực tăng trưởng thực tế:</w:t>
      </w:r>
      <w:r>
        <w:rPr>
          <w:b/>
          <w:bCs/>
          <w:i w:val="0"/>
        </w:rPr>
      </w:r>
      <w:r>
        <w:rPr>
          <w:b/>
          <w:bCs/>
          <w:i w:val="0"/>
        </w:rPr>
      </w:r>
    </w:p>
    <w:p>
      <w:pPr>
        <w:pBdr/>
        <w:tabs>
          <w:tab w:val="left" w:leader="none" w:pos="426"/>
        </w:tabs>
        <w:spacing w:after="120" w:before="120" w:line="276" w:lineRule="auto"/>
        <w:ind/>
        <w:jc w:val="both"/>
        <w:rPr/>
      </w:pPr>
      <w:r>
        <w:rPr>
          <w:shd w:val="clear" w:color="auto" w:fill="ffffff"/>
        </w:rPr>
        <w:t xml:space="preserve">Khu vực quanh Sân bay Long Th</w:t>
      </w:r>
      <w:r>
        <w:rPr>
          <w:shd w:val="clear" w:color="auto" w:fill="ffffff"/>
        </w:rPr>
        <w:t xml:space="preserve">ành: Không chỉ hưởng lợi từ tiến độ sân bay, bán kính 10-15km quanh khu vực này đang vươn mình thành trung tâm thương mại và giao thương quốc tế. Đây sẽ là thỏi nam châm thu hút cộng đồng chuyên gia và cư dân tinh hoa đến làm việc, sinh sống.</w:t>
      </w:r>
      <w:r/>
    </w:p>
    <w:p>
      <w:pPr>
        <w:pBdr/>
        <w:tabs>
          <w:tab w:val="left" w:leader="none" w:pos="426"/>
        </w:tabs>
        <w:spacing w:after="120" w:before="120" w:line="276" w:lineRule="auto"/>
        <w:ind/>
        <w:jc w:val="both"/>
        <w:rPr/>
      </w:pPr>
      <w:r>
        <w:rPr>
          <w:shd w:val="clear" w:color="auto" w:fill="ffffff"/>
        </w:rPr>
        <w:t xml:space="preserve">Nhơn Trạch &amp;</w:t>
      </w:r>
      <w:r>
        <w:rPr>
          <w:shd w:val="clear" w:color="auto" w:fill="ffffff"/>
        </w:rPr>
        <w:t xml:space="preserve"> Biên Hòa: Với loạt dự án cầu vượt sông trọng điểm đang triển khai, ranh giới giữa Đồng Nai và TP.HCM đang được xóa mờ. Đây là khu vực lý tưởng để đón đầu làn sóng dịch chuyển dân cư từ TP.HCM, mang lại dư địa tăng giá vô cùng ổn định. </w:t>
      </w:r>
      <w:r/>
    </w:p>
    <w:p>
      <w:pPr>
        <w:pBdr/>
        <w:tabs>
          <w:tab w:val="left" w:leader="none" w:pos="426"/>
        </w:tabs>
        <w:spacing w:after="120" w:before="120" w:line="276" w:lineRule="auto"/>
        <w:ind/>
        <w:jc w:val="both"/>
        <w:rPr/>
      </w:pPr>
      <w:r>
        <w:rPr>
          <w:shd w:val="clear" w:color="auto" w:fill="ffffff"/>
        </w:rPr>
      </w:r>
      <w:r>
        <w:rPr>
          <w:shd w:val="clear" w:color="auto" w:fill="ffffff"/>
        </w:rPr>
        <w:t xml:space="preserve">Trảng Bom: Khu vực </w:t>
      </w:r>
      <w:r>
        <w:rPr>
          <w:shd w:val="clear" w:color="auto" w:fill="ffffff"/>
        </w:rPr>
        <w:t xml:space="preserve">này sẽ hưởng lợi trực tiếp từ sự phát triển mở rộng của các cụm công nghiệp mới.</w:t>
      </w:r>
      <w:r/>
    </w:p>
    <w:p>
      <w:pPr>
        <w:pBdr/>
        <w:tabs>
          <w:tab w:val="left" w:leader="none" w:pos="426"/>
        </w:tabs>
        <w:spacing w:after="120" w:before="120" w:line="276" w:lineRule="auto"/>
        <w:ind/>
        <w:jc w:val="both"/>
        <w:rPr>
          <w:b/>
          <w:bCs w:val="0"/>
          <w:i w:val="0"/>
        </w:rPr>
      </w:pPr>
      <w:r>
        <w:rPr>
          <w:b/>
          <w:bCs/>
          <w:i w:val="0"/>
          <w:iCs w:val="0"/>
          <w:shd w:val="clear" w:color="auto" w:fill="ffffff"/>
        </w:rPr>
        <w:t xml:space="preserve">Thứ ba: Chuyển hướng sang bất động sản tạo ra dòng tiền thực</w:t>
      </w:r>
      <w:r>
        <w:rPr>
          <w:b/>
          <w:bCs w:val="0"/>
          <w:i w:val="0"/>
        </w:rPr>
      </w:r>
      <w:r>
        <w:rPr>
          <w:b/>
          <w:bCs w:val="0"/>
          <w:i w:val="0"/>
        </w:rPr>
      </w:r>
    </w:p>
    <w:p>
      <w:pPr>
        <w:pBdr/>
        <w:tabs>
          <w:tab w:val="left" w:leader="none" w:pos="426"/>
        </w:tabs>
        <w:spacing w:after="120" w:before="120" w:line="276" w:lineRule="auto"/>
        <w:ind/>
        <w:jc w:val="both"/>
        <w:rPr/>
      </w:pPr>
      <w:r>
        <w:rPr>
          <w:shd w:val="clear" w:color="auto" w:fill="ffffff"/>
        </w:rPr>
        <w:t xml:space="preserve">Thay vì mua đất để đó chờ tăng giá, chúng ta nên có tư duy đầu tư thực tế hơn: Tài sản phải tạo ra thu nhập đều đ</w:t>
      </w:r>
      <w:r>
        <w:rPr>
          <w:shd w:val="clear" w:color="auto" w:fill="ffffff"/>
        </w:rPr>
        <w:t xml:space="preserve">ặn. </w:t>
      </w:r>
      <w:r>
        <w:rPr>
          <w:shd w:val="clear" w:color="auto" w:fill="ffffff"/>
        </w:rPr>
        <w:t xml:space="preserve">Khách thuê và mua bất động sản tại Đồng Nai trong năm 2026 sẽ là hàng vạn chuyên gia nước ngoài (FDI), kỹ sư công nghệ cao và lực lượng nhân sự khổng lồ phục vụ sân bay. Để đón đầu tệp khách hàng chất lượng này, nhà đầu tư nên ưu tiên các bất động sản</w:t>
      </w:r>
      <w:r>
        <w:rPr>
          <w:shd w:val="clear" w:color="auto" w:fill="ffffff"/>
        </w:rPr>
        <w:t xml:space="preserve"> nằm sát trục đường lớn hoặc kề cận các khu tiện ích – nơi có thể nhanh chóng đưa vào vận hành cho thuê hoặc kinh doanh ngay lập tức. Đây chính là bài toán thu “lãi kép” hiệu quả nhất.</w:t>
      </w:r>
      <w:r/>
    </w:p>
    <w:p>
      <w:pPr>
        <w:pBdr/>
        <w:tabs>
          <w:tab w:val="left" w:leader="none" w:pos="426"/>
        </w:tabs>
        <w:spacing w:after="120" w:before="120" w:line="276" w:lineRule="auto"/>
        <w:ind/>
        <w:jc w:val="both"/>
        <w:rPr/>
      </w:pPr>
      <w:r>
        <w:rPr>
          <w:shd w:val="clear" w:color="auto" w:fill="ffffff"/>
        </w:rPr>
        <w:t xml:space="preserve">Nh</w:t>
      </w:r>
      <w:r>
        <w:rPr>
          <w:shd w:val="clear" w:color="auto" w:fill="ffffff"/>
        </w:rPr>
        <w:t xml:space="preserve">ìn chung, thị trường bất động sản Đồng Nai năm 2026 đang mở ra một cơ hội hiếm có được bảo chứng bằng tiến độ hạ tầng và định hướng quy hoạch rõ nét. Để chiến thắng trong giai đoạn này, tư duy đầu cơ cũ cần nhường chỗ cho những quyết định dựa trên tính min</w:t>
      </w:r>
      <w:r>
        <w:rPr>
          <w:shd w:val="clear" w:color="auto" w:fill="ffffff"/>
        </w:rPr>
        <w:t xml:space="preserve">h bạch của pháp lý và khả năng sinh lời thực tế. Nếu những nhận định của Global Homes phù hợp với góc nhìn của bạn về bất động sản Đồng Nai thời điểm hiện tại.</w:t>
      </w:r>
      <w:r/>
    </w:p>
    <w:p>
      <w:pPr>
        <w:pBdr/>
        <w:tabs>
          <w:tab w:val="left" w:leader="none" w:pos="426"/>
        </w:tabs>
        <w:spacing w:after="120" w:before="120" w:line="276" w:lineRule="auto"/>
        <w:ind/>
        <w:jc w:val="center"/>
        <w:rPr>
          <w:bCs/>
          <w:i/>
        </w:rPr>
      </w:pPr>
      <w:r>
        <w:rPr>
          <w:i/>
          <w:iCs/>
          <w:shd w:val="clear" w:color="auto" w:fill="ffffff"/>
        </w:rPr>
        <w:t xml:space="preserve">(Nguồn tham khảo: https://ghomes.vn/bat-dong-san-dong-nai-gia-tri-thuc-co-hoi-cho-nha-dau-tu/)</w:t>
      </w:r>
      <w:r>
        <w:rPr>
          <w:bCs/>
          <w:i/>
        </w:rPr>
      </w:r>
      <w:r>
        <w:rPr>
          <w:bCs/>
          <w:i/>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8149, tờ bản đồ 5, có địa chỉ: tại x</w:t>
            </w:r>
            <w:r>
              <w:rPr>
                <w:b/>
                <w:bCs/>
                <w:color w:val="000000"/>
              </w:rPr>
              <w:t xml:space="preserve">ã An Viễn, thành phố Đồng Nai theo Giấy chứng nhận quyền sử dụng đất, quyền sở hữu tài sản gắn liền với đất số AA 08655860, số vào sổ cấp GCN: CN18375 do Văn phòng đăng ký đất đai chi nhánh Trảng Bom cấp ngày 19/06/2026; chủ sử dụng đất là Ông Lê Đình Năm.</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8149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An Viễn, thành phố Đồng Nai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99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27"/>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w:t>
            </w:r>
            <w:r>
              <w:rPr>
                <w:rFonts w:ascii="Times New Roman" w:hAnsi="Times New Roman" w:eastAsia="Times New Roman" w:cs="Times New Roman"/>
                <w:color w:val="000000"/>
                <w:sz w:val="24"/>
              </w:rPr>
              <w:t xml:space="preserve">ứng </w:t>
            </w:r>
            <w:r>
              <w:rPr>
                <w:rFonts w:ascii="Times New Roman" w:hAnsi="Times New Roman" w:eastAsia="Times New Roman" w:cs="Times New Roman"/>
                <w:color w:val="000000"/>
                <w:sz w:val="24"/>
              </w:rPr>
              <w:t xml:space="preserve">dụng </w:t>
            </w:r>
            <w:r>
              <w:rPr>
                <w:rFonts w:ascii="Times New Roman" w:hAnsi="Times New Roman" w:eastAsia="Times New Roman" w:cs="Times New Roman"/>
                <w:color w:val="000000"/>
                <w:sz w:val="24"/>
              </w:rPr>
              <w:t xml:space="preserve">QH </w:t>
            </w:r>
            <w:r>
              <w:rPr>
                <w:rFonts w:ascii="Times New Roman" w:hAnsi="Times New Roman" w:eastAsia="Times New Roman" w:cs="Times New Roman"/>
                <w:color w:val="000000"/>
                <w:sz w:val="24"/>
              </w:rPr>
              <w:t xml:space="preserve">Đồng </w:t>
            </w:r>
            <w:r>
              <w:rPr>
                <w:rFonts w:ascii="Times New Roman" w:hAnsi="Times New Roman" w:eastAsia="Times New Roman" w:cs="Times New Roman"/>
                <w:color w:val="000000"/>
                <w:sz w:val="24"/>
              </w:rPr>
              <w:t xml:space="preserve">Nai</w:t>
            </w:r>
            <w:r>
              <w:rPr>
                <w:rFonts w:ascii="Times New Roman" w:hAnsi="Times New Roman" w:eastAsia="Times New Roman" w:cs="Times New Roman"/>
                <w:color w:val="000000"/>
                <w:sz w:val="24"/>
              </w:rPr>
              <w:t xml:space="preserve">, xác định</w:t>
            </w:r>
            <w:r>
              <w:rPr>
                <w:rFonts w:ascii="Times New Roman" w:hAnsi="Times New Roman" w:eastAsia="Times New Roman" w:cs="Times New Roman"/>
                <w:color w:val="000000"/>
                <w:sz w:val="24"/>
              </w:rPr>
              <w:t xml:space="preserve"> vị trí tài sản thuộc quy hoạch đất ở </w:t>
            </w:r>
            <w:r>
              <w:rPr>
                <w:rFonts w:ascii="Times New Roman" w:hAnsi="Times New Roman" w:eastAsia="Times New Roman" w:cs="Times New Roman"/>
                <w:color w:val="000000"/>
                <w:sz w:val="24"/>
              </w:rPr>
              <w:t xml:space="preserve">nông </w:t>
            </w:r>
            <w:r>
              <w:rPr>
                <w:rFonts w:ascii="Times New Roman" w:hAnsi="Times New Roman" w:eastAsia="Times New Roman" w:cs="Times New Roman"/>
                <w:color w:val="000000"/>
                <w:sz w:val="24"/>
              </w:rPr>
              <w:t xml:space="preserve">thôn</w:t>
            </w:r>
            <w:r>
              <w:rPr>
                <w:rFonts w:ascii="Times New Roman" w:hAnsi="Times New Roman" w:eastAsia="Times New Roman" w:cs="Times New Roman"/>
                <w:color w:val="000000"/>
                <w:sz w:val="24"/>
              </w:rPr>
              <w:t xml:space="preserve">.</w:t>
            </w:r>
            <w:r>
              <w:rPr>
                <w:color w:val="000000"/>
                <w:highlight w:val="none"/>
              </w:rPr>
            </w:r>
            <w:r>
              <w:rPr>
                <w:color w:val="000000"/>
                <w:highlight w:val="none"/>
              </w:rPr>
            </w:r>
          </w:p>
          <w:p>
            <w:pPr>
              <w:pBdr/>
              <w:spacing/>
              <w:ind/>
              <w:jc w:val="center"/>
              <w:rPr>
                <w:color w:val="000000"/>
              </w:rPr>
            </w:pPr>
            <w:r>
              <w:rPr>
                <w:color w:val="000000"/>
                <w:highlight w:val="none"/>
              </w:rPr>
            </w:r>
            <w:r>
              <mc:AlternateContent>
                <mc:Choice Requires="wpg">
                  <w:drawing>
                    <wp:inline xmlns:wp="http://schemas.openxmlformats.org/drawingml/2006/wordprocessingDrawing" distT="0" distB="0" distL="0" distR="0">
                      <wp:extent cx="2096468" cy="373529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2210" name=""/>
                              <pic:cNvPicPr>
                                <a:picLocks noChangeAspect="1"/>
                              </pic:cNvPicPr>
                              <pic:nvPr/>
                            </pic:nvPicPr>
                            <pic:blipFill rotWithShape="1">
                              <a:blip r:embed="rId17"/>
                              <a:stretch/>
                            </pic:blipFill>
                            <pic:spPr bwMode="auto">
                              <a:xfrm flipH="0" flipV="0">
                                <a:off x="0" y="0"/>
                                <a:ext cx="2096468" cy="37352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65.08pt;height:294.12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11</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đường </w:t>
            </w:r>
            <w:r>
              <w:rPr>
                <w:color w:val="000000" w:themeColor="text1"/>
              </w:rPr>
              <w:t xml:space="preserve">Trảng </w:t>
            </w:r>
            <w:r>
              <w:rPr>
                <w:color w:val="000000" w:themeColor="text1"/>
              </w:rPr>
              <w:t xml:space="preserve">Bom - </w:t>
            </w:r>
            <w:r>
              <w:rPr>
                <w:color w:val="000000" w:themeColor="text1"/>
              </w:rPr>
              <w:t xml:space="preserve">An </w:t>
            </w:r>
            <w:r>
              <w:rPr>
                <w:color w:val="000000" w:themeColor="text1"/>
              </w:rPr>
              <w:t xml:space="preserve">Viễn </w:t>
            </w:r>
            <w:r>
              <w:rPr>
                <w:color w:val="000000" w:themeColor="text1"/>
              </w:rPr>
              <w:t xml:space="preserve">khoảng 450</w:t>
            </w:r>
            <w:r>
              <w:rPr>
                <w:color w:val="000000" w:themeColor="text1"/>
              </w:rPr>
              <w:t xml:space="preserve">m.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Đông: Tiếp giáp đường giao thông.</w:t>
              <w:br/>
              <w:t xml:space="preserve">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10.875666666667</w:t>
            </w:r>
            <w:r>
              <w:rPr>
                <w:color w:val="000000"/>
              </w:rPr>
              <w:t xml:space="preserve">, </w:t>
            </w:r>
            <w:r>
              <w:rPr>
                <w:color w:val="000000"/>
              </w:rPr>
              <w:t xml:space="preserve">106.99030555556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21877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21876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0.93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phân </w:t>
            </w:r>
            <w:r>
              <w:rPr>
                <w:color w:val="000000"/>
              </w:rPr>
              <w:t xml:space="preserve">lô</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w:t>
            </w:r>
            <w:r>
              <w:rPr>
                <w:color w:val="000000"/>
              </w:rPr>
              <w:t xml:space="preserve">trống</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Xã An Viễn, thành phố Đồng Nai</w:t>
            </w:r>
            <w:r/>
          </w:p>
        </w:tc>
        <w:tc>
          <w:tcPr>
            <w:tcBorders/>
            <w:tcW w:w="1605" w:type="dxa"/>
            <w:vAlign w:val="center"/>
            <w:textDirection w:val="lrTb"/>
            <w:noWrap w:val="false"/>
          </w:tcPr>
          <w:p>
            <w:pPr>
              <w:pBdr/>
              <w:spacing/>
              <w:ind/>
              <w:jc w:val="center"/>
              <w:rPr/>
            </w:pPr>
            <w:r>
              <w:t xml:space="preserve">Xã An Viễn, thành phố Đồng Nai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w:t>
            </w:r>
            <w:r>
              <w:t xml:space="preserve">u</w:t>
            </w:r>
            <w:r>
              <w:t xml:space="preserve"> tài sản gắn liền với đất</w:t>
            </w:r>
            <w:r/>
          </w:p>
          <w:p>
            <w:pPr>
              <w:pBdr/>
              <w:spacing/>
              <w:ind/>
              <w:jc w:val="center"/>
              <w:rPr/>
            </w:pPr>
            <w:r>
              <w:t xml:space="preserve"> </w:t>
            </w:r>
            <w:r/>
          </w:p>
        </w:tc>
        <w:tc>
          <w:tcPr>
            <w:tcBorders/>
            <w:tcW w:w="1605" w:type="dxa"/>
            <w:vAlign w:val="center"/>
            <w:textDirection w:val="lrTb"/>
            <w:noWrap w:val="false"/>
          </w:tcPr>
          <w:p>
            <w:pPr>
              <w:pBdr/>
              <w:spacing/>
              <w:ind/>
              <w:jc w:val="center"/>
              <w:rPr/>
            </w:pPr>
            <w:r>
              <w:t xml:space="preserve">Giấy chứng nhận quyền sử dụng đất, quyền sở hữ</w:t>
            </w:r>
            <w:r>
              <w:t xml:space="preserve">u</w:t>
            </w:r>
            <w:r>
              <w:t xml:space="preserve"> tài sản gắn liền với đất </w:t>
            </w:r>
            <w:r>
              <w:t xml:space="preserve">✔</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99</w:t>
            </w:r>
            <w:r/>
          </w:p>
        </w:tc>
        <w:tc>
          <w:tcPr>
            <w:tcBorders/>
            <w:tcW w:w="1605" w:type="dxa"/>
            <w:vAlign w:val="center"/>
            <w:textDirection w:val="lrTb"/>
            <w:noWrap w:val="false"/>
          </w:tcPr>
          <w:p>
            <w:pPr>
              <w:pBdr/>
              <w:spacing/>
              <w:ind/>
              <w:jc w:val="center"/>
              <w:rPr/>
            </w:pPr>
            <w:r>
              <w:t xml:space="preserve">99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4,5</w:t>
            </w:r>
            <w:r/>
          </w:p>
        </w:tc>
        <w:tc>
          <w:tcPr>
            <w:tcBorders/>
            <w:tcW w:w="1605" w:type="dxa"/>
            <w:vAlign w:val="center"/>
            <w:textDirection w:val="lrTb"/>
            <w:noWrap w:val="false"/>
          </w:tcPr>
          <w:p>
            <w:pPr>
              <w:pBdr/>
              <w:spacing/>
              <w:ind/>
              <w:jc w:val="center"/>
              <w:rPr/>
            </w:pPr>
            <w:r>
              <w:t xml:space="preserve">4,5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22 </w:t>
            </w:r>
            <w:r/>
          </w:p>
        </w:tc>
        <w:tc>
          <w:tcPr>
            <w:tcBorders/>
            <w:tcW w:w="1605" w:type="dxa"/>
            <w:vAlign w:val="center"/>
            <w:textDirection w:val="lrTb"/>
            <w:noWrap w:val="false"/>
          </w:tcPr>
          <w:p>
            <w:pPr>
              <w:pBdr/>
              <w:spacing/>
              <w:ind/>
              <w:jc w:val="center"/>
              <w:rPr/>
            </w:pPr>
            <w:r>
              <w:t xml:space="preserve">22 </w:t>
            </w:r>
            <w: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w:t>
            </w:r>
            <w:r/>
          </w:p>
        </w:tc>
        <w:tc>
          <w:tcPr>
            <w:tcBorders/>
            <w:tcW w:w="1605" w:type="dxa"/>
            <w:vAlign w:val="center"/>
            <w:textDirection w:val="lrTb"/>
            <w:noWrap w:val="false"/>
          </w:tcPr>
          <w:p>
            <w:pPr>
              <w:pBdr/>
              <w:spacing/>
              <w:ind/>
              <w:jc w:val="center"/>
              <w:rPr/>
            </w:pPr>
            <w:r>
              <w:t xml:space="preserve">Đông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126"/>
        <w:gridCol w:w="1417"/>
        <w:gridCol w:w="1984"/>
        <w:gridCol w:w="1529"/>
        <w:gridCol w:w="1732"/>
      </w:tblGrid>
      <w:tr>
        <w:trPr>
          <w:trHeight w:val="3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26"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ĐẶC ĐIỂM BĐS</w:t>
            </w:r>
            <w:r/>
          </w:p>
        </w:tc>
        <w:tc>
          <w:tcPr>
            <w:tcBorders>
              <w:top w:val="single" w:color="000000" w:sz="6" w:space="0"/>
              <w:bottom w:val="single" w:color="000000" w:sz="6" w:space="0"/>
              <w:right w:val="single" w:color="000000" w:sz="6" w:space="0"/>
            </w:tcBorders>
            <w:tcMar>
              <w:left w:w="0" w:type="dxa"/>
              <w:top w:w="0" w:type="dxa"/>
              <w:right w:w="0" w:type="dxa"/>
              <w:bottom w:w="0" w:type="dxa"/>
            </w:tcMar>
            <w:tcW w:w="141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6" w:space="0"/>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6" w:space="0"/>
              <w:bottom w:val="single" w:color="000000" w:sz="6" w:space="0"/>
              <w:right w:val="single" w:color="000000" w:sz="6" w:space="0"/>
            </w:tcBorders>
            <w:tcMar>
              <w:left w:w="0" w:type="dxa"/>
              <w:top w:w="0" w:type="dxa"/>
              <w:right w:w="0" w:type="dxa"/>
              <w:bottom w:w="0" w:type="dxa"/>
            </w:tcMar>
            <w:tcW w:w="1529"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6" w:space="0"/>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0" w:type="dxa"/>
              <w:top w:w="0" w:type="dxa"/>
              <w:right w:w="0" w:type="dxa"/>
              <w:bottom w:w="0" w:type="dxa"/>
            </w:tcMar>
            <w:tcW w:w="2126"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6" w:space="0"/>
              <w:right w:val="single" w:color="000000" w:sz="6" w:space="0"/>
            </w:tcBorders>
            <w:tcMar>
              <w:left w:w="0" w:type="dxa"/>
              <w:top w:w="0" w:type="dxa"/>
              <w:right w:w="0" w:type="dxa"/>
              <w:bottom w:w="0" w:type="dxa"/>
            </w:tcMar>
            <w:tcW w:w="1417"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29"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24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An Viễn, TP Đồng Nai</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Trảng Bom - An Viễn, Xã An Viễn, Huyện Trảng Bom, Tỉnh Đồng Nai (Nay là xã An Viễn, TP Đồng Nai)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An Viễn, TP Đồng Nai</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Xã An Viễn, TP Đồng Nai</w:t>
            </w:r>
            <w:r/>
          </w:p>
        </w:tc>
      </w:tr>
      <w:tr>
        <w:trPr>
          <w:trHeight w:val="17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https://www.facebook.com/groups/482345335620583/posts/2412166965971734/</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https://guland.vn/post/dat-nha-an-vien-trang-bom-dong-nai-2267724</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0949617434 </w:t>
              <w:br/>
              <w:t xml:space="preserve">(Toán)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0768819819</w:t>
              <w:br/>
              <w:t xml:space="preserve">(Mạnh)</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0964200073</w:t>
              <w:br/>
              <w:t xml:space="preserve">(Năm Phú)</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Đã giao dịch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08/2026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08/2026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08/2026 </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w:t>
            </w:r>
            <w:r/>
          </w:p>
        </w:tc>
      </w:tr>
      <w:tr>
        <w:trPr>
          <w:trHeight w:val="15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 (99m²)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 (80m²), Đất trồng cây lâu năm (147,2m², QH: 56,2m²)</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 (217,6m²)</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nông thôn (192,8m², QH: 61,8m²)</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Lâu dài</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Lâu dài, CLN: Có thời hạn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Lâu dài</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ONT: Lâu dài</w:t>
            </w:r>
            <w:r/>
          </w:p>
        </w:tc>
      </w:tr>
      <w:tr>
        <w:trPr>
          <w:trHeight w:val="3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Đường Trảng Bom - An Viễn (VT2), xã An Viễn, huyện Trảng Bom, Đồng Nai (Nay là xã An Viễn, TP Đồng Nai); Cách đường Trảng Bom - An Viễn khoảng 450m.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Đường Trảng Bom - An Viễn, Xã An Viễn, Huyện Trảng Bom, Tỉnh Đồng Nai (Nay là xã An Viễn, TP Đồng Nai)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Đường Trảng Bom - An Viễn (VT2), xã An Viễn, huyện Trảng Bom, Đồng Nai (Nay là xã An Viễn, TP Đồng Nai); Cách đường Trảng Bom - An Viễn khoảng 400m.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tại: Đường Trảng Bom - An Viễn, Xã An Viễn, Huyện Trảng Bom, Tỉnh Đồng Nai (Nay là xã An Viễn, TP Đồng Nai) </w:t>
            </w:r>
            <w:r/>
          </w:p>
        </w:tc>
      </w:tr>
      <w:tr>
        <w:trPr>
          <w:trHeight w:val="106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có vỉa hè</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c>
          <w:tcPr>
            <w:shd w:val="clear" w:color="ffffff" w:fill="ffffff"/>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c>
          <w:tcPr>
            <w:shd w:val="clear" w:color="ffffff" w:fill="ffffff"/>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Đường nhựa không có vỉa hè</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đường trước tài sản (m)</w:t>
            </w:r>
            <w:r/>
          </w:p>
        </w:tc>
        <w:tc>
          <w:tcPr>
            <w:shd w:val="clear" w:color="ffffff" w:fill="ffffff"/>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99</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227,2 (QH: 56.2)</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217,6</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192,8 (QH: 61,8)</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4,50</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10,40</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01 mặt tiền</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01 mặt tiền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01 mặt tiền</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Tiếp giáp 01 mặt tiền + 01 mặt ngõ</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Hình chữ nhật</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Hình chữ nhật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Hình chữ nhật </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tầng</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sử dụng (m²)</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4.908.974.000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4.000.000.000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3.500.000.000</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3.681.730.500</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3.600.000.000</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3.150.000.000</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Chi tiết tính toán</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đất (đồng)</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3.681.730.500</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3.600.000.000</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3.150.000.000</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QSDĐ (đồng/m²)</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16.204.800</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16.338.174</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hạn sử dụng đất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Giao thông</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r>
      <w:tr>
        <w:trPr>
          <w:trHeight w:val="38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tiền (m)</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Chiều sâu (m)</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Số lượng mặt tiếp giáp</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Hình dáng thửa đất</w:t>
            </w:r>
            <w:r/>
          </w:p>
        </w:tc>
        <w:tc>
          <w:tcPr>
            <w:tcBorders>
              <w:bottom w:val="single" w:color="000000" w:sz="6" w:space="0"/>
              <w:right w:val="single" w:color="000000" w:sz="6"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6" w:space="0"/>
              <w:right w:val="single" w:color="000000" w:sz="6" w:space="0"/>
            </w:tcBorders>
            <w:tcMar>
              <w:left w:w="0" w:type="dxa"/>
              <w:top w:w="0" w:type="dxa"/>
              <w:right w:w="0" w:type="dxa"/>
              <w:bottom w:w="0" w:type="dxa"/>
            </w:tcMar>
            <w:tcW w:w="152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6" w:space="0"/>
              <w:right w:val="single" w:color="000000" w:sz="6" w:space="0"/>
            </w:tcBorders>
            <w:tcMar>
              <w:left w:w="0" w:type="dxa"/>
              <w:top w:w="0" w:type="dxa"/>
              <w:right w:w="0" w:type="dxa"/>
              <w:bottom w:w="0" w:type="dxa"/>
            </w:tcMar>
            <w:tcW w:w="17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bCs/>
          <w:lang w:val="de-DE"/>
        </w:rPr>
      </w:pPr>
      <w:r>
        <w:rPr>
          <w:highlight w:val="none"/>
          <w:lang w:val="it-IT"/>
        </w:rPr>
      </w:r>
      <w:r>
        <w:rPr>
          <w:b/>
          <w:bCs/>
          <w:lang w:val="de-DE"/>
        </w:rPr>
      </w:r>
      <w:r>
        <w:rPr>
          <w:b/>
          <w:bCs/>
          <w:lang w:val="de-DE"/>
        </w:rPr>
      </w:r>
    </w:p>
    <w:p>
      <w:pPr>
        <w:pBdr/>
        <w:tabs>
          <w:tab w:val="left" w:leader="none" w:pos="90"/>
          <w:tab w:val="left" w:leader="none" w:pos="180"/>
        </w:tabs>
        <w:spacing w:after="120" w:before="120" w:line="264" w:lineRule="auto"/>
        <w:ind/>
        <w:jc w:val="both"/>
        <w:rPr>
          <w:highlight w:val="none"/>
          <w:lang w:val="it-IT"/>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highlight w:val="none"/>
          <w:lang w:val="it-IT"/>
        </w:rPr>
      </w:r>
      <w:r>
        <w:rPr>
          <w:highlight w:val="none"/>
          <w:lang w:val="it-IT"/>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2"/>
        <w:gridCol w:w="1775"/>
        <w:gridCol w:w="937"/>
        <w:gridCol w:w="1794"/>
        <w:gridCol w:w="1709"/>
        <w:gridCol w:w="1807"/>
        <w:gridCol w:w="1885"/>
      </w:tblGrid>
      <w:tr>
        <w:trPr>
          <w:trHeight w:val="63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12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3.681.730.500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3.600.000.000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3.150.000.000</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16.204.800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16.544.118</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16.338.174</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4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Giấy chứng nhận Quyền sử dụng đất</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16.204.800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16.338.174 </w:t>
            </w:r>
            <w:r/>
          </w:p>
        </w:tc>
      </w:tr>
      <w:tr>
        <w:trPr>
          <w:trHeight w:val="204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nông thôn (99m²)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nông thôn (80m²), Đất trồng cây lâu năm (147,2m², QH: 56,2m²)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nông thôn (217,6m²)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nông thôn (192,8m², QH: 61,8m²)</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810.240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17.015.040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16.338.174 </w:t>
            </w:r>
            <w:r/>
          </w:p>
        </w:tc>
      </w:tr>
      <w:tr>
        <w:trPr>
          <w:trHeight w:val="156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Lâu dài</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Lâu dài, CLN: Có thời hạn</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Lâu dài</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ONT: Lâu dài</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17.015.040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16.338.174 </w:t>
            </w:r>
            <w:r/>
          </w:p>
        </w:tc>
      </w:tr>
      <w:tr>
        <w:trPr>
          <w:trHeight w:val="396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Đường Trảng Bom - An Viễn (VT2), xã An Viễn, huyện Trảng Bom, Đồng Nai (Nay là xã An Viễn, TP Đồng Nai); Cách đường Trảng Bom - An Viễn khoảng 450m.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Đường Trảng Bom - An Viễn, Xã An Viễn, Huyện Trảng Bom, Tỉnh Đồng Nai (Nay là xã An Viễn, TP Đồng Nai)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Đường Trảng Bom - An Viễn (VT2), xã An Viễn, huyện Trảng Bom, Đồng Nai (Nay là xã An Viễn, TP Đồng Nai); Cách đường Trảng Bom - An Viễn khoảng 400m.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tại: Đường Trảng Bom - An Viễn, Xã An Viễn, Huyện Trảng Bom, Tỉnh Đồng Nai (Nay là xã An Viễn, TP Đồng Nai)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-1.620.480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15.394.560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14.704.357 </w:t>
            </w:r>
            <w:r/>
          </w:p>
        </w:tc>
      </w:tr>
      <w:tr>
        <w:trPr>
          <w:trHeight w:val="10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có vỉa hè</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không có vỉa hè</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không có vỉa hè</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không có vỉa hè</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36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486.144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496.324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490.145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15.880.704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17.040.441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15.194.502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11</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12</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486.144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486.144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16.366.848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17.040.441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15.680.646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99</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227,2 (QH: 56.2)</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217,6</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192,8 (QH: 61,8)</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810.240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827.206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490.145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16.690.944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17.867.647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15.684.647 </w:t>
            </w:r>
            <w:r/>
          </w:p>
        </w:tc>
      </w:tr>
      <w:tr>
        <w:trPr>
          <w:trHeight w:val="2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4,5</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10,4</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-810.240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-816.909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15.880.704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17.867.647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14.867.739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01 mặt tiền</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01 mặt tiền</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01 mặt tiền</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01 mặt tiền + 01 mặt ngõ</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-1.633.817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15.880.704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17.867.647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13.233.921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 </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-8,00%</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-1.323.529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600"/>
        </w:trPr>
        <w:tc>
          <w:tcPr>
            <w:tcBorders>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15.880.704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13.233.921 </w:t>
            </w:r>
            <w:r/>
          </w:p>
        </w:tc>
      </w:tr>
      <w:tr>
        <w:trPr>
          <w:trHeight w:val="28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16.366.848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16.544.118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13.720.065 </w:t>
            </w:r>
            <w:r/>
          </w:p>
        </w:tc>
      </w:tr>
      <w:tr>
        <w:trPr>
          <w:trHeight w:val="3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540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15.543.677 </w:t>
            </w:r>
            <w:r/>
          </w:p>
        </w:tc>
      </w:tr>
      <w:tr>
        <w:trPr>
          <w:trHeight w:val="7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5,30%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6,44%</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-11,73%</w:t>
            </w:r>
            <w:r/>
          </w:p>
        </w:tc>
      </w:tr>
      <w:tr>
        <w:trPr>
          <w:trHeight w:val="9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4.537.344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2.647.059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5.064.834 </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- 10%</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- 8%</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- 10%</w:t>
            </w:r>
            <w:r/>
          </w:p>
        </w:tc>
      </w:tr>
      <w:tr>
        <w:trPr>
          <w:trHeight w:val="6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7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4" w:space="0"/>
              <w:right w:val="single" w:color="000000" w:sz="4" w:space="0"/>
            </w:tcBorders>
            <w:tcMar>
              <w:left w:w="0" w:type="dxa"/>
              <w:top w:w="0" w:type="dxa"/>
              <w:right w:w="0" w:type="dxa"/>
              <w:bottom w:w="0" w:type="dxa"/>
            </w:tcMar>
            <w:tcW w:w="17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4" w:space="0"/>
              <w:right w:val="single" w:color="000000" w:sz="4"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4" w:space="0"/>
              <w:right w:val="single" w:color="000000" w:sz="4" w:space="0"/>
            </w:tcBorders>
            <w:tcMar>
              <w:left w:w="0" w:type="dxa"/>
              <w:top w:w="0" w:type="dxa"/>
              <w:right w:w="0" w:type="dxa"/>
              <w:bottom w:w="0" w:type="dxa"/>
            </w:tcMar>
            <w:tcW w:w="179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4" w:space="0"/>
              <w:right w:val="single" w:color="000000" w:sz="4" w:space="0"/>
            </w:tcBorders>
            <w:tcMar>
              <w:left w:w="0" w:type="dxa"/>
              <w:top w:w="0" w:type="dxa"/>
              <w:right w:w="0" w:type="dxa"/>
              <w:bottom w:w="0" w:type="dxa"/>
            </w:tcMar>
            <w:tcW w:w="170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324.096 </w:t>
            </w:r>
            <w:r/>
          </w:p>
        </w:tc>
        <w:tc>
          <w:tcPr>
            <w:shd w:val="clear" w:color="ffffff" w:fill="ffffff"/>
            <w:tcBorders>
              <w:bottom w:val="single" w:color="000000" w:sz="4" w:space="0"/>
              <w:right w:val="single" w:color="000000" w:sz="4" w:space="0"/>
            </w:tcBorders>
            <w:tcMar>
              <w:left w:w="0" w:type="dxa"/>
              <w:top w:w="0" w:type="dxa"/>
              <w:right w:w="0" w:type="dxa"/>
              <w:bottom w:w="0" w:type="dxa"/>
            </w:tcMar>
            <w:tcW w:w="18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4" w:space="0"/>
              <w:right w:val="single" w:color="000000" w:sz="4" w:space="0"/>
            </w:tcBorders>
            <w:tcMar>
              <w:left w:w="0" w:type="dxa"/>
              <w:top w:w="0" w:type="dxa"/>
              <w:right w:w="0" w:type="dxa"/>
              <w:bottom w:w="0" w:type="dxa"/>
            </w:tcMar>
            <w:tcW w:w="188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3.104.253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-11,73</w:t>
      </w:r>
      <w:r>
        <w:t xml:space="preserve">% đến</w:t>
      </w:r>
      <w:r>
        <w:t xml:space="preserve"> </w:t>
      </w:r>
      <w:r>
        <w:t xml:space="preserve"> </w:t>
      </w:r>
      <w:r>
        <w:t xml:space="preserve">6,44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932"/>
        <w:gridCol w:w="2781"/>
        <w:gridCol w:w="1559"/>
        <w:gridCol w:w="1559"/>
        <w:gridCol w:w="2693"/>
      </w:tblGrid>
      <w:tr>
        <w:trPr>
          <w:trHeight w:val="154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78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shd w:val="clear" w:color="ffffff" w:fill="ffffff"/>
            <w:tcBorders>
              <w:top w:val="single" w:color="000000" w:sz="4" w:space="0"/>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4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4" w:space="0"/>
              <w:right w:val="single" w:color="000000" w:sz="4" w:space="0"/>
            </w:tcBorders>
            <w:tcMar>
              <w:left w:w="0" w:type="dxa"/>
              <w:top w:w="0" w:type="dxa"/>
              <w:right w:w="0" w:type="dxa"/>
              <w:bottom w:w="0" w:type="dxa"/>
            </w:tcMar>
            <w:tcW w:w="27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16.366.848</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33,34%</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5.455.616</w:t>
            </w:r>
            <w:r/>
          </w:p>
        </w:tc>
      </w:tr>
      <w:tr>
        <w:trPr>
          <w:trHeight w:val="4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4" w:space="0"/>
              <w:right w:val="single" w:color="000000" w:sz="4" w:space="0"/>
            </w:tcBorders>
            <w:tcMar>
              <w:left w:w="0" w:type="dxa"/>
              <w:top w:w="0" w:type="dxa"/>
              <w:right w:w="0" w:type="dxa"/>
              <w:bottom w:w="0" w:type="dxa"/>
            </w:tcMar>
            <w:tcW w:w="27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16.544.118</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5.514.706</w:t>
            </w:r>
            <w:r/>
          </w:p>
        </w:tc>
      </w:tr>
      <w:tr>
        <w:trPr>
          <w:trHeight w:val="400"/>
        </w:trPr>
        <w:tc>
          <w:tcPr>
            <w:shd w:val="clear" w:color="ffffff" w:fill="ffffff"/>
            <w:tcBorders>
              <w:left w:val="single" w:color="000000" w:sz="4" w:space="0"/>
              <w:bottom w:val="single" w:color="000000" w:sz="4" w:space="0"/>
              <w:right w:val="single" w:color="000000" w:sz="4"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shd w:val="clear" w:color="ffffff" w:fill="ffffff"/>
            <w:tcBorders>
              <w:bottom w:val="single" w:color="000000" w:sz="4" w:space="0"/>
              <w:right w:val="single" w:color="000000" w:sz="4" w:space="0"/>
            </w:tcBorders>
            <w:tcMar>
              <w:left w:w="0" w:type="dxa"/>
              <w:top w:w="0" w:type="dxa"/>
              <w:right w:w="0" w:type="dxa"/>
              <w:bottom w:w="0" w:type="dxa"/>
            </w:tcMar>
            <w:tcW w:w="27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13.720.065</w:t>
            </w:r>
            <w:r/>
          </w:p>
        </w:tc>
        <w:tc>
          <w:tcPr>
            <w:shd w:val="clear" w:color="ffffff" w:fill="ffffff"/>
            <w:tcBorders>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4.573.355</w:t>
            </w:r>
            <w:r/>
          </w:p>
        </w:tc>
      </w:tr>
      <w:tr>
        <w:trPr>
          <w:trHeight w:val="320"/>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15.543.677</w:t>
            </w:r>
            <w:r/>
          </w:p>
        </w:tc>
      </w:tr>
      <w:tr>
        <w:trPr>
          <w:trHeight w:val="320"/>
        </w:trPr>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8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shd w:val="clear" w:color="ffffff" w:fill="ffffff"/>
            <w:tcBorders>
              <w:bottom w:val="single" w:color="000000" w:sz="4" w:space="0"/>
              <w:right w:val="single" w:color="000000" w:sz="4"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15.500.000</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15.500.000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8149, tờ bản đồ 5, có địa chỉ: tại x</w:t>
            </w:r>
            <w:r>
              <w:rPr>
                <w:b/>
                <w:bCs/>
                <w:color w:val="000000"/>
              </w:rPr>
              <w:t xml:space="preserve">ã An Viễn, thành phố Đồng Nai theo Giấy chứng nhận quyền sử dụng đất, quyền sở hữu tài sản gắn liền với đất số AA 08655860, số vào sổ cấp GCN: CN18375 do Văn phòng đăng ký đất đai chi nhánh Trảng Bom cấp ngày 19/06/2026; chủ sử dụng đất là Ông Lê Đình Năm.</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99</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15.500.000</w:t>
            </w:r>
            <w:r/>
          </w:p>
        </w:tc>
        <w:tc>
          <w:tcPr>
            <w:shd w:val="clear" w:color="000000" w:fill="ffffff"/>
            <w:tcBorders/>
            <w:tcW w:w="1170"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1.534.500.000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1.534.500.000</w:t>
            </w: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w:t>
            </w:r>
            <w:r>
              <w:rPr>
                <w:b/>
                <w:bCs/>
                <w:i/>
                <w:iCs/>
                <w:color w:val="000000"/>
              </w:rPr>
              <w:t xml:space="preserve">tỷ </w:t>
            </w:r>
            <w:r>
              <w:rPr>
                <w:b/>
                <w:bCs/>
                <w:i/>
                <w:iCs/>
                <w:color w:val="000000"/>
              </w:rPr>
              <w:t xml:space="preserve">năm </w:t>
            </w:r>
            <w:r>
              <w:rPr>
                <w:b/>
                <w:bCs/>
                <w:i/>
                <w:iCs/>
                <w:color w:val="000000"/>
              </w:rPr>
              <w:t xml:space="preserve">trăm </w:t>
            </w:r>
            <w:r>
              <w:rPr>
                <w:b/>
                <w:bCs/>
                <w:i/>
                <w:iCs/>
                <w:color w:val="000000"/>
              </w:rPr>
              <w:t xml:space="preserve">ba </w:t>
            </w:r>
            <w:r>
              <w:rPr>
                <w:b/>
                <w:bCs/>
                <w:i/>
                <w:iCs/>
                <w:color w:val="000000"/>
              </w:rPr>
              <w:t xml:space="preserve">mươi </w:t>
            </w:r>
            <w:r>
              <w:rPr>
                <w:b/>
                <w:bCs/>
                <w:i/>
                <w:iCs/>
                <w:color w:val="000000"/>
              </w:rPr>
              <w:t xml:space="preserve">bốn </w:t>
            </w:r>
            <w:r>
              <w:rPr>
                <w:b/>
                <w:bCs/>
                <w:i/>
                <w:iCs/>
                <w:color w:val="000000"/>
              </w:rPr>
              <w:t xml:space="preserve">tri</w:t>
            </w:r>
            <w:r>
              <w:rPr>
                <w:b/>
                <w:bCs/>
                <w:i/>
                <w:iCs/>
                <w:color w:val="000000"/>
              </w:rPr>
              <w:t xml:space="preserve">ệu </w:t>
            </w:r>
            <w:r>
              <w:rPr>
                <w:b/>
                <w:bCs/>
                <w:i/>
                <w:iCs/>
                <w:color w:val="000000"/>
              </w:rPr>
              <w:t xml:space="preserve">nă</w:t>
            </w:r>
            <w:r>
              <w:rPr>
                <w:b/>
                <w:bCs/>
                <w:i/>
                <w:iCs/>
                <w:color w:val="000000"/>
              </w:rPr>
              <w:t xml:space="preserve">m </w:t>
            </w:r>
            <w:r>
              <w:rPr>
                <w:b/>
                <w:bCs/>
                <w:i/>
                <w:iCs/>
                <w:color w:val="000000"/>
              </w:rPr>
              <w:t xml:space="preserve">tră</w:t>
            </w:r>
            <w:r>
              <w:rPr>
                <w:b/>
                <w:bCs/>
                <w:i/>
                <w:iCs/>
                <w:color w:val="000000"/>
              </w:rPr>
              <w:t xml:space="preserve">m </w:t>
            </w:r>
            <w:r>
              <w:rPr>
                <w:b/>
                <w:bCs/>
                <w:i/>
                <w:iCs/>
                <w:color w:val="000000"/>
              </w:rPr>
              <w:t xml:space="preserve">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275/2026/1179/VFI-CT.69.A</w:t>
      </w:r>
      <w:r>
        <w:rPr>
          <w:color w:val="ff0000"/>
          <w:lang w:val="vi-VN"/>
        </w:rPr>
        <w:t xml:space="preserve"> </w:t>
      </w:r>
      <w:r>
        <w:rPr>
          <w:color w:val="000000" w:themeColor="text1"/>
        </w:rPr>
        <w:t xml:space="preserve">ngày 3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275/2026/1179/VFI-BC.69.A</w:t>
      </w:r>
      <w:r>
        <w:rPr>
          <w:i/>
          <w:lang w:val="pt-BR"/>
        </w:rPr>
        <w:t xml:space="preserve"> </w:t>
      </w:r>
      <w:r>
        <w:rPr>
          <w:i/>
          <w:lang w:val="pt-BR"/>
        </w:rPr>
        <w:t xml:space="preserve">ngày </w:t>
      </w:r>
      <w:r>
        <w:rPr>
          <w:i/>
          <w:lang w:val="pt-BR"/>
        </w:rPr>
        <w:t xml:space="preserve">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89092" cy="254030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2406" name=""/>
                              <pic:cNvPicPr>
                                <a:picLocks noChangeAspect="1"/>
                              </pic:cNvPicPr>
                              <pic:nvPr/>
                            </pic:nvPicPr>
                            <pic:blipFill rotWithShape="1">
                              <a:blip r:embed="rId19"/>
                              <a:stretch/>
                            </pic:blipFill>
                            <pic:spPr bwMode="auto">
                              <a:xfrm flipH="0" flipV="0">
                                <a:off x="0" y="0"/>
                                <a:ext cx="1589091" cy="25403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5.13pt;height:200.02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70166" cy="215262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44222" name=""/>
                              <pic:cNvPicPr>
                                <a:picLocks noChangeAspect="1"/>
                              </pic:cNvPicPr>
                              <pic:nvPr/>
                            </pic:nvPicPr>
                            <pic:blipFill rotWithShape="1">
                              <a:blip r:embed="rId20"/>
                              <a:stretch/>
                            </pic:blipFill>
                            <pic:spPr bwMode="auto">
                              <a:xfrm flipH="0" flipV="0">
                                <a:off x="0" y="0"/>
                                <a:ext cx="2870165" cy="2152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00pt;height:169.5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1699" cy="212377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09585" name=""/>
                              <pic:cNvPicPr>
                                <a:picLocks noChangeAspect="1"/>
                              </pic:cNvPicPr>
                              <pic:nvPr/>
                            </pic:nvPicPr>
                            <pic:blipFill rotWithShape="1">
                              <a:blip r:embed="rId21"/>
                              <a:stretch/>
                            </pic:blipFill>
                            <pic:spPr bwMode="auto">
                              <a:xfrm flipH="0" flipV="0">
                                <a:off x="0" y="0"/>
                                <a:ext cx="2831698" cy="21237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2.97pt;height:167.23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8978" cy="212923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16912" name=""/>
                              <pic:cNvPicPr>
                                <a:picLocks noChangeAspect="1"/>
                              </pic:cNvPicPr>
                              <pic:nvPr/>
                            </pic:nvPicPr>
                            <pic:blipFill rotWithShape="1">
                              <a:blip r:embed="rId22"/>
                              <a:stretch/>
                            </pic:blipFill>
                            <pic:spPr bwMode="auto">
                              <a:xfrm flipH="0" flipV="0">
                                <a:off x="0" y="0"/>
                                <a:ext cx="2838978" cy="21292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54pt;height:167.66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7595" cy="220319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601277" name=""/>
                              <pic:cNvPicPr>
                                <a:picLocks noChangeAspect="1"/>
                              </pic:cNvPicPr>
                              <pic:nvPr/>
                            </pic:nvPicPr>
                            <pic:blipFill rotWithShape="1">
                              <a:blip r:embed="rId23"/>
                              <a:stretch/>
                            </pic:blipFill>
                            <pic:spPr bwMode="auto">
                              <a:xfrm flipH="0" flipV="0">
                                <a:off x="0" y="0"/>
                                <a:ext cx="2937594" cy="22031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1.31pt;height:173.48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26676" cy="219500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433063" name=""/>
                              <pic:cNvPicPr>
                                <a:picLocks noChangeAspect="1"/>
                              </pic:cNvPicPr>
                              <pic:nvPr/>
                            </pic:nvPicPr>
                            <pic:blipFill rotWithShape="1">
                              <a:blip r:embed="rId24"/>
                              <a:stretch/>
                            </pic:blipFill>
                            <pic:spPr bwMode="auto">
                              <a:xfrm flipH="0" flipV="0">
                                <a:off x="0" y="0"/>
                                <a:ext cx="2926675" cy="21950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0.45pt;height:172.8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275/2026/1179/VFI-BC.69.A</w:t>
      </w:r>
      <w:r>
        <w:rPr>
          <w:i/>
          <w:lang w:val="pt-BR"/>
        </w:rPr>
        <w:t xml:space="preserve"> </w:t>
      </w:r>
      <w:r>
        <w:rPr>
          <w:i/>
          <w:lang w:val="pt-BR"/>
        </w:rPr>
        <w:t xml:space="preserve">3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https://www.facebook.com/groups/482345335620583/posts/2412166965971734/</w:t>
            </w:r>
            <w:r>
              <w:rPr>
                <w:color w:val="000000" w:themeColor="text1"/>
                <w:sz w:val="22"/>
                <w:szCs w:val="22"/>
              </w:rPr>
              <w:br/>
              <w:t xml:space="preserve">0949617434</w:t>
            </w:r>
            <w:r>
              <w:rPr>
                <w:sz w:val="22"/>
                <w:szCs w:val="22"/>
              </w:rPr>
              <w:t xml:space="preserve"> </w:t>
            </w:r>
            <w:r>
              <w:rPr>
                <w:sz w:val="22"/>
                <w:szCs w:val="22"/>
              </w:rPr>
              <w:t xml:space="preserve">(Toán</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4.908.974.000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3.681.730.500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05/2026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(80m²), Đất trồng cây lâu năm (147,2m², QH: 56,2m²)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nông thôn – Lâu dài</w:t>
            </w:r>
            <w:r>
              <w:rPr>
                <w:color w:val="000000" w:themeColor="text1"/>
                <w:sz w:val="22"/>
                <w:szCs w:val="22"/>
              </w:rPr>
            </w:r>
            <w:r>
              <w:rPr>
                <w:color w:val="000000" w:themeColor="text1"/>
                <w:sz w:val="22"/>
                <w:szCs w:val="22"/>
              </w:rPr>
            </w:r>
          </w:p>
          <w:p>
            <w:pPr>
              <w:pBdr/>
              <w:spacing/>
              <w:ind/>
              <w:jc w:val="center"/>
              <w:rPr>
                <w:sz w:val="22"/>
                <w:szCs w:val="22"/>
              </w:rPr>
            </w:pPr>
            <w:r>
              <w:rPr>
                <w:color w:val="000000" w:themeColor="text1"/>
                <w:sz w:val="22"/>
                <w:szCs w:val="22"/>
              </w:rPr>
              <w:t xml:space="preserve">Đất trồng cây lâu năm – Có thời hạn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Trảng Bom - An Viễn (</w:t>
            </w:r>
            <w:r>
              <w:rPr>
                <w:color w:val="000000" w:themeColor="text1"/>
                <w:sz w:val="22"/>
                <w:szCs w:val="22"/>
              </w:rPr>
              <w:t xml:space="preserve">VT2)</w:t>
            </w:r>
            <w:r>
              <w:rPr>
                <w:color w:val="000000" w:themeColor="text1"/>
                <w:sz w:val="22"/>
                <w:szCs w:val="22"/>
              </w:rPr>
              <w:t xml:space="preserve">, Xã An Viễn, Huyện Trảng Bom, Tỉnh Đồng Nai </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227,2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252582" cy="1977523"/>
                      <wp:effectExtent l="0" t="0" r="0" b="0"/>
                      <wp:docPr id="13" name=""/>
                      <wp:cNvGraphicFramePr/>
                      <a:graphic xmlns:a="http://schemas.openxmlformats.org/drawingml/2006/main">
                        <a:graphicData uri="http://schemas.openxmlformats.org/drawingml/2006/picture">
                          <pic:pic xmlns:pic="http://schemas.openxmlformats.org/drawingml/2006/picture">
                            <pic:nvPicPr>
                              <pic:cNvPr id="856133932" name="" descr=""/>
                              <pic:cNvPicPr/>
                              <pic:nvPr/>
                            </pic:nvPicPr>
                            <pic:blipFill rotWithShape="1">
                              <a:blip r:embed="rId25"/>
                              <a:stretch/>
                            </pic:blipFill>
                            <pic:spPr bwMode="auto">
                              <a:xfrm flipH="0" flipV="0">
                                <a:off x="0" y="0"/>
                                <a:ext cx="2252580" cy="19775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7.37pt;height:155.71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9998" cy="2001273"/>
                      <wp:effectExtent l="0" t="0" r="0" b="0"/>
                      <wp:docPr id="14" name=""/>
                      <wp:cNvGraphicFramePr/>
                      <a:graphic xmlns:a="http://schemas.openxmlformats.org/drawingml/2006/main">
                        <a:graphicData uri="http://schemas.openxmlformats.org/drawingml/2006/picture">
                          <pic:pic xmlns:pic="http://schemas.openxmlformats.org/drawingml/2006/picture">
                            <pic:nvPicPr>
                              <pic:cNvPr id="7122457" name="" descr=""/>
                              <pic:cNvPicPr/>
                              <pic:nvPr/>
                            </pic:nvPicPr>
                            <pic:blipFill rotWithShape="1">
                              <a:blip r:embed="rId26"/>
                              <a:stretch/>
                            </pic:blipFill>
                            <pic:spPr bwMode="auto">
                              <a:xfrm rot="0" flipH="0" flipV="0">
                                <a:off x="0" y="0"/>
                                <a:ext cx="2749997" cy="20012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6.54pt;height:157.58pt;mso-wrap-distance-left:0.00pt;mso-wrap-distance-top:0.00pt;mso-wrap-distance-right:0.00pt;mso-wrap-distance-bottom:0.00pt;rotation:0;z-index:1;" stroked="false">
                      <v:imagedata r:id="rId26"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248338" cy="62416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03405" name=""/>
                              <pic:cNvPicPr>
                                <a:picLocks noChangeAspect="1"/>
                              </pic:cNvPicPr>
                              <pic:nvPr/>
                            </pic:nvPicPr>
                            <pic:blipFill rotWithShape="1">
                              <a:blip r:embed="rId27"/>
                              <a:stretch/>
                            </pic:blipFill>
                            <pic:spPr bwMode="auto">
                              <a:xfrm rot="0" flipH="0" flipV="0">
                                <a:off x="0" y="0"/>
                                <a:ext cx="1248336" cy="6241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98.29pt;height:49.15pt;mso-wrap-distance-left:0.00pt;mso-wrap-distance-top:0.00pt;mso-wrap-distance-right:0.00pt;mso-wrap-distance-bottom:0.00pt;rotation:0;z-index:1;" stroked="false">
                      <v:imagedata r:id="rId27" o:title=""/>
                      <o:lock v:ext="edit" rotation="t"/>
                    </v:shape>
                  </w:pict>
                </mc:Fallback>
              </mc:AlternateContent>
            </w:r>
            <w:r>
              <w:rPr>
                <w:b/>
                <w:bCs/>
              </w:rPr>
            </w:r>
            <w:r>
              <w:rPr>
                <w:b/>
                <w:bCs/>
              </w:rPr>
            </w:r>
          </w:p>
          <w:p>
            <w:pPr>
              <w:pBdr/>
              <w:spacing/>
              <w:ind/>
              <w:jc w:val="center"/>
              <w:rPr>
                <w:b/>
                <w:bCs/>
              </w:rPr>
            </w:pPr>
            <w:r>
              <w:rPr>
                <w:b/>
                <w:bCs/>
              </w:rPr>
            </w:r>
            <w:r>
              <w:rPr>
                <w:b/>
                <w:bCs/>
              </w:rPr>
            </w:r>
            <w:r>
              <w:rPr>
                <w:b/>
                <w:bCs/>
              </w:rPr>
            </w:r>
          </w:p>
        </w:tc>
      </w:tr>
      <w:tr>
        <w:trPr>
          <w:trHeight w:val="272"/>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b/>
          <w:bCs/>
          <w:iCs/>
          <w:lang w:val="pt-BR"/>
        </w:rPr>
      </w:pPr>
      <w:r>
        <w:rPr>
          <w:b/>
          <w:bCs/>
          <w:iCs/>
          <w:lang w:val="pt-BR"/>
        </w:rPr>
      </w:r>
      <w:r>
        <w:rPr>
          <w:b/>
          <w:bCs/>
          <w:iCs/>
          <w:lang w:val="pt-BR"/>
        </w:rPr>
      </w:r>
      <w:r>
        <w:rPr>
          <w:b/>
          <w:bCs/>
          <w:iCs/>
          <w:lang w:val="pt-BR"/>
        </w:rPr>
      </w:r>
    </w:p>
    <w:p>
      <w:pPr>
        <w:pBdr/>
        <w:spacing w:after="200" w:line="276" w:lineRule="auto"/>
        <w:ind/>
        <w:jc w:val="center"/>
        <w:rPr>
          <w:lang w:val="pt-BR"/>
        </w:rPr>
      </w:pPr>
      <w:r>
        <w:rPr>
          <w:b/>
          <w:bCs/>
          <w:iCs/>
          <w:highlight w:val="none"/>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TSSS2</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0768819819</w:t>
            </w:r>
            <w:r>
              <w:rPr>
                <w:sz w:val="22"/>
                <w:szCs w:val="22"/>
              </w:rPr>
              <w:t xml:space="preserve"> (Mạnh</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4.000.000.000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(217.6m²)</w:t>
            </w:r>
            <w:r>
              <w:rPr>
                <w:sz w:val="22"/>
                <w:szCs w:val="22"/>
              </w:rPr>
            </w:r>
            <w:r>
              <w:rPr>
                <w:sz w:val="22"/>
                <w:szCs w:val="22"/>
              </w:rPr>
            </w:r>
          </w:p>
        </w:tc>
      </w:tr>
      <w:tr>
        <w:trPr>
          <w:trHeight w:val="295"/>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Trảng Bom, Đồng Nai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217,6</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197"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35590" cy="1654264"/>
                      <wp:effectExtent l="0" t="0" r="0" b="0"/>
                      <wp:docPr id="16" name=""/>
                      <wp:cNvGraphicFramePr/>
                      <a:graphic xmlns:a="http://schemas.openxmlformats.org/drawingml/2006/main">
                        <a:graphicData uri="http://schemas.openxmlformats.org/drawingml/2006/picture">
                          <pic:pic xmlns:pic="http://schemas.openxmlformats.org/drawingml/2006/picture">
                            <pic:nvPicPr>
                              <pic:cNvPr id="1678813340" name="" descr=""/>
                              <pic:cNvPicPr/>
                              <pic:nvPr/>
                            </pic:nvPicPr>
                            <pic:blipFill rotWithShape="1">
                              <a:blip r:embed="rId28"/>
                              <a:stretch/>
                            </pic:blipFill>
                            <pic:spPr bwMode="auto">
                              <a:xfrm flipH="0" flipV="0">
                                <a:off x="0" y="0"/>
                                <a:ext cx="2635588" cy="16542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7.53pt;height:130.2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35590" cy="1654264"/>
                      <wp:effectExtent l="0" t="0" r="0" b="0"/>
                      <wp:docPr id="17" name=""/>
                      <wp:cNvGraphicFramePr/>
                      <a:graphic xmlns:a="http://schemas.openxmlformats.org/drawingml/2006/main">
                        <a:graphicData uri="http://schemas.openxmlformats.org/drawingml/2006/picture">
                          <pic:pic xmlns:pic="http://schemas.openxmlformats.org/drawingml/2006/picture">
                            <pic:nvPicPr>
                              <pic:cNvPr id="1993594760" name="" descr=""/>
                              <pic:cNvPicPr/>
                              <pic:nvPr/>
                            </pic:nvPicPr>
                            <pic:blipFill rotWithShape="1">
                              <a:blip r:embed="rId29"/>
                              <a:stretch/>
                            </pic:blipFill>
                            <pic:spPr bwMode="auto">
                              <a:xfrm rot="0" flipH="0" flipV="0">
                                <a:off x="0" y="0"/>
                                <a:ext cx="2635587" cy="16542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7.53pt;height:130.26pt;mso-wrap-distance-left:0.00pt;mso-wrap-distance-top:0.00pt;mso-wrap-distance-right:0.00pt;mso-wrap-distance-bottom:0.00pt;rotation:0;z-index:1;" stroked="false">
                      <v:imagedata r:id="rId29"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248338" cy="62416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39903" name=""/>
                              <pic:cNvPicPr>
                                <a:picLocks noChangeAspect="1"/>
                              </pic:cNvPicPr>
                              <pic:nvPr/>
                            </pic:nvPicPr>
                            <pic:blipFill rotWithShape="1">
                              <a:blip r:embed="rId30"/>
                              <a:stretch/>
                            </pic:blipFill>
                            <pic:spPr bwMode="auto">
                              <a:xfrm rot="0" flipH="0" flipV="0">
                                <a:off x="0" y="0"/>
                                <a:ext cx="1248336" cy="6241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98.29pt;height:49.15pt;mso-wrap-distance-left:0.00pt;mso-wrap-distance-top:0.00pt;mso-wrap-distance-right:0.00pt;mso-wrap-distance-bottom:0.00pt;rotation:0;z-index:1;" stroked="false">
                      <v:imagedata r:id="rId30"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Thuỳ Nhật Anh</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https://guland.vn/post/dat-nha-an-vien-trang-bom-dong-nai-2267724</w:t>
            </w:r>
            <w:r>
              <w:rPr>
                <w:color w:val="000000" w:themeColor="text1"/>
                <w:sz w:val="22"/>
                <w:szCs w:val="22"/>
              </w:rPr>
              <w:br/>
            </w:r>
            <w:r>
              <w:rPr>
                <w:sz w:val="22"/>
                <w:szCs w:val="22"/>
              </w:rPr>
              <w:t xml:space="preserve">SĐT: </w:t>
            </w:r>
            <w:r>
              <w:rPr>
                <w:color w:val="000000" w:themeColor="text1"/>
                <w:sz w:val="22"/>
                <w:szCs w:val="22"/>
              </w:rPr>
              <w:t xml:space="preserve">0964200073</w:t>
            </w:r>
            <w:r>
              <w:rPr>
                <w:sz w:val="22"/>
                <w:szCs w:val="22"/>
              </w:rPr>
              <w:t xml:space="preserve"> </w:t>
            </w:r>
            <w:r>
              <w:rPr>
                <w:sz w:val="22"/>
                <w:szCs w:val="22"/>
              </w:rPr>
              <w:br/>
              <w:t xml:space="preserve">(Năm Phú</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3.150.000.000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(192,8m², QH: 61,8m²)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An Viễn, Tỉnh Đồng Nai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192,8</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10,4</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54640" cy="1697171"/>
                      <wp:effectExtent l="0" t="0" r="0" b="0"/>
                      <wp:docPr id="19" name=""/>
                      <wp:cNvGraphicFramePr/>
                      <a:graphic xmlns:a="http://schemas.openxmlformats.org/drawingml/2006/main">
                        <a:graphicData uri="http://schemas.openxmlformats.org/drawingml/2006/picture">
                          <pic:pic xmlns:pic="http://schemas.openxmlformats.org/drawingml/2006/picture">
                            <pic:nvPicPr>
                              <pic:cNvPr id="19949570" name="" descr=""/>
                              <pic:cNvPicPr/>
                              <pic:nvPr/>
                            </pic:nvPicPr>
                            <pic:blipFill rotWithShape="1">
                              <a:blip r:embed="rId31"/>
                              <a:stretch/>
                            </pic:blipFill>
                            <pic:spPr bwMode="auto">
                              <a:xfrm flipH="0" flipV="0">
                                <a:off x="0" y="0"/>
                                <a:ext cx="2654638" cy="169717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9.03pt;height:133.64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16565" cy="1870343"/>
                      <wp:effectExtent l="0" t="0" r="0" b="0"/>
                      <wp:docPr id="20" name=""/>
                      <wp:cNvGraphicFramePr/>
                      <a:graphic xmlns:a="http://schemas.openxmlformats.org/drawingml/2006/main">
                        <a:graphicData uri="http://schemas.openxmlformats.org/drawingml/2006/picture">
                          <pic:pic xmlns:pic="http://schemas.openxmlformats.org/drawingml/2006/picture">
                            <pic:nvPicPr>
                              <pic:cNvPr id="1360302181" name="" descr=""/>
                              <pic:cNvPicPr/>
                              <pic:nvPr/>
                            </pic:nvPicPr>
                            <pic:blipFill rotWithShape="1">
                              <a:blip r:embed="rId32"/>
                              <a:stretch/>
                            </pic:blipFill>
                            <pic:spPr bwMode="auto">
                              <a:xfrm flipH="0" flipV="0">
                                <a:off x="0" y="0"/>
                                <a:ext cx="2816563" cy="187034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1.78pt;height:147.27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p>
          <w:p>
            <w:pPr>
              <w:pBdr/>
              <w:spacing/>
              <w:ind/>
              <w:jc w:val="center"/>
              <w:rPr>
                <w:highlight w:val="none"/>
              </w:rPr>
            </w:pPr>
            <w:r>
              <w:rPr>
                <w:highlight w:val="none"/>
              </w:rPr>
            </w:r>
            <w:r>
              <mc:AlternateContent>
                <mc:Choice Requires="wpg">
                  <w:drawing>
                    <wp:inline xmlns:wp="http://schemas.openxmlformats.org/drawingml/2006/wordprocessingDrawing" distT="0" distB="0" distL="0" distR="0">
                      <wp:extent cx="1248337" cy="624169"/>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70823" name=""/>
                              <pic:cNvPicPr>
                                <a:picLocks noChangeAspect="1"/>
                              </pic:cNvPicPr>
                              <pic:nvPr/>
                            </pic:nvPicPr>
                            <pic:blipFill rotWithShape="1">
                              <a:blip r:embed="rId33"/>
                              <a:stretch/>
                            </pic:blipFill>
                            <pic:spPr bwMode="auto">
                              <a:xfrm flipH="0" flipV="0">
                                <a:off x="0" y="0"/>
                                <a:ext cx="1248336" cy="6241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98.29pt;height:49.15pt;mso-wrap-distance-left:0.00pt;mso-wrap-distance-top:0.00pt;mso-wrap-distance-right:0.00pt;mso-wrap-distance-bottom:0.00pt;z-index:1;" stroked="false">
                      <v:imagedata r:id="rId33" o:title=""/>
                      <o:lock v:ext="edit" rotation="t"/>
                    </v:shape>
                  </w:pict>
                </mc:Fallback>
              </mc:AlternateContent>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Thuỳ Nhật Anh</w:t>
            </w:r>
            <w:r>
              <w:rPr>
                <w:highlight w:val="none"/>
              </w:rPr>
            </w:r>
            <w:r>
              <w:rPr>
                <w:highlight w:val="none"/>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281</cp:revision>
  <dcterms:created xsi:type="dcterms:W3CDTF">2025-09-15T09:58:00Z</dcterms:created>
  <dcterms:modified xsi:type="dcterms:W3CDTF">2026-08-06T06:26:42Z</dcterms:modified>
</cp:coreProperties>
</file>