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rPr>
        <w:t xml:space="preserve"> </w: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921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921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275/2026/1074/VFI-CT.65.A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DỊCH VỤ HNK</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w:t>
                            </w:r>
                            <w:r>
                              <w:rPr>
                                <w:b w:val="0"/>
                                <w:bCs w:val="0"/>
                                <w:color w:val="000000" w:themeColor="text1"/>
                                <w:lang w:val="pt-BR"/>
                              </w:rPr>
                              <w:t xml:space="preserve">và tài sản gắn liền với đất</w:t>
                            </w:r>
                            <w:r>
                              <w:rPr>
                                <w:color w:val="000000"/>
                              </w:rPr>
                              <w:t xml:space="preserve"> tại thửa đất số: 93, tờ bản đồ số: 66, có địa chỉ: Lô 20-B1.125, Khu Đô thị sinh thái ven sông Hòa Xuân-giai đoạn 2, phường Hòa </w:t>
                            </w:r>
                            <w:r>
                              <w:rPr>
                                <w:color w:val="000000"/>
                              </w:rPr>
                              <w:t xml:space="preserve">Xuân, thành phố Đà Nẵng, theo Giấy chứng nhận quyền sử dụng đất, quyền sở hữu tài sản gắn liền với đất số: AA 04565232 do Văn phòng đăng ký đất đai thành phố Đà Nẵng cấp ngày 03/10/2025; Chủ sử dụng đất là ông: Nguyễn Thái Nguyện và vợ: bà Lê Thị Minh Châu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275/2026/1074/VFI-CT.65.A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DỊCH VỤ HNK</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w:t>
                      </w:r>
                      <w:r>
                        <w:rPr>
                          <w:b w:val="0"/>
                          <w:bCs w:val="0"/>
                          <w:color w:val="000000" w:themeColor="text1"/>
                          <w:lang w:val="pt-BR"/>
                        </w:rPr>
                        <w:t xml:space="preserve">và tài sản gắn liền với đất</w:t>
                      </w:r>
                      <w:r>
                        <w:rPr>
                          <w:color w:val="000000"/>
                        </w:rPr>
                        <w:t xml:space="preserve"> tại thửa đất số: 93, tờ bản đồ số: 66, có địa chỉ: Lô 20-B1.125, Khu Đô thị sinh thái ven sông Hòa Xuân-giai đoạn 2, phường Hòa </w:t>
                      </w:r>
                      <w:r>
                        <w:rPr>
                          <w:color w:val="000000"/>
                        </w:rPr>
                        <w:t xml:space="preserve">Xuân, thành phố Đà Nẵng, theo Giấy chứng nhận quyền sử dụng đất, quyền sở hữu tài sản gắn liền với đất số: AA 04565232 do Văn phòng đăng ký đất đai thành phố Đà Nẵng cấp ngày 03/10/2025; Chủ sử dụng đất là ông: Nguyễn Thái Nguyện và vợ: bà Lê Thị Minh Châu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right"/>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4-21</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22-25</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26-30</w:t>
            </w:r>
            <w:r>
              <w:rPr>
                <w:b/>
                <w:bCs/>
                <w:color w:val="000000" w:themeColor="text1"/>
              </w:rPr>
            </w:r>
            <w:r>
              <w:rPr>
                <w:b/>
                <w:bCs/>
                <w:color w:val="000000" w:themeColor="text1"/>
              </w:rPr>
            </w:r>
          </w:p>
        </w:tc>
      </w:tr>
    </w:tbl>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715" w:type="dxa"/>
        <w:tblBorders/>
        <w:tblLayout w:type="fixed"/>
        <w:tblLook w:val="04A0" w:firstRow="1" w:lastRow="0" w:firstColumn="1" w:lastColumn="0" w:noHBand="0" w:noVBand="1"/>
      </w:tblPr>
      <w:tblGrid>
        <w:gridCol w:w="29"/>
        <w:gridCol w:w="1701"/>
        <w:gridCol w:w="2409"/>
        <w:gridCol w:w="5576"/>
      </w:tblGrid>
      <w:tr>
        <w:trPr>
          <w:trHeight w:val="1984"/>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7986"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13"/>
        </w:trPr>
        <w:tc>
          <w:tcPr>
            <w:gridSpan w:val="2"/>
            <w:shd w:val="clear" w:color="auto" w:fill="auto"/>
            <w:tcBorders/>
            <w:tcMar>
              <w:left w:w="108" w:type="dxa"/>
              <w:top w:w="0" w:type="dxa"/>
              <w:right w:w="108" w:type="dxa"/>
              <w:bottom w:w="0" w:type="dxa"/>
            </w:tcMar>
            <w:tcW w:w="4110"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275/2026/1074/VFI-CT.65.A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76" w:type="dxa"/>
            <w:textDirection w:val="lrTb"/>
            <w:noWrap w:val="false"/>
          </w:tcPr>
          <w:p>
            <w:pPr>
              <w:pStyle w:val="1026"/>
              <w:pBdr/>
              <w:spacing w:after="60"/>
              <w:ind w:right="-56"/>
              <w:jc w:val="right"/>
              <w:rPr>
                <w:color w:val="000000" w:themeColor="text1"/>
                <w:sz w:val="24"/>
                <w:szCs w:val="24"/>
              </w:rPr>
            </w:pPr>
            <w:r>
              <w:rPr>
                <w:rStyle w:val="1025"/>
                <w:rFonts w:ascii="Times New Roman" w:hAnsi="Times New Roman"/>
                <w:i/>
                <w:color w:val="000000" w:themeColor="text1"/>
              </w:rPr>
              <w:t xml:space="preserve">TP. Hà Nội</w:t>
            </w:r>
            <w:r>
              <w:rPr>
                <w:rStyle w:val="1025"/>
                <w:rFonts w:ascii="Times New Roman" w:hAnsi="Times New Roman"/>
                <w:i/>
                <w:color w:val="000000" w:themeColor="text1"/>
                <w:lang w:val="vi-VN"/>
              </w:rPr>
              <w:t xml:space="preserve">, </w:t>
            </w:r>
            <w:r>
              <w:rPr>
                <w:rStyle w:val="1025"/>
                <w:rFonts w:ascii="Times New Roman" w:hAnsi="Times New Roman"/>
                <w:i/>
                <w:color w:val="000000" w:themeColor="text1"/>
                <w:lang w:val="vi-VN"/>
              </w:rPr>
              <w:t xml:space="preserve">ngày 16 tháng 7 năm 2026</w:t>
            </w:r>
            <w:r>
              <w:rPr>
                <w:color w:val="000000" w:themeColor="text1"/>
                <w:sz w:val="24"/>
                <w:szCs w:val="24"/>
              </w:rPr>
            </w:r>
            <w:r>
              <w:rPr>
                <w:color w:val="000000" w:themeColor="text1"/>
                <w:sz w:val="24"/>
                <w:szCs w:val="24"/>
              </w:rPr>
            </w:r>
          </w:p>
        </w:tc>
      </w:tr>
    </w:tbl>
    <w:p>
      <w:pPr>
        <w:pStyle w:val="1026"/>
        <w:pBdr/>
        <w:spacing w:after="120" w:before="200" w:line="288" w:lineRule="auto"/>
        <w:ind/>
        <w:jc w:val="center"/>
        <w:rPr>
          <w:rStyle w:val="1025"/>
          <w:rFonts w:ascii="Times New Roman" w:hAnsi="Times New Roman"/>
          <w:b/>
          <w:bCs/>
          <w:color w:val="000000" w:themeColor="text1"/>
          <w:sz w:val="30"/>
          <w:szCs w:val="30"/>
        </w:rPr>
      </w:pPr>
      <w:r>
        <w:rPr>
          <w:rStyle w:val="1025"/>
          <w:rFonts w:ascii="Times New Roman" w:hAnsi="Times New Roman"/>
          <w:b/>
          <w:bCs/>
          <w:color w:val="000000" w:themeColor="text1"/>
          <w:sz w:val="30"/>
          <w:szCs w:val="30"/>
          <w:lang w:val="vi-VN"/>
        </w:rPr>
        <w:t xml:space="preserve">CHỨNG THƯ THẨM ĐỊNH GIÁ</w:t>
      </w:r>
      <w:r>
        <w:rPr>
          <w:rStyle w:val="1025"/>
          <w:rFonts w:ascii="Times New Roman" w:hAnsi="Times New Roman"/>
          <w:b/>
          <w:bCs/>
          <w:color w:val="000000" w:themeColor="text1"/>
          <w:sz w:val="30"/>
          <w:szCs w:val="30"/>
        </w:rPr>
      </w:r>
      <w:r>
        <w:rPr>
          <w:rStyle w:val="1025"/>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CÔNG TY CỔ PHẦN DỊCH VỤ HNK</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275/2026/1074/VFI-HĐTĐ.65.A</w:t>
      </w:r>
      <w:r>
        <w:rPr>
          <w:color w:val="000000" w:themeColor="text1"/>
          <w:spacing w:val="-4"/>
          <w:lang w:val="vi-VN"/>
        </w:rPr>
        <w:t xml:space="preserve"> ký ngày </w:t>
      </w:r>
      <w:r>
        <w:rPr>
          <w:color w:val="000000" w:themeColor="text1"/>
          <w:spacing w:val="-4"/>
        </w:rPr>
        <w:t xml:space="preserve">8 tháng 7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CÔNG TY CỔ PHẦN DỊCH VỤ HNK</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275/2026/1074/VFI-BC.65.A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16 tháng 7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72"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textDirection w:val="lrTb"/>
            <w:noWrap w:val="false"/>
          </w:tcPr>
          <w:p>
            <w:pPr>
              <w:pBdr/>
              <w:spacing/>
              <w:ind/>
              <w:rPr>
                <w:rFonts w:ascii="Times New Roman" w:hAnsi="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color w:val="000000" w:themeColor="text1"/>
                <w:sz w:val="24"/>
                <w:szCs w:val="24"/>
                <w:lang w:val="pt-BR"/>
              </w:rPr>
              <w:t xml:space="preserve">CÔNG TY CỔ PHẦN DỊCH VỤ HNK</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MST</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72"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0103327991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72"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TT04-09, KĐT Mon city, đường Hàm Nghi, Phường Từ Liêm, Thành phố Hà Nội,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Đại diện </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ffffff" w:fill="ffffff"/>
            <w:tcBorders/>
            <w:tcW w:w="472" w:type="dxa"/>
            <w:vAlign w:val="center"/>
            <w:vMerge w:val="restart"/>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vMerge w:val="restart"/>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hyperlink r:id="rId16" w:tooltip="tra cứu mã số thuế công ty có giám đốc Nguyễn Thái Nguyện" w:history="1">
              <w:r>
                <w:rPr>
                  <w:rStyle w:val="1017"/>
                  <w:rFonts w:ascii="Times New Roman" w:hAnsi="Times New Roman" w:eastAsia="Times New Roman" w:cs="Times New Roman"/>
                  <w:color w:val="000000" w:themeColor="text1"/>
                  <w:spacing w:val="-2"/>
                  <w:sz w:val="24"/>
                  <w:szCs w:val="24"/>
                  <w:highlight w:val="white"/>
                  <w:u w:val="none"/>
                </w:rPr>
                <w:t xml:space="preserve">Nguyễn Thái Nguyện</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ffffff" w:fill="ffffff"/>
            <w:tcBorders/>
            <w:tcW w:w="472" w:type="dxa"/>
            <w:vAlign w:val="center"/>
            <w:vMerge w:val="restart"/>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vMerge w:val="restart"/>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r>
            <w:r>
              <w:rPr>
                <w:b/>
                <w:bCs/>
                <w:color w:val="000000" w:themeColor="text1"/>
              </w:rPr>
            </w:r>
            <w:r>
              <w:rPr>
                <w:b/>
                <w:bCs/>
                <w:color w:val="000000" w:themeColor="text1"/>
              </w:rPr>
            </w:r>
          </w:p>
          <w:p>
            <w:pPr>
              <w:pBdr/>
              <w:spacing w:after="40" w:before="40" w:line="276" w:lineRule="auto"/>
              <w:ind/>
              <w:rPr>
                <w:b/>
                <w:bCs/>
                <w:color w:val="000000" w:themeColor="text1"/>
              </w:rPr>
            </w:pP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w:t>
      </w:r>
      <w:r>
        <w:rPr>
          <w:b w:val="0"/>
          <w:bCs w:val="0"/>
          <w:color w:val="000000" w:themeColor="text1"/>
          <w:lang w:val="pt-BR"/>
        </w:rPr>
        <w:t xml:space="preserve">và tài sản gắn liền với đất</w:t>
      </w:r>
      <w:r>
        <w:rPr>
          <w:color w:val="000000" w:themeColor="text1"/>
        </w:rPr>
        <w:t xml:space="preserve"> tại thửa đất số: 93, tờ bản đồ số: 66, có địa chỉ: Lô 20-B1.125, Khu Đô thị sinh thái ven sông Hòa Xuân-giai đoạn 2, phường Hòa </w:t>
      </w:r>
      <w:r>
        <w:rPr>
          <w:color w:val="000000" w:themeColor="text1"/>
        </w:rPr>
        <w:t xml:space="preserve">Xuân, thành phố Đà Nẵng, theo Giấy chứng nhận quyền sử dụng đất, quyền sở hữu tài sản gắn liền với đất số: AA 04565232 do Văn phòng đăng ký đất đai thành phố Đà Nẵng cấp ngày 03/10/2025; Chủ sử dụng đất là ông: Nguyễn Thái Nguyện và vợ: bà Lê Thị Minh Châu</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07/2026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50"/>
        <w:gridCol w:w="2112"/>
        <w:gridCol w:w="1701"/>
        <w:gridCol w:w="1559"/>
        <w:gridCol w:w="1417"/>
        <w:gridCol w:w="1985"/>
      </w:tblGrid>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11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70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155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417" w:type="dxa"/>
            <w:vAlign w:val="center"/>
            <w:textDirection w:val="lrTb"/>
            <w:noWrap w:val="false"/>
          </w:tcPr>
          <w:p>
            <w:pPr>
              <w:pBdr/>
              <w:spacing/>
              <w:ind/>
              <w:jc w:val="center"/>
              <w:rPr>
                <w:b/>
                <w:bCs/>
                <w:color w:val="000000" w:themeColor="text1"/>
              </w:rPr>
            </w:pPr>
            <w:r>
              <w:rPr>
                <w:b/>
                <w:bCs/>
                <w:color w:val="000000" w:themeColor="text1"/>
              </w:rPr>
              <w:t xml:space="preserve">Tỷ lệ CLCL (%)</w:t>
            </w:r>
            <w:r>
              <w:rPr>
                <w:b/>
                <w:bCs/>
                <w:color w:val="000000" w:themeColor="text1"/>
              </w:rPr>
            </w:r>
            <w:r>
              <w:rPr>
                <w:b/>
                <w:bCs/>
                <w:color w:val="000000" w:themeColor="text1"/>
              </w:rPr>
            </w:r>
          </w:p>
        </w:tc>
        <w:tc>
          <w:tcPr>
            <w:shd w:val="clear" w:color="000000" w:fill="ffffff"/>
            <w:tcBorders/>
            <w:tcW w:w="198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4"/>
            <w:shd w:val="clear" w:color="000000" w:fill="ffffff"/>
            <w:tcBorders/>
            <w:tcW w:w="6790"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w:t>
            </w:r>
            <w:r>
              <w:rPr>
                <w:color w:val="000000" w:themeColor="text1"/>
              </w:rPr>
              <w:t xml:space="preserve">n sử dụng đất và tài sản gắn liền với đất t</w:t>
            </w:r>
            <w:r>
              <w:rPr>
                <w:color w:val="000000" w:themeColor="text1"/>
              </w:rPr>
              <w:t xml:space="preserve">ại thửa đất số: 93, tờ bản đồ số: 66, có địa chỉ: Lô 20-B1.125, Khu Đô thị sinh thái ven sông Hòa Xuân-giai đoạn 2, phường Hòa </w:t>
            </w:r>
            <w:r>
              <w:rPr>
                <w:color w:val="000000" w:themeColor="text1"/>
              </w:rPr>
              <w:t xml:space="preserve">Xuân, thành phố Đà Nẵng, theo Giấy chứng nhận quyền sử dụng đất, quyền sở hữu tài sản gắn liền với đất số: AA 04565232 do Văn phòng đăng ký đất đai thành phố Đà Nẵng cấp ngày 03/10/2025; Chủ sử dụng đất là ông: Nguyễn Thái Nguyện và vợ: bà Lê Thị Minh Châu</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1985"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1</w:t>
            </w:r>
            <w:r>
              <w:rPr>
                <w:color w:val="000000" w:themeColor="text1"/>
              </w:rPr>
            </w:r>
            <w:r>
              <w:rPr>
                <w:color w:val="000000" w:themeColor="text1"/>
              </w:rPr>
            </w:r>
          </w:p>
        </w:tc>
        <w:tc>
          <w:tcPr>
            <w:shd w:val="clear" w:color="000000" w:fill="ffffff"/>
            <w:tcBorders/>
            <w:tcW w:w="2112" w:type="dxa"/>
            <w:vAlign w:val="center"/>
            <w:textDirection w:val="lrTb"/>
            <w:noWrap w:val="false"/>
          </w:tcPr>
          <w:p>
            <w:pPr>
              <w:pBdr/>
              <w:spacing w:after="40" w:before="40" w:line="288" w:lineRule="auto"/>
              <w:ind/>
              <w:rPr>
                <w:color w:val="000000" w:themeColor="text1"/>
              </w:rPr>
            </w:pPr>
            <w:r>
              <w:rPr>
                <w:b/>
                <w:bCs/>
                <w:color w:val="000000" w:themeColor="text1"/>
              </w:rPr>
              <w:t xml:space="preserve">Đất ở tại đô thị</w:t>
            </w:r>
            <w:r>
              <w:rPr>
                <w:color w:val="000000" w:themeColor="text1"/>
              </w:rPr>
            </w:r>
            <w:r>
              <w:rPr>
                <w:color w:val="000000" w:themeColor="text1"/>
              </w:rPr>
            </w:r>
          </w:p>
        </w:tc>
        <w:tc>
          <w:tcPr>
            <w:tcBorders/>
            <w:tcW w:w="1701" w:type="dxa"/>
            <w:vAlign w:val="center"/>
            <w:textDirection w:val="lrTb"/>
            <w:noWrap/>
          </w:tcPr>
          <w:p>
            <w:pPr>
              <w:pBdr/>
              <w:spacing w:after="40" w:before="40" w:line="288" w:lineRule="auto"/>
              <w:ind/>
              <w:jc w:val="center"/>
              <w:rPr>
                <w:color w:val="000000" w:themeColor="text1"/>
              </w:rPr>
            </w:pPr>
            <w:r>
              <w:rPr>
                <w:color w:val="000000" w:themeColor="text1"/>
              </w:rPr>
              <w:t xml:space="preserve">189,0</w:t>
            </w:r>
            <w:r>
              <w:rPr>
                <w:color w:val="000000" w:themeColor="text1"/>
              </w:rPr>
            </w:r>
            <w:r>
              <w:rPr>
                <w:color w:val="000000" w:themeColor="text1"/>
              </w:rPr>
            </w:r>
          </w:p>
        </w:tc>
        <w:tc>
          <w:tcPr>
            <w:shd w:val="clear" w:color="000000" w:fill="ffffff"/>
            <w:tcBorders/>
            <w:tcW w:w="1559" w:type="dxa"/>
            <w:vAlign w:val="center"/>
            <w:textDirection w:val="lrTb"/>
            <w:noWrap w:val="false"/>
          </w:tcPr>
          <w:p>
            <w:pPr>
              <w:pBdr/>
              <w:spacing w:after="40" w:before="40" w:line="288" w:lineRule="auto"/>
              <w:ind/>
              <w:jc w:val="center"/>
              <w:rPr>
                <w:color w:val="000000" w:themeColor="text1"/>
              </w:rPr>
            </w:pPr>
            <w:r>
              <w:rPr>
                <w:color w:val="000000" w:themeColor="text1"/>
              </w:rPr>
              <w:t xml:space="preserve">69.600.000</w:t>
            </w:r>
            <w:r>
              <w:rPr>
                <w:color w:val="000000" w:themeColor="text1"/>
              </w:rPr>
            </w:r>
            <w:r>
              <w:rPr>
                <w:color w:val="000000" w:themeColor="text1"/>
              </w:rPr>
            </w:r>
          </w:p>
        </w:tc>
        <w:tc>
          <w:tcPr>
            <w:shd w:val="clear" w:color="000000" w:fill="ffffff"/>
            <w:tcBorders/>
            <w:tcW w:w="141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985"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13.154.400.000</w:t>
            </w:r>
            <w:r>
              <w:rPr>
                <w:color w:val="000000" w:themeColor="text1"/>
              </w:rPr>
            </w:r>
            <w:r>
              <w:rPr>
                <w:color w:val="000000" w:themeColor="text1"/>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2</w:t>
            </w:r>
            <w:r>
              <w:rPr>
                <w:color w:val="000000" w:themeColor="text1"/>
              </w:rPr>
            </w:r>
            <w:r>
              <w:rPr>
                <w:color w:val="000000" w:themeColor="text1"/>
              </w:rPr>
            </w:r>
          </w:p>
        </w:tc>
        <w:tc>
          <w:tcPr>
            <w:shd w:val="clear" w:color="000000" w:fill="ffffff"/>
            <w:tcBorders/>
            <w:tcW w:w="2112" w:type="dxa"/>
            <w:vAlign w:val="center"/>
            <w:textDirection w:val="lrTb"/>
            <w:noWrap w:val="false"/>
          </w:tcPr>
          <w:p>
            <w:pPr>
              <w:pBdr/>
              <w:spacing w:after="40" w:before="40" w:line="288" w:lineRule="auto"/>
              <w:ind/>
              <w:rPr>
                <w:color w:val="000000" w:themeColor="text1"/>
              </w:rPr>
            </w:pPr>
            <w:r>
              <w:rPr>
                <w:b/>
                <w:bCs/>
                <w:color w:val="000000" w:themeColor="text1"/>
              </w:rPr>
              <w:t xml:space="preserve">Nhà ở riêng lẻ</w:t>
            </w:r>
            <w:r>
              <w:rPr>
                <w:color w:val="000000" w:themeColor="text1"/>
              </w:rPr>
            </w:r>
            <w:r>
              <w:rPr>
                <w:color w:val="000000" w:themeColor="text1"/>
              </w:rPr>
            </w:r>
          </w:p>
        </w:tc>
        <w:tc>
          <w:tcPr>
            <w:tcBorders/>
            <w:tcW w:w="1701" w:type="dxa"/>
            <w:vAlign w:val="center"/>
            <w:textDirection w:val="lrTb"/>
            <w:noWrap/>
          </w:tcPr>
          <w:p>
            <w:pPr>
              <w:pBdr/>
              <w:spacing w:after="40" w:before="40" w:line="288" w:lineRule="auto"/>
              <w:ind/>
              <w:jc w:val="center"/>
              <w:rPr>
                <w:color w:val="000000" w:themeColor="text1"/>
              </w:rPr>
            </w:pPr>
            <w:r>
              <w:rPr>
                <w:color w:val="000000" w:themeColor="text1"/>
              </w:rPr>
              <w:t xml:space="preserve">567,0</w:t>
            </w:r>
            <w:r>
              <w:rPr>
                <w:color w:val="000000" w:themeColor="text1"/>
              </w:rPr>
            </w:r>
            <w:r>
              <w:rPr>
                <w:color w:val="000000" w:themeColor="text1"/>
              </w:rPr>
            </w:r>
          </w:p>
        </w:tc>
        <w:tc>
          <w:tcPr>
            <w:shd w:val="clear" w:color="000000" w:fill="ffffff"/>
            <w:tcBorders/>
            <w:tcW w:w="1559" w:type="dxa"/>
            <w:vAlign w:val="center"/>
            <w:textDirection w:val="lrTb"/>
            <w:noWrap w:val="false"/>
          </w:tcPr>
          <w:p>
            <w:pPr>
              <w:pBdr/>
              <w:spacing w:after="40" w:before="40" w:line="288" w:lineRule="auto"/>
              <w:ind/>
              <w:jc w:val="center"/>
              <w:rPr>
                <w:color w:val="000000" w:themeColor="text1"/>
              </w:rPr>
            </w:pPr>
            <w:r>
              <w:rPr>
                <w:color w:val="000000" w:themeColor="text1"/>
              </w:rPr>
              <w:t xml:space="preserve">7.342.164</w:t>
            </w:r>
            <w:r>
              <w:rPr>
                <w:color w:val="000000" w:themeColor="text1"/>
              </w:rPr>
            </w:r>
            <w:r>
              <w:rPr>
                <w:color w:val="000000" w:themeColor="text1"/>
              </w:rPr>
            </w:r>
          </w:p>
        </w:tc>
        <w:tc>
          <w:tcPr>
            <w:shd w:val="clear" w:color="000000" w:fill="ffffff"/>
            <w:tcBorders/>
            <w:tcW w:w="1417"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100%</w:t>
            </w:r>
            <w:r>
              <w:rPr>
                <w:color w:val="000000" w:themeColor="text1"/>
              </w:rPr>
            </w:r>
            <w:r>
              <w:rPr>
                <w:color w:val="000000" w:themeColor="text1"/>
              </w:rPr>
            </w:r>
          </w:p>
        </w:tc>
        <w:tc>
          <w:tcPr>
            <w:shd w:val="clear" w:color="000000" w:fill="ffffff"/>
            <w:tcBorders/>
            <w:tcW w:w="1985"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4.163.006.988</w:t>
            </w:r>
            <w:r>
              <w:rPr>
                <w:color w:val="000000" w:themeColor="text1"/>
              </w:rPr>
            </w:r>
            <w:r>
              <w:rPr>
                <w:color w:val="000000" w:themeColor="text1"/>
              </w:rPr>
            </w:r>
          </w:p>
        </w:tc>
      </w:tr>
      <w:tr>
        <w:trPr>
          <w:trHeight w:val="20"/>
        </w:trPr>
        <w:tc>
          <w:tcPr>
            <w:gridSpan w:val="5"/>
            <w:tcBorders/>
            <w:tcW w:w="7540"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985" w:type="dxa"/>
            <w:vAlign w:val="center"/>
            <w:textDirection w:val="lrTb"/>
            <w:noWrap/>
          </w:tcPr>
          <w:p>
            <w:pPr>
              <w:pBdr/>
              <w:spacing w:after="40" w:before="40" w:line="288" w:lineRule="auto"/>
              <w:ind/>
              <w:jc w:val="center"/>
              <w:rPr>
                <w:b/>
                <w:bCs/>
                <w:color w:val="000000" w:themeColor="text1"/>
              </w:rPr>
            </w:pPr>
            <w:r>
              <w:rPr>
                <w:color w:val="000000" w:themeColor="text1"/>
              </w:rPr>
              <w:t xml:space="preserve">17.317.406.988</w:t>
            </w:r>
            <w:r>
              <w:rPr>
                <w:b/>
                <w:bCs/>
                <w:color w:val="000000" w:themeColor="text1"/>
              </w:rPr>
            </w:r>
            <w:r>
              <w:rPr>
                <w:b/>
                <w:bCs/>
                <w:color w:val="000000" w:themeColor="text1"/>
              </w:rPr>
            </w:r>
          </w:p>
        </w:tc>
      </w:tr>
      <w:tr>
        <w:trPr>
          <w:trHeight w:val="20"/>
        </w:trPr>
        <w:tc>
          <w:tcPr>
            <w:gridSpan w:val="5"/>
            <w:tcBorders/>
            <w:tcW w:w="7540"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1985"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17.317.000.000</w:t>
            </w:r>
            <w:r>
              <w:rPr>
                <w:b/>
                <w:bCs/>
                <w:color w:val="000000" w:themeColor="text1"/>
              </w:rPr>
            </w:r>
            <w:r>
              <w:rPr>
                <w:b/>
                <w:bCs/>
                <w:color w:val="000000" w:themeColor="text1"/>
              </w:rPr>
            </w:r>
          </w:p>
        </w:tc>
      </w:tr>
      <w:tr>
        <w:trPr>
          <w:trHeight w:val="20"/>
        </w:trPr>
        <w:tc>
          <w:tcPr>
            <w:gridSpan w:val="6"/>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Mười bảy tỷ ba trăm mười bảy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rFonts w:eastAsia="Calibri"/>
          <w:b/>
          <w:color w:val="000000" w:themeColor="text1"/>
          <w:spacing w:val="-4"/>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rPr>
      </w:r>
      <w:r>
        <w:rPr>
          <w:rFonts w:eastAsia="Calibri"/>
          <w:b/>
          <w:color w:val="000000" w:themeColor="text1"/>
          <w:spacing w:val="-4"/>
        </w:rPr>
      </w:r>
    </w:p>
    <w:p>
      <w:pPr>
        <w:pBdr/>
        <w:spacing w:after="120" w:before="120" w:line="312" w:lineRule="auto"/>
        <w:ind/>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54"/>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Đỗ Thanh Thảo</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XV23.2485</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950" w:type="dxa"/>
        <w:tblBorders/>
        <w:tblLayout w:type="fixed"/>
        <w:tblLook w:val="04A0" w:firstRow="1" w:lastRow="0" w:firstColumn="1" w:lastColumn="0" w:noHBand="0" w:noVBand="1"/>
      </w:tblPr>
      <w:tblGrid>
        <w:gridCol w:w="170"/>
        <w:gridCol w:w="1417"/>
        <w:gridCol w:w="2851"/>
        <w:gridCol w:w="5434"/>
        <w:gridCol w:w="77"/>
      </w:tblGrid>
      <w:tr>
        <w:trPr>
          <w:gridAfter w:val="1"/>
          <w:trHeight w:val="1559"/>
        </w:trPr>
        <w:tc>
          <w:tcPr>
            <w:gridSpan w:val="2"/>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285"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7" w:tooltip="mailto:ilotus.contact@gmail.com" w:history="1">
              <w:r>
                <w:rPr>
                  <w:rStyle w:val="101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0"/>
        </w:trPr>
        <w:tc>
          <w:tcPr>
            <w:gridSpan w:val="2"/>
            <w:shd w:val="clear" w:color="auto" w:fill="auto"/>
            <w:tcBorders/>
            <w:tcMar>
              <w:left w:w="108" w:type="dxa"/>
              <w:top w:w="0" w:type="dxa"/>
              <w:right w:w="108" w:type="dxa"/>
              <w:bottom w:w="0" w:type="dxa"/>
            </w:tcMar>
            <w:tcW w:w="4268"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275/2026/1074/VFI-BC.65.A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511" w:type="dxa"/>
            <w:textDirection w:val="lrTb"/>
            <w:noWrap w:val="false"/>
          </w:tcPr>
          <w:p>
            <w:pPr>
              <w:pStyle w:val="1026"/>
              <w:pBdr/>
              <w:spacing w:after="60"/>
              <w:ind w:right="-56"/>
              <w:jc w:val="right"/>
              <w:rPr>
                <w:color w:val="000000" w:themeColor="text1"/>
                <w:sz w:val="24"/>
                <w:szCs w:val="24"/>
              </w:rPr>
            </w:pPr>
            <w:r>
              <w:rPr>
                <w:rStyle w:val="1025"/>
                <w:rFonts w:ascii="Times New Roman" w:hAnsi="Times New Roman"/>
                <w:i/>
                <w:color w:val="000000" w:themeColor="text1"/>
              </w:rPr>
              <w:t xml:space="preserve">TP. Hà Nội</w:t>
            </w:r>
            <w:r>
              <w:rPr>
                <w:rStyle w:val="1025"/>
                <w:rFonts w:ascii="Times New Roman" w:hAnsi="Times New Roman"/>
                <w:i/>
                <w:color w:val="000000" w:themeColor="text1"/>
                <w:lang w:val="vi-VN"/>
              </w:rPr>
              <w:t xml:space="preserve">, </w:t>
            </w:r>
            <w:r>
              <w:rPr>
                <w:rStyle w:val="1025"/>
                <w:rFonts w:ascii="Times New Roman" w:hAnsi="Times New Roman"/>
                <w:i/>
                <w:color w:val="000000" w:themeColor="text1"/>
                <w:lang w:val="vi-VN"/>
              </w:rPr>
              <w:t xml:space="preserve">ngày 16 tháng 7 năm 2026</w:t>
            </w:r>
            <w:r>
              <w:rPr>
                <w:color w:val="000000" w:themeColor="text1"/>
                <w:sz w:val="24"/>
                <w:szCs w:val="24"/>
              </w:rPr>
            </w:r>
            <w:r>
              <w:rPr>
                <w:color w:val="000000" w:themeColor="text1"/>
                <w:sz w:val="24"/>
                <w:szCs w:val="24"/>
              </w:rPr>
            </w:r>
          </w:p>
        </w:tc>
      </w:tr>
    </w:tbl>
    <w:p>
      <w:pPr>
        <w:pStyle w:val="1026"/>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06"/>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275/2026/1074/VFI-CT.65.A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7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06"/>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r>
            <w:r>
              <w:rPr>
                <w:b/>
                <w:bCs/>
                <w:color w:val="000000" w:themeColor="text1"/>
              </w:rPr>
            </w:r>
            <w:r>
              <w:rPr>
                <w:b/>
                <w:bCs/>
                <w:color w:val="000000" w:themeColor="text1"/>
              </w:rPr>
            </w:r>
          </w:p>
          <w:p>
            <w:pPr>
              <w:pBdr/>
              <w:spacing w:after="60" w:before="60" w:line="276" w:lineRule="auto"/>
              <w:ind/>
              <w:rPr>
                <w:b/>
                <w:bCs/>
                <w:color w:val="000000" w:themeColor="text1"/>
              </w:rPr>
            </w:pP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27"/>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ind/>
              <w:rPr>
                <w:rFonts w:ascii="Times New Roman" w:hAnsi="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color w:val="000000" w:themeColor="text1"/>
                <w:sz w:val="24"/>
                <w:szCs w:val="24"/>
                <w:lang w:val="pt-BR"/>
              </w:rPr>
              <w:t xml:space="preserve">CÔNG TY CỔ PHẦN DỊCH VỤ HNK</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MST</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0103327991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vMerge w:val="restart"/>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vMerge w:val="restart"/>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vMerge w:val="restart"/>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TT04-09, KĐT Mon city, đường Hàm Nghi, Phường Từ Liêm, Thành phố Hà Nội,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Đại diện </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hyperlink r:id="rId18" w:tooltip="tra cứu mã số thuế công ty có giám đốc Nguyễn Thái Nguyện" w:history="1">
              <w:r>
                <w:rPr>
                  <w:rStyle w:val="1017"/>
                  <w:rFonts w:ascii="Times New Roman" w:hAnsi="Times New Roman" w:eastAsia="Times New Roman" w:cs="Times New Roman"/>
                  <w:color w:val="000000" w:themeColor="text1"/>
                  <w:spacing w:val="-2"/>
                  <w:sz w:val="24"/>
                  <w:szCs w:val="24"/>
                  <w:highlight w:val="white"/>
                  <w:u w:val="none"/>
                </w:rPr>
                <w:t xml:space="preserve">Nguyễn Thái Nguyện</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và tài sản gắn liền với đất tại thửa đất số: 93, tờ bản đồ số: 66, có địa chỉ: Lô 20-B1.125, Khu Đô thị sinh thái ven sông Hòa Xuân-giai đoạn 2, phường Hòa </w:t>
            </w:r>
            <w:r>
              <w:rPr>
                <w:bCs/>
                <w:color w:val="000000" w:themeColor="text1"/>
                <w:lang w:val="pt-BR"/>
              </w:rPr>
              <w:t xml:space="preserve">Xuân, thành phố Đà Nẵng, theo Giấy chứng nhận quyền sử dụng đất, quyền sở hữu tài sản gắn liền với đất số: AA 04565232 do Văn phòng đăng ký đất đai thành phố Đà Nẵng cấp ngày 03/10/2025; Chủ sử dụng đất là ông: Nguyễn Thái Nguyện và vợ: bà Lê Thị Minh Châu</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07/2026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r>
            <w:r>
              <w:rPr>
                <w:rFonts w:ascii="Times New Roman" w:hAnsi="Times New Roman" w:eastAsia="Times New Roman" w:cs="Times New Roman"/>
                <w:color w:val="000000" w:themeColor="text1"/>
                <w:sz w:val="24"/>
              </w:rPr>
              <w:t xml:space="preserve">Lô 20-B1.125, Khu Đô thị sinh thái ven sông Hòa Xuân-giai đoạn 2, phường Hòa Xuân, thành phố Đà Nẵng</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07"/>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(16.013666666667, 108.22786111111)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08/07/2026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2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27"/>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27"/>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27"/>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2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27"/>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27"/>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rPr>
      </w:r>
      <w:r>
        <w:rPr>
          <w:bCs/>
          <w:color w:val="000000" w:themeColor="text1"/>
          <w:spacing w:val="-4"/>
        </w:rPr>
      </w:r>
    </w:p>
    <w:p>
      <w:pPr>
        <w:pStyle w:val="102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27"/>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27"/>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27"/>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27"/>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tài sản gắn liền với đất số: AA 04565232 do Văn phòng đăng ký đất đai thành phố Đà Nẵng cấp ngày 03/10/2025; Chủ sử dụng đất là ông: Nguyễn Thái Nguyện và vợ: bà Lê Thị Minh Châu</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275/2026/1074/VFI-HĐTĐ.65.A ngày 08/07/2026 giữa Công ty cổ phần dịch vụ HNK với Công ty Cổ phần Thẩm định và Đầu tư Tài chính Hoa Sen.</w:t>
      </w:r>
      <w:r>
        <w:rPr>
          <w:b/>
          <w:color w:val="000000" w:themeColor="text1"/>
        </w:rPr>
      </w:r>
      <w:r>
        <w:rPr>
          <w:b/>
          <w:color w:val="000000" w:themeColor="text1"/>
        </w:rPr>
      </w:r>
    </w:p>
    <w:p>
      <w:pPr>
        <w:pStyle w:val="102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shd w:val="clear" w:color="auto" w:fill="ffffff"/>
        </w:rPr>
        <w:t xml:space="preserve">Thị trường bất động sản Đà Nẵng 2026 đang bước vào giai đoạn chuyển mình rõ rệt t</w:t>
      </w:r>
      <w:r>
        <w:rPr>
          <w:color w:val="000000" w:themeColor="text1"/>
          <w:shd w:val="clear" w:color="auto" w:fill="ffffff"/>
        </w:rPr>
        <w:t xml:space="preserve">ừ “phục hồi tâm lý” sang “cạnh tranh thực chất”. Đòn bẩy từ các dự án hạ tầng lớn như Cảng Liên Chiểu cùng định hướng phát triển FTZ đang tạo lực đẩy mạnh mẽ cho toàn thị trường. Sau đây, Mua Bán sẽ phân tích chi tiết xu hướng, biến động giá và những khu v</w:t>
      </w:r>
      <w:r>
        <w:rPr>
          <w:color w:val="000000" w:themeColor="text1"/>
          <w:shd w:val="clear" w:color="auto" w:fill="ffffff"/>
        </w:rPr>
        <w:t xml:space="preserve">ực tiềm năng để giúp bạn có cái nhìn toàn diện về cơ hội đầu tư tại Đà Nẵng trong giai đoạn mới.</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Thị trường bất động sản Đà Nẵng năm 2026 bước vào giai đoạn tăng trưởng có chọn lọc, quyết liệt loại bỏ yếu tố đầu cơ để ưu tiên các sản phẩm giá trị thực. Tro</w:t>
      </w:r>
      <w:r>
        <w:rPr>
          <w:color w:val="000000" w:themeColor="text1"/>
          <w:shd w:val="clear" w:color="auto" w:fill="ffffff"/>
        </w:rPr>
        <w:t xml:space="preserve">ng bối cảnh đó, hạ tầng đồng bộ và pháp lý minh bạch trở thành thước đo tiêu chuẩn giúp các dự án chất lượng cao đạt mức thanh khoản vượt trội. Sự chuyển dịch từ “phục hồi tâm lý” sang “cạnh tranh thực chất” chính là đặc điểm bao trùm toàn bộ thị trường.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w:t>
      </w:r>
      <w:r>
        <w:rPr>
          <w:color w:val="000000" w:themeColor="text1"/>
          <w:shd w:val="clear" w:color="auto" w:fill="ffffff"/>
        </w:rPr>
        <w:t xml:space="preserve">hính sự dịch chuyển trên đã dẫn đến sự phân hóa rõ rệt giữa các phân khúc, khi căn hộ hạng A và hạng sang vươn lên dẫn dắt thị trường nhờ đáp ứng nhu cầu ở thực của tầng lớp trung lưu mới. Trong khi đó, phân khúc đất nền rơi vào tình trạng khan hiếm nguồn </w:t>
      </w:r>
      <w:r>
        <w:rPr>
          <w:color w:val="000000" w:themeColor="text1"/>
          <w:shd w:val="clear" w:color="auto" w:fill="ffffff"/>
        </w:rPr>
        <w:t xml:space="preserve">cung, còn bất động sản nghỉ dưỡng vẫn hồi phục chậm do áp lực tồn kho lớn. Sự lệch pha này buộc nhà đầu tư phải thay đổi chiến lược, ưu tiên các tài sản có khả năng khai thác dòng tiền ngay lập tức thay vì chờ đợi tăng giá ảo.</w:t>
        <w:br/>
        <w:t xml:space="preserve">Niềm tin thị trường được củng</w:t>
      </w:r>
      <w:r>
        <w:rPr>
          <w:color w:val="000000" w:themeColor="text1"/>
          <w:shd w:val="clear" w:color="auto" w:fill="ffffff"/>
        </w:rPr>
        <w:t xml:space="preserve"> cố mạnh mẽ nhờ cột mốc áp dụng mã định danh bất động sản từ tháng 3/2026 giúp minh bạch hóa pháp lý và lịch sử giao dịch. Công cụ này xóa bỏ rào cản thông tin, tạo điều kiện cho nhà đầu tư khu vực Hà Nội và TP.HCM tự tin quay trở lại “bắt đáy” khi mặt bằn</w:t>
      </w:r>
      <w:r>
        <w:rPr>
          <w:color w:val="000000" w:themeColor="text1"/>
          <w:shd w:val="clear" w:color="auto" w:fill="ffffff"/>
        </w:rPr>
        <w:t xml:space="preserve">g giá vẫn thấp hơn đỉnh cũ từ 15-20%. Khi rủi ro pháp lý được kiểm soát bằng công nghệ, dòng tiền lớn bắt đầu dịch chuyển mạnh mẽ từ các kênh trú ẩn khác quay trở lại thị trường bất động sản.</w:t>
        <w:br/>
        <w:t xml:space="preserve">Điểm đến cuối cùng của dòng vốn này chủ yếu đổ dồn vào các khu v</w:t>
      </w:r>
      <w:r>
        <w:rPr>
          <w:color w:val="000000" w:themeColor="text1"/>
          <w:shd w:val="clear" w:color="auto" w:fill="ffffff"/>
        </w:rPr>
        <w:t xml:space="preserve">ực như Tây Bắc (Liên Chiểu, Hòa Khánh) và Đông Nam (giáp Quảng Nam) nhờ chiến lược quy hoạch mở rộng không gian đô thị của TP.Đà Nẵng. Nhà đầu tư có thể tận dụng ngay hệ thống hạ tầng giao thông và tiện ích công cộng đã hoàn thiện để tạo ra dòng tiền từ vi</w:t>
      </w:r>
      <w:r>
        <w:rPr>
          <w:color w:val="000000" w:themeColor="text1"/>
          <w:shd w:val="clear" w:color="auto" w:fill="ffffff"/>
        </w:rPr>
        <w:t xml:space="preserve">ệc kinh doanh hoặc cho thuê lại. Vì vậy, những dự án nằm dọc các trục giao thông huyết mạch, được bảo chứng bởi các chủ đầu tư uy tín đang nắm giữ lợi thế thanh khoản vô cùng vượt trội.</w:t>
      </w:r>
      <w:r>
        <w:rPr>
          <w:color w:val="000000" w:themeColor="text1"/>
        </w:rPr>
      </w:r>
      <w:r>
        <w:rPr>
          <w:color w:val="000000" w:themeColor="text1"/>
        </w:rPr>
      </w:r>
    </w:p>
    <w:p>
      <w:pPr>
        <w:pBdr/>
        <w:tabs>
          <w:tab w:val="left" w:leader="none" w:pos="426"/>
        </w:tabs>
        <w:spacing w:after="120" w:before="120" w:line="276" w:lineRule="auto"/>
        <w:ind/>
        <w:jc w:val="center"/>
        <w:rPr>
          <w:bCs/>
          <w:i/>
          <w:color w:val="000000" w:themeColor="text1"/>
        </w:rPr>
      </w:pPr>
      <w:r>
        <w:rPr>
          <w:color w:val="000000" w:themeColor="text1"/>
          <w:shd w:val="clear" w:color="auto" w:fill="ffffff"/>
        </w:rPr>
        <w:t xml:space="preserve">(https://muaban.net/blog/thi-truong-bat-dong-san-da-nang-2026-612090/)</w:t>
      </w:r>
      <w:r>
        <w:rPr>
          <w:bCs/>
          <w:i/>
          <w:color w:val="000000" w:themeColor="text1"/>
        </w:rPr>
      </w:r>
      <w:r>
        <w:rPr>
          <w:bCs/>
          <w:i/>
          <w:color w:val="000000" w:themeColor="text1"/>
        </w:rPr>
      </w:r>
    </w:p>
    <w:p>
      <w:pPr>
        <w:pStyle w:val="102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w:t>
            </w:r>
            <w:r>
              <w:rPr>
                <w:b/>
                <w:bCs/>
                <w:color w:val="000000" w:themeColor="text1"/>
              </w:rPr>
              <w:t xml:space="preserve">n </w:t>
            </w:r>
            <w:r>
              <w:rPr>
                <w:b/>
                <w:bCs/>
                <w:color w:val="000000" w:themeColor="text1"/>
                <w:lang w:val="pt-BR"/>
              </w:rPr>
              <w:t xml:space="preserve">sử dụng đất và tài sản gắn liền với đất tại</w:t>
            </w:r>
            <w:r>
              <w:rPr>
                <w:b/>
                <w:bCs/>
                <w:color w:val="000000" w:themeColor="text1"/>
              </w:rPr>
              <w:t xml:space="preserve"> thửa đ</w:t>
            </w:r>
            <w:r>
              <w:rPr>
                <w:b/>
                <w:bCs/>
                <w:color w:val="000000" w:themeColor="text1"/>
              </w:rPr>
              <w:t xml:space="preserve">ất số: 93, tờ bản đồ số: 66, có địa chỉ: Lô 20-B1.125, Khu Đô thị sinh thái ven sông Hòa Xuân-giai đoạn 2, phường Hòa </w:t>
            </w:r>
            <w:r>
              <w:rPr>
                <w:b/>
                <w:bCs/>
                <w:color w:val="000000" w:themeColor="text1"/>
              </w:rPr>
              <w:t xml:space="preserve">Xuân, thành phố Đà Nẵng, theo Giấy chứng nhận quyền sử dụng đất, quyền sở hữu tài sản gắn liền với đất số: AA 04565232 do Văn phòng đăng ký đất đai thành phố Đà Nẵng cấp ngày 03/10/2025; Chủ sử dụng đất là ông: Nguyễn Thái Nguyện và vợ: bà Lê Thị Minh Châu</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93</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66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r>
              <w:rPr>
                <w:rFonts w:ascii="Times New Roman" w:hAnsi="Times New Roman" w:eastAsia="Times New Roman" w:cs="Times New Roman"/>
                <w:color w:val="000000" w:themeColor="text1"/>
                <w:sz w:val="24"/>
              </w:rPr>
              <w:t xml:space="preserve">Lô 20-B1.125, Khu Đô thị sinh thái ven sông Hòa Xuân-giai đoạn 2, phường Hòa Xuân, thành phố Đà Nẵng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189,0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chung của vợ và chồng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Ghi chú:</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jc w:val="center"/>
              <w:rPr>
                <w:b/>
                <w:bCs/>
                <w:color w:val="000000" w:themeColor="text1"/>
              </w:rPr>
            </w:pPr>
            <w:r>
              <w:rPr>
                <w:b/>
                <w:bCs/>
                <w:color w:val="000000" w:themeColor="text1"/>
              </w:rPr>
            </w:r>
            <w:r>
              <w:rPr>
                <w:color w:val="000000" w:themeColor="text1"/>
              </w:rPr>
              <mc:AlternateContent>
                <mc:Choice Requires="wpg">
                  <w:drawing>
                    <wp:inline xmlns:wp="http://schemas.openxmlformats.org/drawingml/2006/wordprocessingDrawing" distT="0" distB="0" distL="0" distR="0">
                      <wp:extent cx="5218770" cy="260183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16131" name=""/>
                              <pic:cNvPicPr>
                                <a:picLocks noChangeAspect="1"/>
                              </pic:cNvPicPr>
                              <pic:nvPr/>
                            </pic:nvPicPr>
                            <pic:blipFill rotWithShape="1">
                              <a:blip r:embed="rId19"/>
                              <a:stretch/>
                            </pic:blipFill>
                            <pic:spPr bwMode="auto">
                              <a:xfrm flipH="0" flipV="0">
                                <a:off x="0" y="0"/>
                                <a:ext cx="5218769" cy="26018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0.93pt;height:204.87pt;mso-wrap-distance-left:0.00pt;mso-wrap-distance-top:0.00pt;mso-wrap-distance-right:0.00pt;mso-wrap-distance-bottom:0.00pt;z-index:1;" stroked="false">
                      <v:imagedata r:id="rId19" o:title=""/>
                      <o:lock v:ext="edit" rotation="t"/>
                    </v:shape>
                  </w:pict>
                </mc:Fallback>
              </mc:AlternateConten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Tài sản tiếp giáp đường Lê Sỹ</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góc 2 mặt đường, phố</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10,5</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đường Lê Sỹ</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Đông Bắc: Tiếp giáp đường giao thông.</w:t>
              <w:br/>
              <w:t xml:space="preserve">Hướng Tây Bắc: Tiếp giáp đường giao thông.</w:t>
              <w:br/>
              <w:t xml:space="preserve">Hướng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(16.013666666667, 108.22786111111)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mc:AlternateContent>
                <mc:Choice Requires="wpg">
                  <w:drawing>
                    <wp:inline xmlns:wp="http://schemas.openxmlformats.org/drawingml/2006/wordprocessingDrawing" distT="0" distB="0" distL="0" distR="0">
                      <wp:extent cx="5218770" cy="2719002"/>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flipH="0" flipV="0">
                                <a:off x="0" y="0"/>
                                <a:ext cx="5218769" cy="27190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0.93pt;height:214.09pt;mso-wrap-distance-left:0.00pt;mso-wrap-distance-top:0.00pt;mso-wrap-distance-right:0.00pt;mso-wrap-distance-bottom:0.00pt;z-index:1;" stroked="false">
                      <v:imagedata r:id="rId20"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189,0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8,3</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23,44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Tương đối vuông vức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Đông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Cao/đông đúc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t xml:space="preserve">+ </w:t>
            </w:r>
            <w:r>
              <w:rPr>
                <w:color w:val="000000" w:themeColor="text1"/>
              </w:rPr>
              <w:t xml:space="preserve">Tại thời điểm khảo sát dưới sự hướng dẫn của Khách hàng, CTXD gắn liền với đất là 01 nhà 03 tầng, đang hoàn thiện, diện tích xây dựng 144,47m², diện tích sàn 567m².</w:t>
              <w:br/>
              <w:t xml:space="preserve">+ </w:t>
            </w:r>
            <w:r>
              <w:rPr>
                <w:color w:val="000000" w:themeColor="text1"/>
              </w:rPr>
              <w:t xml:space="preserve">Tại thời điểm khảo sát</w:t>
            </w:r>
            <w:r>
              <w:rPr>
                <w:color w:val="000000" w:themeColor="text1"/>
              </w:rPr>
              <w:t xml:space="preserve">, CTXD chưa được chứng nhận trên GCN quyền sử dụng đất.</w:t>
            </w:r>
            <w:r>
              <w:rPr>
                <w:color w:val="000000" w:themeColor="text1"/>
              </w:rPr>
            </w:r>
            <w:r>
              <w:rPr>
                <w:color w:val="000000" w:themeColor="text1"/>
              </w:rPr>
            </w:r>
          </w:p>
        </w:tc>
      </w:tr>
    </w:tbl>
    <w:p>
      <w:pPr>
        <w:pBdr/>
        <w:spacing/>
        <w:ind/>
        <w:rPr>
          <w:b/>
          <w:bCs/>
          <w:color w:val="000000" w:themeColor="text1"/>
        </w:rPr>
      </w:pPr>
      <w:r>
        <w:rPr>
          <w:b/>
          <w:bCs/>
          <w:color w:val="000000" w:themeColor="text1"/>
        </w:rPr>
      </w:r>
      <w:r>
        <w:rPr>
          <w:b/>
          <w:bCs/>
          <w:color w:val="000000" w:themeColor="text1"/>
        </w:rPr>
      </w:r>
      <w:r>
        <w:rPr>
          <w:b/>
          <w:bCs/>
          <w:color w:val="000000" w:themeColor="text1"/>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S=0.5ha)&lt;5ha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0"/>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xung</w:t>
            </w:r>
            <w:r>
              <w:rPr>
                <w:color w:val="000000" w:themeColor="text1"/>
                <w:lang w:eastAsia="ko-KR"/>
              </w:rPr>
              <w:t xml:space="preserve"> :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27"/>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27"/>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27"/>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27"/>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27"/>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2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2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numPr>
          <w:ilvl w:val="0"/>
          <w:numId w:val="39"/>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Cách tiếp cận từ chi phí: </w:t>
      </w:r>
      <w:r>
        <w:rPr>
          <w:rFonts w:ascii="Times New Roman" w:hAnsi="Times New Roman" w:eastAsia="Times New Roman" w:cs="Times New Roman"/>
          <w:color w:val="000000"/>
          <w:sz w:val="24"/>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i/>
          <w:color w:val="000000"/>
          <w:sz w:val="24"/>
        </w:rPr>
        <w:t xml:space="preserve">Phương pháp chi phí thay thế:</w:t>
      </w:r>
      <w:r>
        <w:rPr>
          <w:rFonts w:ascii="Times New Roman" w:hAnsi="Times New Roman" w:eastAsia="Times New Roman" w:cs="Times New Roman"/>
          <w:color w:val="000000"/>
          <w:sz w:val="24"/>
        </w:rPr>
        <w:t xml:space="preserve">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w:t>
      </w: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sz w:val="24"/>
        </w:rPr>
      </w:r>
      <w:r/>
    </w:p>
    <w:p>
      <w:pPr>
        <w:pStyle w:val="1027"/>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27"/>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27"/>
        <w:numPr>
          <w:ilvl w:val="0"/>
          <w:numId w:val="3"/>
        </w:numPr>
        <w:pBdr/>
        <w:spacing w:after="120" w:before="120" w:line="276" w:lineRule="auto"/>
        <w:ind/>
        <w:jc w:val="both"/>
        <w:rPr>
          <w:color w:val="000000" w:themeColor="text1"/>
        </w:rPr>
      </w:pPr>
      <w:r>
        <w:rPr>
          <w:color w:val="000000" w:themeColor="text1"/>
          <w:spacing w:val="-4"/>
          <w:lang w:val="pt-BR"/>
        </w:rPr>
        <w:t xml:space="preserve">Đối với công trình xây dựng gắn liền trên đất, tại thời điểm thẩm định giá, qua thu thập thông tin từ thị trường, Tổ thẩm định nh</w:t>
      </w:r>
      <w:r>
        <w:rPr>
          <w:color w:val="000000" w:themeColor="text1"/>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color w:val="000000" w:themeColor="text1"/>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color w:val="000000" w:themeColor="text1"/>
          <w:spacing w:val="-4"/>
          <w:lang w:val="pt-BR"/>
        </w:rPr>
        <w:t xml:space="preserve">tài sản so sánh và </w:t>
      </w:r>
      <w:r>
        <w:rPr>
          <w:color w:val="000000" w:themeColor="text1"/>
          <w:spacing w:val="-4"/>
          <w:lang w:val="pt-BR"/>
        </w:rPr>
        <w:t xml:space="preserve">tài sản thẩm định</w:t>
      </w:r>
      <w:r>
        <w:rPr>
          <w:color w:val="000000" w:themeColor="text1"/>
          <w:spacing w:val="-2"/>
          <w:lang w:val="pt-BR"/>
        </w:rPr>
        <w:t xml:space="preserve">.</w:t>
      </w:r>
      <w:r>
        <w:rPr>
          <w:color w:val="000000" w:themeColor="text1"/>
        </w:rPr>
      </w:r>
      <w:r>
        <w:rPr>
          <w:color w:val="000000" w:themeColor="text1"/>
        </w:rPr>
      </w:r>
    </w:p>
    <w:p>
      <w:pPr>
        <w:pStyle w:val="1027"/>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27"/>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27"/>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color w:val="000000" w:themeColor="text1"/>
        </w:rPr>
      </w:r>
      <w:r>
        <w:rPr>
          <w:bCs/>
          <w:color w:val="000000" w:themeColor="text1"/>
        </w:rPr>
      </w:r>
    </w:p>
    <w:p>
      <w:pPr>
        <w:pStyle w:val="1027"/>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423"/>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Hòa Xuân, Thành phố Đà Nẵng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Hòa Xuân, Thành phố Đà Nẵng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Hòa Xuân, Thành phố Đà Nẵng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Hòa Xuân, Thành phố Đà Nẵng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Người bán _ Khảo sát qua điện thoại &amp; website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Người bán _ Khảo sát qua điện thoại &amp; website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0935 089 368</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Anh Dương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0935 564 838</w:t>
            </w:r>
            <w:r>
              <w:rPr>
                <w:color w:val="000000" w:themeColor="text1"/>
                <w:sz w:val="22"/>
                <w:szCs w:val="22"/>
              </w:rPr>
              <w:br/>
            </w:r>
            <w:r>
              <w:rPr>
                <w:color w:val="000000" w:themeColor="text1"/>
                <w:sz w:val="22"/>
                <w:szCs w:val="22"/>
              </w:rPr>
              <w:t xml:space="preserve">(</w:t>
            </w:r>
            <w:r>
              <w:rPr>
                <w:color w:val="000000" w:themeColor="text1"/>
                <w:sz w:val="22"/>
                <w:szCs w:val="22"/>
              </w:rPr>
              <w:t xml:space="preserve">Chị Nhi</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0903888843</w:t>
            </w:r>
            <w:r>
              <w:rPr>
                <w:color w:val="000000" w:themeColor="text1"/>
                <w:sz w:val="22"/>
                <w:szCs w:val="22"/>
              </w:rPr>
              <w:br/>
            </w:r>
            <w:r>
              <w:rPr>
                <w:color w:val="000000" w:themeColor="text1"/>
                <w:sz w:val="22"/>
                <w:szCs w:val="22"/>
              </w:rPr>
              <w:t xml:space="preserve">(</w:t>
            </w:r>
            <w:r>
              <w:rPr>
                <w:color w:val="000000" w:themeColor="text1"/>
                <w:sz w:val="22"/>
                <w:szCs w:val="22"/>
              </w:rPr>
              <w:t xml:space="preserve">Khiết</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07/2026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07/2026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07/2026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Phường Hòa Xuân, Thành phố Đà Nẵng, tài sản tiếp giáp đường Lê Sỹ</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Phường Hòa Xuân, Thành phố Đà Nẵng, tài sản tiếp giáp đường Lê Sỹ</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Phường Hòa Xuân, Thành phố Đà Nẵng, tài sản tiếp giáp đường Lê Sỹ</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Phường Hòa Xuân, Thành phố Đà Nẵng, tài sản tiếp giáp đường Lê Sỹ</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117,5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115,5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101,1</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góc 2 mặt đường, phố</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552"/>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Bất lợi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552"/>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w:t>
            </w:r>
            <w:r>
              <w:rPr>
                <w:color w:val="000000" w:themeColor="text1"/>
                <w:sz w:val="22"/>
                <w:szCs w:val="22"/>
              </w:rPr>
              <w:t xml:space="preserve">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8.300.000.000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8.200.000.000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7.470.000.000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7.200.000.000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7.380.000.000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7.470.000.000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7.200.000.000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7.380.000.000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63.574.468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62.337.662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72.997.033</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dựa trên ba tài sản so sánh tương đồng với tài sản thẩm định giá, Tổ thẩm định phân tích các </w:t>
      </w:r>
      <w:r>
        <w:rPr>
          <w:color w:val="000000" w:themeColor="text1"/>
          <w:lang w:val="it-IT"/>
        </w:rPr>
        <w:t xml:space="preserve">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27"/>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7.470.000.000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7.200.000.000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7.380.000.000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63.574.468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62.337.662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72.997.033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63.574.468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62.337.662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72.997.033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63.574.468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62.337.662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72.997.033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Hòa Xuân, Thành phố Đà Nẵng, tài sản tiếp giáp đường Lê Sỹ</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Hòa Xuân, Thành phố Đà Nẵng, tài sản tiếp giáp đường Lê Sỹ</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Hòa Xuân, Thành phố Đà Nẵng, tài sản tiếp giáp đường Lê Sỹ</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Hòa Xuân, Thành phố Đà Nẵng, tài sản tiếp giáp đường Lê Sỹ</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63.574.468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62.337.662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72.997.033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63.574.468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62.337.662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72.997.033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Cơ sở hạ tầng kỹ thuật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63.574.468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62.337.662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72.997.033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189</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117,5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115,5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101,1</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-5.721.702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-5.610.390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-8.759.644</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57.852.766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56.727.272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64.237.389</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8,3</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3.178.723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3.116.883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3.649.852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61.031.489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59.844.155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67.887.241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góc 2 mặt đường, phố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6.357.447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6.233.766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7.299.703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67.388.936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66.077.921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75.186.944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67.388.936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66.077.921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75.186.944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67.388.936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66.077.921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75.186.944</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69.551.267</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-3,11%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-4,99%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15.257.872</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14.961.039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19.709.199</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3.814.468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3.740.259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2.189.911</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từ </w:t>
      </w:r>
      <w:r>
        <w:rPr>
          <w:color w:val="000000" w:themeColor="text1"/>
        </w:rPr>
        <w:t xml:space="preserve"> </w:t>
      </w:r>
      <w:r>
        <w:rPr>
          <w:color w:val="000000" w:themeColor="text1"/>
        </w:rPr>
        <w:t xml:space="preserve">-4.99</w:t>
      </w:r>
      <w:r>
        <w:rPr>
          <w:color w:val="000000" w:themeColor="text1"/>
        </w:rPr>
        <w:t xml:space="preserve">% đến </w:t>
      </w:r>
      <w:r>
        <w:rPr>
          <w:color w:val="000000" w:themeColor="text1"/>
        </w:rPr>
        <w:t xml:space="preserve">8.1</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67.388.936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22.467.471</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66.077.921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22.023.771</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75.186.944</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25.059.808</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69.551.050</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69.600.000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69.600.000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7"/>
        <w:numPr>
          <w:ilvl w:val="0"/>
          <w:numId w:val="26"/>
        </w:numPr>
        <w:pBdr/>
        <w:spacing w:after="120" w:before="120" w:line="276" w:lineRule="auto"/>
        <w:ind w:hanging="357" w:left="357"/>
        <w:jc w:val="both"/>
        <w:rPr>
          <w:b/>
          <w:bCs/>
          <w:color w:val="000000" w:themeColor="text1"/>
        </w:rPr>
      </w:pPr>
      <w:r>
        <w:rPr>
          <w:b/>
          <w:bCs/>
          <w:color w:val="000000" w:themeColor="text1"/>
        </w:rPr>
        <w:t xml:space="preserve">Xác định giá trị tài sản gắn liền với đất</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4"/>
        </w:rPr>
        <w:t xml:space="preserve">Qua tham khảo thị trường về đơn giá xây dựng mới đối với công trình Nhà 03 tầng, cân nhắc và  xem xét với mức độ hoàn thiện của công trình xây dựng hiện có, Tổ thẩm định nhận thấy đơn giá  vận dụng theo Quyết định số 425/QĐ-BXD ngày 30/03/2026 của Bộ Xây d</w:t>
      </w:r>
      <w:r>
        <w:rPr>
          <w:rFonts w:ascii="Times New Roman" w:hAnsi="Times New Roman" w:eastAsia="Times New Roman" w:cs="Times New Roman"/>
          <w:color w:val="000000" w:themeColor="text1"/>
          <w:sz w:val="24"/>
        </w:rPr>
        <w:t xml:space="preserve">ựng về việc Công bố suất vốn đầu tư xây dựng công trình và giá xây dựng tổng hợp bộ phận kết cấu công trình năm 2025 là  khá phù hợp v</w:t>
      </w:r>
      <w:r>
        <w:rPr>
          <w:rFonts w:ascii="Times New Roman" w:hAnsi="Times New Roman" w:eastAsia="Times New Roman" w:cs="Times New Roman"/>
          <w:color w:val="000000" w:themeColor="text1"/>
          <w:sz w:val="24"/>
          <w:szCs w:val="24"/>
        </w:rPr>
        <w:t xml:space="preserve">ới thị trường, theo đó:  </w:t>
      </w:r>
      <w:r>
        <w:rPr>
          <w:rFonts w:ascii="Times New Roman" w:hAnsi="Times New Roman" w:cs="Times New Roman"/>
          <w:color w:val="000000" w:themeColor="text1"/>
          <w:szCs w:val="24"/>
        </w:rPr>
      </w:r>
      <w:r>
        <w:rPr>
          <w:rFonts w:ascii="Times New Roman" w:hAnsi="Times New Roman" w:cs="Times New Roman"/>
          <w:color w:val="000000" w:themeColor="text1"/>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i/>
          <w:color w:val="000000" w:themeColor="text1"/>
          <w:sz w:val="24"/>
          <w:szCs w:val="24"/>
        </w:rPr>
        <w:t xml:space="preserve">“Suất vốn đ</w:t>
      </w:r>
      <w:r>
        <w:rPr>
          <w:rFonts w:ascii="Times New Roman" w:hAnsi="Times New Roman" w:eastAsia="Times New Roman" w:cs="Times New Roman"/>
          <w:i/>
          <w:iCs/>
          <w:color w:val="000000" w:themeColor="text1"/>
          <w:sz w:val="24"/>
          <w:szCs w:val="24"/>
        </w:rPr>
        <w:t xml:space="preserve">ầu tư </w:t>
      </w:r>
      <w:r>
        <w:rPr>
          <w:rFonts w:ascii="Times New Roman" w:hAnsi="Times New Roman" w:eastAsia="Times New Roman" w:cs="Times New Roman"/>
          <w:i/>
          <w:iCs/>
          <w:color w:val="000000" w:themeColor="text1"/>
          <w:sz w:val="24"/>
          <w:szCs w:val="24"/>
          <w:highlight w:val="white"/>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i/>
          <w:iCs/>
          <w:color w:val="000000" w:themeColor="text1"/>
          <w:sz w:val="24"/>
          <w:szCs w:val="24"/>
        </w:rPr>
        <w:t xml:space="preserve"> c</w:t>
      </w:r>
      <w:r>
        <w:rPr>
          <w:rFonts w:ascii="Times New Roman" w:hAnsi="Times New Roman" w:eastAsia="Times New Roman" w:cs="Times New Roman"/>
          <w:i/>
          <w:iCs/>
          <w:color w:val="000000" w:themeColor="text1"/>
          <w:sz w:val="24"/>
        </w:rPr>
        <w:t xml:space="preserve">ó đ</w:t>
      </w:r>
      <w:r>
        <w:rPr>
          <w:rFonts w:ascii="Times New Roman" w:hAnsi="Times New Roman" w:eastAsia="Times New Roman" w:cs="Times New Roman"/>
          <w:i/>
          <w:color w:val="000000" w:themeColor="text1"/>
          <w:sz w:val="24"/>
        </w:rPr>
        <w:t xml:space="preserve">ơn giá là: 8.370.000 đồng/m².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i/>
          <w:color w:val="000000" w:themeColor="text1"/>
          <w:sz w:val="24"/>
        </w:rPr>
        <w:t xml:space="preserve">Hệ số điều chỉnh vùng cho Suất vốn đầu tư: Thành phố Đà Nẵng thuộc vùng 3 có hệ số điều chỉnh  là 1,032.”</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highlight w:val="none"/>
        </w:rPr>
      </w:pPr>
      <w:r>
        <w:rPr>
          <w:rFonts w:ascii="Times New Roman" w:hAnsi="Times New Roman" w:eastAsia="Times New Roman" w:cs="Times New Roman"/>
          <w:color w:val="000000" w:themeColor="text1"/>
          <w:sz w:val="24"/>
        </w:rPr>
        <w:t xml:space="preserve">Do đó, Tổ thẩm định xác định đơn giá xây mới của công trình xây dựng là: (Suất vốn đầu tư)  x (Hệ số vùng) = 8.370.000 x 1.032 = </w:t>
      </w:r>
      <w:r>
        <w:rPr>
          <w:rFonts w:ascii="Times New Roman" w:hAnsi="Times New Roman" w:eastAsia="Times New Roman" w:cs="Times New Roman"/>
          <w:b/>
          <w:color w:val="000000" w:themeColor="text1"/>
          <w:sz w:val="24"/>
        </w:rPr>
        <w:t xml:space="preserve">8.637.840 đồng/m². </w:t>
      </w:r>
      <w:r>
        <w:rPr>
          <w:color w:val="000000" w:themeColor="text1"/>
          <w:highlight w:val="none"/>
        </w:rPr>
      </w:r>
      <w:r>
        <w:rPr>
          <w:color w:val="000000" w:themeColor="text1"/>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color w:val="000000" w:themeColor="text1"/>
        </w:rPr>
      </w:pPr>
      <w:r>
        <w:rPr>
          <w:rFonts w:ascii="Times New Roman" w:hAnsi="Times New Roman" w:eastAsia="Times New Roman" w:cs="Times New Roman"/>
          <w:color w:val="000000" w:themeColor="text1"/>
          <w:spacing w:val="2"/>
          <w:sz w:val="24"/>
        </w:rPr>
        <w:t xml:space="preserve">Tại thời điểm khảo sát, công trình xây dựng trên đất có hiện trạng đang hoàn thiện, tham khảo thông tin thị trường, tổ thẩm định xác định tỉ lệ hoàn thiện khoảng 85%, tương ứng đơn giá xây mới của công trình hiện có là: 8.637.840 x 85% </w:t>
      </w:r>
      <w:r>
        <w:rPr>
          <w:rFonts w:ascii="Times New Roman" w:hAnsi="Times New Roman" w:eastAsia="Times New Roman" w:cs="Times New Roman"/>
          <w:b/>
          <w:color w:val="000000" w:themeColor="text1"/>
          <w:spacing w:val="2"/>
          <w:sz w:val="24"/>
        </w:rPr>
        <w:t xml:space="preserve">= </w:t>
      </w:r>
      <w:r>
        <w:rPr>
          <w:rFonts w:ascii="Times New Roman" w:hAnsi="Times New Roman" w:eastAsia="Times New Roman" w:cs="Times New Roman"/>
          <w:b/>
          <w:i/>
          <w:iCs/>
          <w:color w:val="000000" w:themeColor="text1"/>
          <w:spacing w:val="2"/>
          <w:sz w:val="24"/>
        </w:rPr>
        <w:t xml:space="preserve">7.342.164 </w:t>
      </w:r>
      <w:r>
        <w:rPr>
          <w:rFonts w:ascii="Times New Roman" w:hAnsi="Times New Roman" w:eastAsia="Times New Roman" w:cs="Times New Roman"/>
          <w:b/>
          <w:i/>
          <w:iCs/>
          <w:color w:val="000000" w:themeColor="text1"/>
          <w:sz w:val="24"/>
        </w:rPr>
        <w:t xml:space="preserve">đ</w:t>
      </w:r>
      <w:r>
        <w:rPr>
          <w:rFonts w:ascii="Times New Roman" w:hAnsi="Times New Roman" w:eastAsia="Times New Roman" w:cs="Times New Roman"/>
          <w:b/>
          <w:i/>
          <w:iCs/>
          <w:color w:val="000000" w:themeColor="text1"/>
          <w:spacing w:val="3"/>
          <w:sz w:val="24"/>
          <w:highlight w:val="white"/>
        </w:rPr>
        <w:t xml:space="preserve">ồng/m² sàn</w:t>
      </w:r>
      <w:r>
        <w:rPr>
          <w:rFonts w:ascii="Times New Roman" w:hAnsi="Times New Roman" w:eastAsia="Times New Roman" w:cs="Times New Roman"/>
          <w:b/>
          <w:color w:val="000000" w:themeColor="text1"/>
          <w:spacing w:val="3"/>
          <w:sz w:val="24"/>
          <w:highlight w:val="white"/>
        </w:rPr>
        <w:t xml:space="preserve">.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color w:val="000000" w:themeColor="text1"/>
          <w:sz w:val="24"/>
          <w:szCs w:val="24"/>
        </w:rPr>
      </w:pPr>
      <w:r>
        <w:rPr>
          <w:color w:val="000000" w:themeColor="text1"/>
          <w:highlight w:val="none"/>
        </w:rPr>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Qua khảo sát hiện trạng, dựa vào đặc điểm tài sản và tham khảo ý kiến các chuyên giá về xây  dựng, Tổ thẩm định đánh giá chất lượng còn lại của công trình xây dựng theo Văn bản số 1326/BXD QLN do Bộ Xây dựng ban hành ngày 08/8/2011 về việc hướng dẫn kiểm k</w:t>
      </w:r>
      <w:r>
        <w:rPr>
          <w:rFonts w:ascii="Times New Roman" w:hAnsi="Times New Roman" w:eastAsia="Times New Roman" w:cs="Times New Roman"/>
          <w:color w:val="000000" w:themeColor="text1"/>
          <w:sz w:val="24"/>
        </w:rPr>
        <w:t xml:space="preserve">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nề</w:t>
      </w:r>
      <w:r>
        <w:rPr>
          <w:rFonts w:ascii="Times New Roman" w:hAnsi="Times New Roman" w:eastAsia="Times New Roman" w:cs="Times New Roman"/>
          <w:color w:val="000000" w:themeColor="text1"/>
          <w:sz w:val="24"/>
        </w:rPr>
        <w:t xml:space="preserve">n, sàn, kết cấu đỡ mái và mái) tạo nên nhà đó và tỷ lệ giá trị của các kết  cấu chính đó so với tổng giá trị của nhà hoặc vật kiến trúc.</w:t>
      </w:r>
      <w:r>
        <w:rPr>
          <w:color w:val="000000" w:themeColor="text1"/>
        </w:rPr>
      </w:r>
      <w:r>
        <w:rPr>
          <w:color w:val="000000" w:themeColor="text1"/>
        </w:rPr>
      </w:r>
    </w:p>
    <w:tbl>
      <w:tblPr>
        <w:tblStyle w:val="1031"/>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47"/>
        <w:gridCol w:w="527"/>
        <w:gridCol w:w="659"/>
        <w:gridCol w:w="2696"/>
        <w:gridCol w:w="599"/>
        <w:gridCol w:w="2316"/>
      </w:tblGrid>
      <w:tr>
        <w:trPr>
          <w:trHeight w:val="20"/>
        </w:trPr>
        <w:tc>
          <w:tcPr>
            <w:tcBorders/>
            <w:tcMar>
              <w:left w:w="108" w:type="dxa"/>
              <w:top w:w="0" w:type="dxa"/>
              <w:right w:w="108" w:type="dxa"/>
              <w:bottom w:w="0" w:type="dxa"/>
            </w:tcMar>
            <w:tcW w:w="194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chất lượng còn lại của nhà, vật kiến trúc (%)</w:t>
            </w:r>
            <w:r>
              <w:rPr>
                <w:color w:val="000000" w:themeColor="text1"/>
              </w:rPr>
            </w:r>
            <w:r>
              <w:rPr>
                <w:color w:val="000000" w:themeColor="text1"/>
              </w:rPr>
            </w:r>
          </w:p>
        </w:tc>
        <w:tc>
          <w:tcPr>
            <w:tcBorders/>
            <w:tcMar>
              <w:left w:w="108" w:type="dxa"/>
              <w:top w:w="0" w:type="dxa"/>
              <w:right w:w="108" w:type="dxa"/>
              <w:bottom w:w="0" w:type="dxa"/>
            </w:tcMar>
            <w:tcW w:w="5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chất lượng còn lại của kết cấu chính thức i (%)</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5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x</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giá trị của kết cấu chính thứ i so với tổng giá trị của ngôi nhà hoặc vật kiến trúc (%)</w:t>
            </w:r>
            <w:r>
              <w:rPr>
                <w:color w:val="000000" w:themeColor="text1"/>
              </w:rPr>
            </w:r>
            <w:r>
              <w:rPr>
                <w:color w:val="000000" w:themeColor="text1"/>
              </w:rPr>
            </w:r>
          </w:p>
        </w:tc>
      </w:tr>
      <w:tr>
        <w:trPr>
          <w:trHeight w:val="20"/>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Tổng tỷ lệ giá trị của các kết cấu chính so với tổng giá trị của ngôi nhà hoặc vật kiến trúc (%)</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Trong đó: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i: số thứ tự của kết cấu chính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n: số các kết cấu chính. </w:t>
      </w:r>
      <w:r>
        <w:rPr>
          <w:color w:val="000000" w:themeColor="text1"/>
        </w:rPr>
      </w:r>
      <w:r>
        <w:rPr>
          <w:color w:val="000000" w:themeColor="text1"/>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3729"/>
        <w:gridCol w:w="2258"/>
        <w:gridCol w:w="1417"/>
        <w:gridCol w:w="1559"/>
      </w:tblGrid>
      <w:tr>
        <w:trPr>
          <w:trHeight w:val="936"/>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TÊN KẾT CẤU CHÍNH</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giá trị các kết cấu chính (%)</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chất lượng còn lại các kết cấu chính (%)</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giá trị còn lại các kết cấu chính (%)</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a</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b</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c</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d</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e = c x d/g</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Móng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13%</w:t>
            </w:r>
            <w:r>
              <w:rPr>
                <w:color w:val="000000" w:themeColor="text1"/>
              </w:rPr>
            </w:r>
            <w:r>
              <w:rPr>
                <w:color w:val="000000" w:themeColor="text1"/>
              </w:rPr>
            </w:r>
          </w:p>
        </w:tc>
      </w:tr>
      <w:tr>
        <w:trPr>
          <w:trHeight w:val="341"/>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Khung, cột</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Tường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19%</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Nền, sàn</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25%</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Kết cấu đỡ mái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19%</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Mái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Tổng cộng (g)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63%</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Tỷ lệ chất lượng còn lại: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100,0%</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b/>
          <w:i/>
          <w:color w:val="000000" w:themeColor="text1"/>
          <w:sz w:val="24"/>
        </w:rPr>
        <w:t xml:space="preserve">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Tổ thẩm định xác định Tỷ lệ chất lượng còn lại của tài sản thẩm định là: 100,0%, tương đương tỷ  lệ hao mòn của tài sản thẩm định là 0%</w:t>
      </w:r>
      <w:r>
        <w:rPr>
          <w:color w:val="000000" w:themeColor="text1"/>
        </w:rPr>
      </w:r>
      <w:r>
        <w:rPr>
          <w:color w:val="000000" w:themeColor="text1"/>
        </w:rPr>
      </w:r>
    </w:p>
    <w:p>
      <w:pPr>
        <w:pBdr/>
        <w:spacing w:after="120" w:before="120" w:line="276" w:lineRule="auto"/>
        <w:ind/>
        <w:jc w:val="both"/>
        <w:rPr>
          <w:b/>
          <w:bCs/>
          <w:color w:val="000000" w:themeColor="text1"/>
        </w:rPr>
      </w:pPr>
      <w:r>
        <w:rPr>
          <w:b/>
          <w:bCs/>
          <w:color w:val="000000" w:themeColor="text1"/>
          <w:highlight w:val="none"/>
        </w:rPr>
      </w:r>
      <w:r>
        <w:rPr>
          <w:b/>
          <w:bCs/>
          <w:color w:val="000000" w:themeColor="text1"/>
        </w:rPr>
      </w:r>
      <w:r>
        <w:rPr>
          <w:b/>
          <w:bCs/>
          <w:color w:val="000000" w:themeColor="text1"/>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Tài sản</w:t>
            </w:r>
            <w:r>
              <w:rPr>
                <w:b/>
                <w:bCs/>
                <w:color w:val="000000" w:themeColor="text1"/>
                <w:sz w:val="22"/>
                <w:szCs w:val="22"/>
              </w:rPr>
            </w:r>
            <w:r>
              <w:rPr>
                <w:b/>
                <w:bCs/>
                <w:color w:val="000000" w:themeColor="text1"/>
                <w:sz w:val="22"/>
                <w:szCs w:val="22"/>
              </w:rPr>
            </w:r>
          </w:p>
        </w:tc>
        <w:tc>
          <w:tcPr>
            <w:shd w:val="clear" w:color="000000" w:fill="ffffff"/>
            <w:tcBorders/>
            <w:tcW w:w="1275"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Diện tích sàn (m²)</w:t>
            </w:r>
            <w:r>
              <w:rPr>
                <w:b/>
                <w:bCs/>
                <w:color w:val="000000" w:themeColor="text1"/>
                <w:sz w:val="22"/>
                <w:szCs w:val="22"/>
              </w:rPr>
            </w:r>
            <w:r>
              <w:rPr>
                <w:b/>
                <w:bCs/>
                <w:color w:val="000000" w:themeColor="text1"/>
                <w:sz w:val="22"/>
                <w:szCs w:val="22"/>
              </w:rPr>
            </w:r>
          </w:p>
        </w:tc>
        <w:tc>
          <w:tcPr>
            <w:shd w:val="clear" w:color="000000" w:fill="ffffff"/>
            <w:tcBorders/>
            <w:tcW w:w="1560"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Đơn giá xây dựng mới (đồng/m² sàn)</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Chi phí thay thế (đồng)</w:t>
            </w:r>
            <w:r>
              <w:rPr>
                <w:b/>
                <w:bCs/>
                <w:color w:val="000000" w:themeColor="text1"/>
                <w:sz w:val="22"/>
                <w:szCs w:val="22"/>
              </w:rPr>
            </w:r>
            <w:r>
              <w:rPr>
                <w:b/>
                <w:bCs/>
                <w:color w:val="000000" w:themeColor="text1"/>
                <w:sz w:val="22"/>
                <w:szCs w:val="22"/>
              </w:rPr>
            </w:r>
          </w:p>
        </w:tc>
        <w:tc>
          <w:tcPr>
            <w:shd w:val="clear" w:color="000000" w:fill="ffffff"/>
            <w:tcBorders/>
            <w:tcW w:w="113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Tỷ lệ hao mòn (%)</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Giá trị hao mòn (đồng)</w:t>
            </w:r>
            <w:r>
              <w:rPr>
                <w:b/>
                <w:bCs/>
                <w:color w:val="000000" w:themeColor="text1"/>
                <w:sz w:val="22"/>
                <w:szCs w:val="22"/>
              </w:rPr>
            </w:r>
            <w:r>
              <w:rPr>
                <w:b/>
                <w:bCs/>
                <w:color w:val="000000" w:themeColor="text1"/>
                <w:sz w:val="22"/>
                <w:szCs w:val="22"/>
              </w:rPr>
            </w:r>
          </w:p>
        </w:tc>
        <w:tc>
          <w:tcPr>
            <w:shd w:val="clear" w:color="000000" w:fill="ffffff"/>
            <w:tcBorders/>
            <w:tcW w:w="1968"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Giá trị thẩm định tại thời điểm thẩm định giá (đồng)</w:t>
            </w:r>
            <w:r>
              <w:rPr>
                <w:b/>
                <w:bCs/>
                <w:color w:val="000000" w:themeColor="text1"/>
                <w:sz w:val="22"/>
                <w:szCs w:val="22"/>
              </w:rPr>
            </w:r>
            <w:r>
              <w:rPr>
                <w:b/>
                <w:bCs/>
                <w:color w:val="000000" w:themeColor="text1"/>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shd w:val="clear" w:color="000000" w:fill="ffffff"/>
            <w:tcBorders/>
            <w:tcW w:w="1275"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shd w:val="clear" w:color="000000" w:fill="ffffff"/>
            <w:tcBorders/>
            <w:tcW w:w="1560"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shd w:val="clear" w:color="000000" w:fill="ffffff"/>
            <w:tcBorders/>
            <w:tcW w:w="1701"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(4) = (2) * (3)</w:t>
            </w:r>
            <w:r>
              <w:rPr>
                <w:b/>
                <w:bCs/>
                <w:color w:val="000000" w:themeColor="text1"/>
                <w:sz w:val="22"/>
                <w:szCs w:val="22"/>
              </w:rPr>
            </w:r>
            <w:r>
              <w:rPr>
                <w:b/>
                <w:bCs/>
                <w:color w:val="000000" w:themeColor="text1"/>
                <w:sz w:val="22"/>
                <w:szCs w:val="22"/>
              </w:rPr>
            </w:r>
          </w:p>
        </w:tc>
        <w:tc>
          <w:tcPr>
            <w:shd w:val="clear" w:color="000000" w:fill="ffffff"/>
            <w:tcBorders/>
            <w:tcW w:w="113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w:t>
            </w:r>
            <w:r>
              <w:rPr>
                <w:b/>
                <w:bCs/>
                <w:color w:val="000000" w:themeColor="text1"/>
                <w:sz w:val="22"/>
                <w:szCs w:val="22"/>
              </w:rPr>
              <w:t xml:space="preserve">6</w:t>
            </w:r>
            <w:r>
              <w:rPr>
                <w:b/>
                <w:bCs/>
                <w:color w:val="000000" w:themeColor="text1"/>
                <w:sz w:val="22"/>
                <w:szCs w:val="22"/>
              </w:rPr>
              <w:t xml:space="preserve">)</w:t>
            </w:r>
            <w:r>
              <w:rPr>
                <w:b/>
                <w:bCs/>
                <w:color w:val="000000" w:themeColor="text1"/>
                <w:sz w:val="22"/>
                <w:szCs w:val="22"/>
              </w:rPr>
              <w:t xml:space="preserve">=(4)*(5)</w:t>
            </w:r>
            <w:r>
              <w:rPr>
                <w:b/>
                <w:bCs/>
                <w:color w:val="000000" w:themeColor="text1"/>
                <w:sz w:val="22"/>
                <w:szCs w:val="22"/>
              </w:rPr>
            </w:r>
            <w:r>
              <w:rPr>
                <w:b/>
                <w:bCs/>
                <w:color w:val="000000" w:themeColor="text1"/>
                <w:sz w:val="22"/>
                <w:szCs w:val="22"/>
              </w:rPr>
            </w:r>
          </w:p>
        </w:tc>
        <w:tc>
          <w:tcPr>
            <w:shd w:val="clear" w:color="000000" w:fill="ffffff"/>
            <w:tcBorders/>
            <w:tcW w:w="1968"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w:t>
            </w:r>
            <w:r>
              <w:rPr>
                <w:b/>
                <w:bCs/>
                <w:color w:val="000000" w:themeColor="text1"/>
                <w:sz w:val="22"/>
                <w:szCs w:val="22"/>
              </w:rPr>
              <w:t xml:space="preserve">7</w:t>
            </w:r>
            <w:r>
              <w:rPr>
                <w:b/>
                <w:bCs/>
                <w:color w:val="000000" w:themeColor="text1"/>
                <w:sz w:val="22"/>
                <w:szCs w:val="22"/>
              </w:rPr>
              <w:t xml:space="preserve">) = (4) - (</w:t>
            </w:r>
            <w:r>
              <w:rPr>
                <w:b/>
                <w:bCs/>
                <w:color w:val="000000" w:themeColor="text1"/>
                <w:sz w:val="22"/>
                <w:szCs w:val="22"/>
              </w:rPr>
              <w:t xml:space="preserve">6</w:t>
            </w:r>
            <w:r>
              <w:rPr>
                <w:b/>
                <w:bCs/>
                <w:color w:val="000000" w:themeColor="text1"/>
                <w:sz w:val="22"/>
                <w:szCs w:val="22"/>
              </w:rPr>
              <w:t xml:space="preserve">)</w:t>
            </w:r>
            <w:r>
              <w:rPr>
                <w:b/>
                <w:bCs/>
                <w:color w:val="000000" w:themeColor="text1"/>
                <w:sz w:val="22"/>
                <w:szCs w:val="22"/>
              </w:rPr>
            </w:r>
            <w:r>
              <w:rPr>
                <w:b/>
                <w:bCs/>
                <w:color w:val="000000" w:themeColor="text1"/>
                <w:sz w:val="22"/>
                <w:szCs w:val="22"/>
              </w:rPr>
            </w:r>
          </w:p>
        </w:tc>
      </w:tr>
      <w:tr>
        <w:trPr>
          <w:trHeight w:val="312"/>
        </w:trPr>
        <w:tc>
          <w:tcPr>
            <w:tcBorders/>
            <w:tcW w:w="1418"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Nhà 3 tầng</w:t>
            </w:r>
            <w:r>
              <w:rPr>
                <w:color w:val="000000" w:themeColor="text1"/>
                <w:sz w:val="22"/>
                <w:szCs w:val="22"/>
              </w:rPr>
            </w:r>
            <w:r>
              <w:rPr>
                <w:color w:val="000000" w:themeColor="text1"/>
                <w:sz w:val="22"/>
                <w:szCs w:val="22"/>
              </w:rPr>
            </w:r>
          </w:p>
        </w:tc>
        <w:tc>
          <w:tcPr>
            <w:tcBorders/>
            <w:tcW w:w="1275"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567</w:t>
            </w:r>
            <w:r>
              <w:rPr>
                <w:color w:val="000000" w:themeColor="text1"/>
                <w:sz w:val="22"/>
                <w:szCs w:val="22"/>
              </w:rPr>
            </w:r>
            <w:r>
              <w:rPr>
                <w:color w:val="000000" w:themeColor="text1"/>
                <w:sz w:val="22"/>
                <w:szCs w:val="22"/>
              </w:rPr>
            </w:r>
          </w:p>
        </w:tc>
        <w:tc>
          <w:tcPr>
            <w:tcBorders/>
            <w:tcW w:w="1560"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7.342.164</w:t>
            </w:r>
            <w:r>
              <w:rPr>
                <w:color w:val="000000" w:themeColor="text1"/>
                <w:sz w:val="22"/>
                <w:szCs w:val="22"/>
              </w:rPr>
            </w:r>
            <w:r>
              <w:rPr>
                <w:color w:val="000000" w:themeColor="text1"/>
                <w:sz w:val="22"/>
                <w:szCs w:val="22"/>
              </w:rPr>
            </w:r>
          </w:p>
        </w:tc>
        <w:tc>
          <w:tcPr>
            <w:tcBorders/>
            <w:tcW w:w="1701"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4.163.006.988</w:t>
            </w:r>
            <w:r>
              <w:rPr>
                <w:color w:val="000000" w:themeColor="text1"/>
                <w:sz w:val="22"/>
                <w:szCs w:val="22"/>
              </w:rPr>
            </w:r>
            <w:r>
              <w:rPr>
                <w:color w:val="000000" w:themeColor="text1"/>
                <w:sz w:val="22"/>
                <w:szCs w:val="22"/>
              </w:rPr>
            </w:r>
          </w:p>
        </w:tc>
        <w:tc>
          <w:tcPr>
            <w:tcBorders/>
            <w:tcW w:w="1139"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cW w:w="1559"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cW w:w="1968"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4.163.006.988</w:t>
            </w:r>
            <w:r>
              <w:rPr>
                <w:color w:val="000000" w:themeColor="text1"/>
                <w:sz w:val="22"/>
                <w:szCs w:val="22"/>
              </w:rPr>
            </w:r>
            <w:r>
              <w:rPr>
                <w:color w:val="000000" w:themeColor="text1"/>
                <w:sz w:val="22"/>
                <w:szCs w:val="22"/>
              </w:rPr>
            </w:r>
          </w:p>
        </w:tc>
      </w:tr>
    </w:tbl>
    <w:p>
      <w:pPr>
        <w:pStyle w:val="1027"/>
        <w:pBdr/>
        <w:spacing w:after="120" w:before="120" w:line="276" w:lineRule="auto"/>
        <w:ind w:left="357"/>
        <w:jc w:val="both"/>
        <w:rPr>
          <w:b/>
          <w:color w:val="000000" w:themeColor="text1"/>
        </w:rPr>
      </w:pPr>
      <w:r>
        <w:rPr>
          <w:b/>
          <w:color w:val="000000" w:themeColor="text1"/>
          <w:lang w:val="pt-BR"/>
        </w:rPr>
      </w:r>
      <w:r>
        <w:rPr>
          <w:b/>
          <w:color w:val="000000" w:themeColor="text1"/>
        </w:rPr>
      </w:r>
      <w:r>
        <w:rPr>
          <w:b/>
          <w:color w:val="000000" w:themeColor="text1"/>
        </w:rPr>
      </w:r>
    </w:p>
    <w:p>
      <w:pPr>
        <w:pStyle w:val="1027"/>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27"/>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lang w:val="pt-BR"/>
        </w:rPr>
        <w:t xml:space="preserve">Tháng 07/2026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0"/>
        <w:gridCol w:w="2112"/>
        <w:gridCol w:w="1701"/>
        <w:gridCol w:w="1559"/>
        <w:gridCol w:w="1417"/>
        <w:gridCol w:w="1985"/>
      </w:tblGrid>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11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70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155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417" w:type="dxa"/>
            <w:vAlign w:val="center"/>
            <w:textDirection w:val="lrTb"/>
            <w:noWrap w:val="false"/>
          </w:tcPr>
          <w:p>
            <w:pPr>
              <w:pBdr/>
              <w:spacing/>
              <w:ind/>
              <w:jc w:val="center"/>
              <w:rPr>
                <w:b/>
                <w:bCs/>
                <w:color w:val="000000" w:themeColor="text1"/>
              </w:rPr>
            </w:pPr>
            <w:r>
              <w:rPr>
                <w:b/>
                <w:bCs/>
                <w:color w:val="000000" w:themeColor="text1"/>
              </w:rPr>
              <w:t xml:space="preserve">Tỷ lệ CLCL (%)</w:t>
            </w:r>
            <w:r>
              <w:rPr>
                <w:b/>
                <w:bCs/>
                <w:color w:val="000000" w:themeColor="text1"/>
              </w:rPr>
            </w:r>
            <w:r>
              <w:rPr>
                <w:b/>
                <w:bCs/>
                <w:color w:val="000000" w:themeColor="text1"/>
              </w:rPr>
            </w:r>
          </w:p>
        </w:tc>
        <w:tc>
          <w:tcPr>
            <w:shd w:val="clear" w:color="000000" w:fill="ffffff"/>
            <w:tcBorders/>
            <w:tcW w:w="198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4"/>
            <w:shd w:val="clear" w:color="000000" w:fill="ffffff"/>
            <w:tcBorders/>
            <w:tcW w:w="6790"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w:t>
            </w:r>
            <w:r>
              <w:rPr>
                <w:b w:val="0"/>
                <w:bCs w:val="0"/>
                <w:color w:val="000000" w:themeColor="text1"/>
                <w:lang w:val="pt-BR"/>
              </w:rPr>
              <w:t xml:space="preserve">và tài sản gắn liền với đất</w:t>
            </w:r>
            <w:r>
              <w:rPr>
                <w:color w:val="000000" w:themeColor="text1"/>
              </w:rPr>
              <w:t xml:space="preserve"> tại thửa đất số: 93, tờ bản đồ số: 66, có địa chỉ: Lô 20-B1.125, Khu Đô thị sinh thái ven sông Hòa Xuân-giai đoạn 2, phường Hòa </w:t>
            </w:r>
            <w:r>
              <w:rPr>
                <w:color w:val="000000" w:themeColor="text1"/>
              </w:rPr>
              <w:t xml:space="preserve">Xuân, thành phố Đà Nẵng, theo Giấy chứng nhận quyền sử dụng đất, quyền sở hữu tài sản gắn liền với đất số: AA 04565232 do Văn phòng đăng ký đất đai thành phố Đà Nẵng cấp ngày 03/10/2025; Chủ sử dụng đất là ông: Nguyễn Thái Nguyện và vợ: bà Lê Thị Minh Châu</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1985"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1</w:t>
            </w:r>
            <w:r>
              <w:rPr>
                <w:color w:val="000000" w:themeColor="text1"/>
              </w:rPr>
            </w:r>
            <w:r>
              <w:rPr>
                <w:color w:val="000000" w:themeColor="text1"/>
              </w:rPr>
            </w:r>
          </w:p>
        </w:tc>
        <w:tc>
          <w:tcPr>
            <w:shd w:val="clear" w:color="000000" w:fill="ffffff"/>
            <w:tcBorders/>
            <w:tcW w:w="2112" w:type="dxa"/>
            <w:vAlign w:val="center"/>
            <w:textDirection w:val="lrTb"/>
            <w:noWrap w:val="false"/>
          </w:tcPr>
          <w:p>
            <w:pPr>
              <w:pBdr/>
              <w:spacing w:after="40" w:before="40" w:line="288" w:lineRule="auto"/>
              <w:ind/>
              <w:rPr>
                <w:color w:val="000000" w:themeColor="text1"/>
              </w:rPr>
            </w:pPr>
            <w:r>
              <w:rPr>
                <w:b/>
                <w:bCs/>
                <w:color w:val="000000" w:themeColor="text1"/>
              </w:rPr>
              <w:t xml:space="preserve">Đất ở tại đô thị</w:t>
            </w:r>
            <w:r>
              <w:rPr>
                <w:color w:val="000000" w:themeColor="text1"/>
              </w:rPr>
            </w:r>
            <w:r>
              <w:rPr>
                <w:color w:val="000000" w:themeColor="text1"/>
              </w:rPr>
            </w:r>
          </w:p>
        </w:tc>
        <w:tc>
          <w:tcPr>
            <w:tcBorders/>
            <w:tcW w:w="1701" w:type="dxa"/>
            <w:vAlign w:val="center"/>
            <w:textDirection w:val="lrTb"/>
            <w:noWrap/>
          </w:tcPr>
          <w:p>
            <w:pPr>
              <w:pBdr/>
              <w:spacing w:after="40" w:before="40" w:line="288" w:lineRule="auto"/>
              <w:ind/>
              <w:jc w:val="center"/>
              <w:rPr>
                <w:color w:val="000000" w:themeColor="text1"/>
              </w:rPr>
            </w:pPr>
            <w:r>
              <w:rPr>
                <w:color w:val="000000" w:themeColor="text1"/>
              </w:rPr>
              <w:t xml:space="preserve">189,0</w:t>
            </w:r>
            <w:r>
              <w:rPr>
                <w:color w:val="000000" w:themeColor="text1"/>
              </w:rPr>
            </w:r>
            <w:r>
              <w:rPr>
                <w:color w:val="000000" w:themeColor="text1"/>
              </w:rPr>
            </w:r>
          </w:p>
        </w:tc>
        <w:tc>
          <w:tcPr>
            <w:shd w:val="clear" w:color="000000" w:fill="ffffff"/>
            <w:tcBorders/>
            <w:tcW w:w="1559" w:type="dxa"/>
            <w:vAlign w:val="center"/>
            <w:textDirection w:val="lrTb"/>
            <w:noWrap w:val="false"/>
          </w:tcPr>
          <w:p>
            <w:pPr>
              <w:pBdr/>
              <w:spacing w:after="40" w:before="40" w:line="288" w:lineRule="auto"/>
              <w:ind/>
              <w:jc w:val="center"/>
              <w:rPr>
                <w:color w:val="000000" w:themeColor="text1"/>
              </w:rPr>
            </w:pPr>
            <w:r>
              <w:rPr>
                <w:color w:val="000000" w:themeColor="text1"/>
              </w:rPr>
              <w:t xml:space="preserve">69.600.000</w:t>
            </w:r>
            <w:r>
              <w:rPr>
                <w:color w:val="000000" w:themeColor="text1"/>
              </w:rPr>
            </w:r>
            <w:r>
              <w:rPr>
                <w:color w:val="000000" w:themeColor="text1"/>
              </w:rPr>
            </w:r>
          </w:p>
        </w:tc>
        <w:tc>
          <w:tcPr>
            <w:shd w:val="clear" w:color="000000" w:fill="ffffff"/>
            <w:tcBorders/>
            <w:tcW w:w="141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985"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13.154.400.000</w:t>
            </w:r>
            <w:r>
              <w:rPr>
                <w:color w:val="000000" w:themeColor="text1"/>
              </w:rPr>
            </w:r>
            <w:r>
              <w:rPr>
                <w:color w:val="000000" w:themeColor="text1"/>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2</w:t>
            </w:r>
            <w:r>
              <w:rPr>
                <w:color w:val="000000" w:themeColor="text1"/>
              </w:rPr>
            </w:r>
            <w:r>
              <w:rPr>
                <w:color w:val="000000" w:themeColor="text1"/>
              </w:rPr>
            </w:r>
          </w:p>
        </w:tc>
        <w:tc>
          <w:tcPr>
            <w:shd w:val="clear" w:color="000000" w:fill="ffffff"/>
            <w:tcBorders/>
            <w:tcW w:w="2112" w:type="dxa"/>
            <w:vAlign w:val="center"/>
            <w:textDirection w:val="lrTb"/>
            <w:noWrap w:val="false"/>
          </w:tcPr>
          <w:p>
            <w:pPr>
              <w:pBdr/>
              <w:spacing w:after="40" w:before="40" w:line="288" w:lineRule="auto"/>
              <w:ind/>
              <w:rPr>
                <w:color w:val="000000" w:themeColor="text1"/>
              </w:rPr>
            </w:pPr>
            <w:r>
              <w:rPr>
                <w:b/>
                <w:bCs/>
                <w:color w:val="000000" w:themeColor="text1"/>
              </w:rPr>
              <w:t xml:space="preserve">Nhà ở riêng lẻ</w:t>
            </w:r>
            <w:r>
              <w:rPr>
                <w:color w:val="000000" w:themeColor="text1"/>
              </w:rPr>
            </w:r>
            <w:r>
              <w:rPr>
                <w:color w:val="000000" w:themeColor="text1"/>
              </w:rPr>
            </w:r>
          </w:p>
        </w:tc>
        <w:tc>
          <w:tcPr>
            <w:tcBorders/>
            <w:tcW w:w="1701" w:type="dxa"/>
            <w:vAlign w:val="center"/>
            <w:textDirection w:val="lrTb"/>
            <w:noWrap/>
          </w:tcPr>
          <w:p>
            <w:pPr>
              <w:pBdr/>
              <w:spacing w:after="40" w:before="40" w:line="288" w:lineRule="auto"/>
              <w:ind/>
              <w:jc w:val="center"/>
              <w:rPr>
                <w:color w:val="000000" w:themeColor="text1"/>
              </w:rPr>
            </w:pPr>
            <w:r>
              <w:rPr>
                <w:color w:val="000000" w:themeColor="text1"/>
              </w:rPr>
              <w:t xml:space="preserve">567,0</w:t>
            </w:r>
            <w:r>
              <w:rPr>
                <w:color w:val="000000" w:themeColor="text1"/>
              </w:rPr>
            </w:r>
            <w:r>
              <w:rPr>
                <w:color w:val="000000" w:themeColor="text1"/>
              </w:rPr>
            </w:r>
          </w:p>
        </w:tc>
        <w:tc>
          <w:tcPr>
            <w:shd w:val="clear" w:color="000000" w:fill="ffffff"/>
            <w:tcBorders/>
            <w:tcW w:w="1559" w:type="dxa"/>
            <w:vAlign w:val="center"/>
            <w:textDirection w:val="lrTb"/>
            <w:noWrap w:val="false"/>
          </w:tcPr>
          <w:p>
            <w:pPr>
              <w:pBdr/>
              <w:spacing w:after="40" w:before="40" w:line="288" w:lineRule="auto"/>
              <w:ind/>
              <w:jc w:val="center"/>
              <w:rPr>
                <w:color w:val="000000" w:themeColor="text1"/>
              </w:rPr>
            </w:pPr>
            <w:r>
              <w:rPr>
                <w:color w:val="000000" w:themeColor="text1"/>
              </w:rPr>
              <w:t xml:space="preserve">7.342.164</w:t>
            </w:r>
            <w:r>
              <w:rPr>
                <w:color w:val="000000" w:themeColor="text1"/>
              </w:rPr>
            </w:r>
            <w:r>
              <w:rPr>
                <w:color w:val="000000" w:themeColor="text1"/>
              </w:rPr>
            </w:r>
          </w:p>
        </w:tc>
        <w:tc>
          <w:tcPr>
            <w:shd w:val="clear" w:color="000000" w:fill="ffffff"/>
            <w:tcBorders/>
            <w:tcW w:w="1417"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100%</w:t>
            </w:r>
            <w:r>
              <w:rPr>
                <w:color w:val="000000" w:themeColor="text1"/>
              </w:rPr>
            </w:r>
            <w:r>
              <w:rPr>
                <w:color w:val="000000" w:themeColor="text1"/>
              </w:rPr>
            </w:r>
          </w:p>
        </w:tc>
        <w:tc>
          <w:tcPr>
            <w:shd w:val="clear" w:color="000000" w:fill="ffffff"/>
            <w:tcBorders/>
            <w:tcW w:w="1985"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4.163.006.988</w:t>
            </w:r>
            <w:r>
              <w:rPr>
                <w:color w:val="000000" w:themeColor="text1"/>
              </w:rPr>
            </w:r>
            <w:r>
              <w:rPr>
                <w:color w:val="000000" w:themeColor="text1"/>
              </w:rPr>
            </w:r>
          </w:p>
        </w:tc>
      </w:tr>
      <w:tr>
        <w:trPr>
          <w:trHeight w:val="20"/>
        </w:trPr>
        <w:tc>
          <w:tcPr>
            <w:gridSpan w:val="5"/>
            <w:tcBorders/>
            <w:tcW w:w="7540"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985" w:type="dxa"/>
            <w:vAlign w:val="center"/>
            <w:textDirection w:val="lrTb"/>
            <w:noWrap/>
          </w:tcPr>
          <w:p>
            <w:pPr>
              <w:pBdr/>
              <w:spacing w:after="40" w:before="40" w:line="288" w:lineRule="auto"/>
              <w:ind/>
              <w:jc w:val="center"/>
              <w:rPr>
                <w:b/>
                <w:bCs/>
                <w:color w:val="000000" w:themeColor="text1"/>
              </w:rPr>
            </w:pPr>
            <w:r>
              <w:rPr>
                <w:color w:val="000000" w:themeColor="text1"/>
              </w:rPr>
              <w:t xml:space="preserve">17.317.406.988</w:t>
            </w:r>
            <w:r>
              <w:rPr>
                <w:b/>
                <w:bCs/>
                <w:color w:val="000000" w:themeColor="text1"/>
              </w:rPr>
            </w:r>
            <w:r>
              <w:rPr>
                <w:b/>
                <w:bCs/>
                <w:color w:val="000000" w:themeColor="text1"/>
              </w:rPr>
            </w:r>
          </w:p>
        </w:tc>
      </w:tr>
      <w:tr>
        <w:trPr>
          <w:trHeight w:val="20"/>
        </w:trPr>
        <w:tc>
          <w:tcPr>
            <w:gridSpan w:val="5"/>
            <w:tcBorders/>
            <w:tcW w:w="7540"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1985"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17.317.000.000</w:t>
            </w:r>
            <w:r>
              <w:rPr>
                <w:b/>
                <w:bCs/>
                <w:color w:val="000000" w:themeColor="text1"/>
              </w:rPr>
            </w:r>
            <w:r>
              <w:rPr>
                <w:b/>
                <w:bCs/>
                <w:color w:val="000000" w:themeColor="text1"/>
              </w:rPr>
            </w:r>
          </w:p>
        </w:tc>
      </w:tr>
      <w:tr>
        <w:trPr>
          <w:trHeight w:val="20"/>
        </w:trPr>
        <w:tc>
          <w:tcPr>
            <w:gridSpan w:val="6"/>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Mười bảy tỷ ba trăm mười bảy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27"/>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27"/>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27"/>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2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w:t>
      </w:r>
      <w:r>
        <w:rPr>
          <w:color w:val="000000" w:themeColor="text1"/>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color w:val="000000" w:themeColor="text1"/>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27"/>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27"/>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27"/>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27"/>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27"/>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27"/>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27"/>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27"/>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đất  đã cung cấp cho chúng tôi.</w:t>
      </w:r>
      <w:r>
        <w:rPr>
          <w:color w:val="000000" w:themeColor="text1"/>
          <w:shd w:val="clear" w:color="auto" w:fill="ffffff"/>
        </w:rPr>
      </w:r>
      <w:r>
        <w:rPr>
          <w:color w:val="000000" w:themeColor="text1"/>
          <w:shd w:val="clear" w:color="auto" w:fill="ffffff"/>
        </w:rPr>
      </w:r>
    </w:p>
    <w:p>
      <w:pPr>
        <w:pStyle w:val="1027"/>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jc w:val="both"/>
        <w:rPr>
          <w:bCs/>
          <w:color w:val="000000" w:themeColor="text1"/>
          <w:spacing w:val="-2"/>
        </w:rPr>
      </w:pPr>
      <w:r>
        <w:rPr>
          <w:bCs/>
          <w:color w:val="000000" w:themeColor="text1"/>
          <w:spacing w:val="-2"/>
          <w:lang w:val="pt-BR"/>
        </w:rPr>
        <w:t xml:space="preserve">Tại ngày phát hành chứng thư thẩm định giá, Chúng tôi không nhận được bất kỳ văn bản đánh giá hiện trạng công trình tài sản th</w:t>
      </w:r>
      <w:r>
        <w:rPr>
          <w:bCs/>
          <w:color w:val="000000" w:themeColor="text1"/>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color w:val="000000" w:themeColor="text1"/>
          <w:spacing w:val="-2"/>
          <w:lang w:val="pt-BR"/>
        </w:rPr>
        <w:t xml:space="preserve">vậy, chất lượng còn lại của tài sản được trình bày trên báo cáo này ch</w:t>
      </w:r>
      <w:r>
        <w:rPr>
          <w:bCs/>
          <w:color w:val="000000" w:themeColor="text1"/>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rPr>
      </w:r>
      <w:r>
        <w:rPr>
          <w:bCs/>
          <w:color w:val="000000" w:themeColor="text1"/>
          <w:spacing w:val="-2"/>
        </w:rPr>
      </w:r>
    </w:p>
    <w:p>
      <w:pPr>
        <w:pStyle w:val="1027"/>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27"/>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3"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2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27"/>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27"/>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275/2026/1074/VFI-CT.65.A</w:t>
      </w:r>
      <w:r>
        <w:rPr>
          <w:color w:val="000000" w:themeColor="text1"/>
          <w:lang w:val="vi-VN"/>
        </w:rPr>
        <w:t xml:space="preserve"> </w:t>
      </w:r>
      <w:r>
        <w:rPr>
          <w:color w:val="000000" w:themeColor="text1"/>
        </w:rPr>
        <w:t xml:space="preserve">ngày 16 tháng 7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Đỗ Thanh Thảo</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XV23.2485</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275/2026/1074/VFI-BC.65.A</w:t>
      </w:r>
      <w:r>
        <w:rPr>
          <w:i/>
          <w:color w:val="000000" w:themeColor="text1"/>
        </w:rPr>
        <w:t xml:space="preserve"> ngày</w:t>
      </w:r>
      <w:r>
        <w:rPr>
          <w:i/>
          <w:color w:val="000000" w:themeColor="text1"/>
          <w:lang w:val="pt-BR"/>
        </w:rPr>
        <w:t xml:space="preserve"> </w:t>
      </w:r>
      <w:r>
        <w:rPr>
          <w:i/>
          <w:color w:val="000000" w:themeColor="text1"/>
          <w:lang w:val="pt-BR"/>
        </w:rPr>
        <w:t xml:space="preserve">16 tháng 7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left"/>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713233" cy="286976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08781" name=""/>
                              <pic:cNvPicPr>
                                <a:picLocks noChangeAspect="1"/>
                              </pic:cNvPicPr>
                              <pic:nvPr/>
                            </pic:nvPicPr>
                            <pic:blipFill rotWithShape="1">
                              <a:blip r:embed="rId21"/>
                              <a:stretch/>
                            </pic:blipFill>
                            <pic:spPr bwMode="auto">
                              <a:xfrm flipH="0" flipV="0">
                                <a:off x="0" y="0"/>
                                <a:ext cx="1713233" cy="28697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4.90pt;height:225.97pt;mso-wrap-distance-left:0.00pt;mso-wrap-distance-top:0.00pt;mso-wrap-distance-right:0.00pt;mso-wrap-distance-bottom:0.00pt;z-index:1;" stroked="false">
                      <v:imagedata r:id="rId21"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788687" cy="284151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92884" name=""/>
                              <pic:cNvPicPr>
                                <a:picLocks noChangeAspect="1"/>
                              </pic:cNvPicPr>
                              <pic:nvPr/>
                            </pic:nvPicPr>
                            <pic:blipFill rotWithShape="1">
                              <a:blip r:embed="rId22"/>
                              <a:stretch/>
                            </pic:blipFill>
                            <pic:spPr bwMode="auto">
                              <a:xfrm flipH="0" flipV="0">
                                <a:off x="0" y="0"/>
                                <a:ext cx="3788686" cy="28415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98.32pt;height:223.74pt;mso-wrap-distance-left:0.00pt;mso-wrap-distance-top:0.00pt;mso-wrap-distance-right:0.00pt;mso-wrap-distance-bottom:0.00pt;z-index:1;" stroked="false">
                      <v:imagedata r:id="rId22" o:title=""/>
                      <o:lock v:ext="edit" rotation="t"/>
                    </v:shape>
                  </w:pict>
                </mc:Fallback>
              </mc:AlternateContent>
            </w:r>
            <w:r>
              <w:rPr>
                <w:b/>
                <w:bCs/>
                <w:i/>
                <w:color w:val="000000" w:themeColor="text1"/>
              </w:rPr>
            </w:r>
            <w:r>
              <w:rPr>
                <w:b/>
                <w:bCs/>
                <w:i/>
                <w:color w:val="000000" w:themeColor="text1"/>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rHeight w:val="5710"/>
        </w:trPr>
        <w:tc>
          <w:tcPr>
            <w:tcBorders/>
            <w:tcW w:w="4758" w:type="dxa"/>
            <w:vAlign w:val="center"/>
            <w:textDirection w:val="lrTb"/>
            <w:noWrap w:val="false"/>
          </w:tcPr>
          <w:p>
            <w:pPr>
              <w:pBdr/>
              <w:spacing w:after="120"/>
              <w:ind/>
              <w:jc w:val="center"/>
              <w:rPr>
                <w:color w:val="000000" w:themeColor="text1"/>
                <w:highlight w:val="none"/>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646924" cy="352923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61125" name=""/>
                              <pic:cNvPicPr>
                                <a:picLocks noChangeAspect="1"/>
                              </pic:cNvPicPr>
                              <pic:nvPr/>
                            </pic:nvPicPr>
                            <pic:blipFill rotWithShape="1">
                              <a:blip r:embed="rId23"/>
                              <a:stretch/>
                            </pic:blipFill>
                            <pic:spPr bwMode="auto">
                              <a:xfrm flipH="0" flipV="0">
                                <a:off x="0" y="0"/>
                                <a:ext cx="2646924" cy="35292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8.42pt;height:277.89pt;mso-wrap-distance-left:0.00pt;mso-wrap-distance-top:0.00pt;mso-wrap-distance-right:0.00pt;mso-wrap-distance-bottom:0.00pt;z-index:1;" stroked="false">
                      <v:imagedata r:id="rId23" o:title=""/>
                      <o:lock v:ext="edit" rotation="t"/>
                    </v:shape>
                  </w:pict>
                </mc:Fallback>
              </mc:AlternateContent>
            </w:r>
            <w:r>
              <w:rPr>
                <w:color w:val="000000" w:themeColor="text1"/>
                <w:highlight w:val="none"/>
              </w:rPr>
            </w:r>
            <w:r>
              <w:rPr>
                <w:color w:val="000000" w:themeColor="text1"/>
                <w:highlight w:val="none"/>
              </w:rPr>
            </w:r>
          </w:p>
          <w:p>
            <w:pPr>
              <w:pBdr/>
              <w:spacing w:after="120"/>
              <w:ind/>
              <w:jc w:val="center"/>
              <w:rPr>
                <w:b/>
                <w:bCs/>
                <w:i/>
                <w:color w:val="000000" w:themeColor="text1"/>
              </w:rPr>
            </w:pPr>
            <w:r>
              <w:rPr>
                <w:b/>
                <w:bCs/>
                <w:i/>
                <w:color w:val="000000" w:themeColor="text1"/>
              </w:rPr>
            </w:r>
            <w:r>
              <w:rPr>
                <w:b/>
                <w:bCs/>
                <w:i/>
                <w:color w:val="000000" w:themeColor="text1"/>
              </w:rPr>
            </w:r>
            <w:r>
              <w:rPr>
                <w:b/>
                <w:bCs/>
                <w:i/>
                <w:color w:val="000000" w:themeColor="text1"/>
              </w:rPr>
            </w:r>
          </w:p>
          <w:p>
            <w:pPr>
              <w:pBdr/>
              <w:spacing w:after="120"/>
              <w:ind/>
              <w:jc w:val="center"/>
              <w:rPr>
                <w:b/>
                <w:bCs/>
                <w:i/>
                <w:color w:val="000000" w:themeColor="text1"/>
              </w:rPr>
            </w:pPr>
            <w:r>
              <w:rPr>
                <w:b/>
                <w:bCs/>
                <w:i/>
                <w:color w:val="000000" w:themeColor="text1"/>
              </w:rPr>
            </w:r>
            <w:r>
              <w:rPr>
                <w:b/>
                <w:bCs/>
                <w:i/>
                <w:color w:val="000000" w:themeColor="text1"/>
              </w:rPr>
            </w:r>
            <w:r>
              <w:rPr>
                <w:b/>
                <w:bCs/>
                <w:i/>
                <w:color w:val="000000" w:themeColor="text1"/>
              </w:rPr>
            </w:r>
          </w:p>
          <w:p>
            <w:pPr>
              <w:pBdr/>
              <w:spacing w:after="120"/>
              <w:ind/>
              <w:jc w:val="center"/>
              <w:rPr>
                <w:b/>
                <w:bCs/>
                <w:i/>
                <w:color w:val="000000" w:themeColor="text1"/>
              </w:rPr>
            </w:pPr>
            <w:r>
              <w:rPr>
                <w:b/>
                <w:bCs/>
                <w:i/>
                <w:color w:val="000000" w:themeColor="text1"/>
              </w:rPr>
            </w:r>
            <w:r>
              <w:rPr>
                <w:b/>
                <w:bCs/>
                <w:i/>
                <w:color w:val="000000" w:themeColor="text1"/>
              </w:rPr>
            </w:r>
            <w:r>
              <w:rPr>
                <w:b/>
                <w:bCs/>
                <w:i/>
                <w:color w:val="000000" w:themeColor="text1"/>
              </w:rPr>
            </w:r>
          </w:p>
          <w:p>
            <w:pPr>
              <w:pBdr/>
              <w:spacing w:after="120"/>
              <w:ind/>
              <w:jc w:val="center"/>
              <w:rPr>
                <w:b/>
                <w:bCs/>
                <w:i/>
                <w:color w:val="000000" w:themeColor="text1"/>
              </w:rPr>
            </w:pPr>
            <w:r>
              <w:rPr>
                <w:b/>
                <w:bCs/>
                <w:i/>
                <w:color w:val="000000" w:themeColor="text1"/>
              </w:rPr>
            </w:r>
            <w:r>
              <w:rPr>
                <w:b/>
                <w:bCs/>
                <w:i/>
                <w:color w:val="000000" w:themeColor="text1"/>
              </w:rPr>
            </w:r>
            <w:r>
              <w:rPr>
                <w:b/>
                <w:bCs/>
                <w:i/>
                <w:color w:val="000000" w:themeColor="text1"/>
              </w:rPr>
            </w:r>
          </w:p>
          <w:p>
            <w:pPr>
              <w:pBdr/>
              <w:spacing w:after="120"/>
              <w:ind/>
              <w:jc w:val="center"/>
              <w:rPr>
                <w:b/>
                <w:bCs/>
                <w:i/>
                <w:color w:val="000000" w:themeColor="text1"/>
              </w:rPr>
            </w:pPr>
            <w:r>
              <w:rPr>
                <w:color w:val="000000" w:themeColor="text1"/>
                <w:highlight w:val="none"/>
              </w:rPr>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color w:val="000000" w:themeColor="text1"/>
                <w:highlight w:val="none"/>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671212" cy="356161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42430" name=""/>
                              <pic:cNvPicPr>
                                <a:picLocks noChangeAspect="1"/>
                              </pic:cNvPicPr>
                              <pic:nvPr/>
                            </pic:nvPicPr>
                            <pic:blipFill rotWithShape="1">
                              <a:blip r:embed="rId24"/>
                              <a:stretch/>
                            </pic:blipFill>
                            <pic:spPr bwMode="auto">
                              <a:xfrm flipH="0" flipV="0">
                                <a:off x="0" y="0"/>
                                <a:ext cx="2671211" cy="35616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0.33pt;height:280.44pt;mso-wrap-distance-left:0.00pt;mso-wrap-distance-top:0.00pt;mso-wrap-distance-right:0.00pt;mso-wrap-distance-bottom:0.00pt;z-index:1;" stroked="false">
                      <v:imagedata r:id="rId24" o:title=""/>
                      <o:lock v:ext="edit" rotation="t"/>
                    </v:shape>
                  </w:pict>
                </mc:Fallback>
              </mc:AlternateContent>
            </w:r>
            <w:r>
              <w:rPr>
                <w:color w:val="000000" w:themeColor="text1"/>
                <w:highlight w:val="none"/>
              </w:rPr>
            </w:r>
            <w:r>
              <w:rPr>
                <w:color w:val="000000" w:themeColor="text1"/>
                <w:highlight w:val="none"/>
              </w:rPr>
            </w:r>
          </w:p>
          <w:p>
            <w:pPr>
              <w:pBdr/>
              <w:spacing w:after="120"/>
              <w:ind/>
              <w:jc w:val="center"/>
              <w:rPr>
                <w:b/>
                <w:bCs/>
                <w:i/>
                <w:color w:val="000000" w:themeColor="text1"/>
              </w:rPr>
            </w:pPr>
            <w:r>
              <w:rPr>
                <w:b/>
                <w:bCs/>
                <w:i/>
                <w:color w:val="000000" w:themeColor="text1"/>
              </w:rPr>
            </w:r>
            <w:r>
              <w:rPr>
                <w:b/>
                <w:bCs/>
                <w:i/>
                <w:color w:val="000000" w:themeColor="text1"/>
              </w:rPr>
            </w:r>
            <w:r>
              <w:rPr>
                <w:b/>
                <w:bCs/>
                <w:i/>
                <w:color w:val="000000" w:themeColor="text1"/>
              </w:rPr>
            </w:r>
          </w:p>
          <w:p>
            <w:pPr>
              <w:pBdr/>
              <w:spacing w:after="120"/>
              <w:ind/>
              <w:jc w:val="center"/>
              <w:rPr>
                <w:b/>
                <w:bCs/>
                <w:i/>
                <w:color w:val="000000" w:themeColor="text1"/>
              </w:rPr>
            </w:pPr>
            <w:r>
              <w:rPr>
                <w:b/>
                <w:bCs/>
                <w:i/>
                <w:color w:val="000000" w:themeColor="text1"/>
              </w:rPr>
            </w:r>
            <w:r>
              <w:rPr>
                <w:b/>
                <w:bCs/>
                <w:i/>
                <w:color w:val="000000" w:themeColor="text1"/>
              </w:rPr>
            </w:r>
            <w:r>
              <w:rPr>
                <w:b/>
                <w:bCs/>
                <w:i/>
                <w:color w:val="000000" w:themeColor="text1"/>
              </w:rPr>
            </w:r>
          </w:p>
          <w:p>
            <w:pPr>
              <w:pBdr/>
              <w:spacing w:after="120"/>
              <w:ind/>
              <w:jc w:val="center"/>
              <w:rPr>
                <w:b/>
                <w:bCs/>
                <w:i/>
                <w:color w:val="000000" w:themeColor="text1"/>
              </w:rPr>
            </w:pPr>
            <w:r>
              <w:rPr>
                <w:b/>
                <w:bCs/>
                <w:i/>
                <w:color w:val="000000" w:themeColor="text1"/>
              </w:rPr>
            </w:r>
            <w:r>
              <w:rPr>
                <w:b/>
                <w:bCs/>
                <w:i/>
                <w:color w:val="000000" w:themeColor="text1"/>
              </w:rPr>
            </w:r>
            <w:r>
              <w:rPr>
                <w:b/>
                <w:bCs/>
                <w:i/>
                <w:color w:val="000000" w:themeColor="text1"/>
              </w:rPr>
            </w:r>
          </w:p>
          <w:p>
            <w:pPr>
              <w:pBdr/>
              <w:spacing w:after="120"/>
              <w:ind/>
              <w:jc w:val="center"/>
              <w:rPr>
                <w:b/>
                <w:bCs/>
                <w:i/>
                <w:color w:val="000000" w:themeColor="text1"/>
              </w:rPr>
            </w:pPr>
            <w:r>
              <w:rPr>
                <w:b/>
                <w:bCs/>
                <w:i/>
                <w:color w:val="000000" w:themeColor="text1"/>
              </w:rPr>
            </w:r>
            <w:r>
              <w:rPr>
                <w:b/>
                <w:bCs/>
                <w:i/>
                <w:color w:val="000000" w:themeColor="text1"/>
              </w:rPr>
            </w:r>
            <w:r>
              <w:rPr>
                <w:b/>
                <w:bCs/>
                <w:i/>
                <w:color w:val="000000" w:themeColor="text1"/>
              </w:rPr>
            </w:r>
          </w:p>
          <w:p>
            <w:pPr>
              <w:pBdr/>
              <w:spacing w:after="120"/>
              <w:ind/>
              <w:jc w:val="center"/>
              <w:rPr>
                <w:b/>
                <w:bCs/>
                <w:i/>
                <w:color w:val="000000" w:themeColor="text1"/>
              </w:rPr>
            </w:pPr>
            <w:r>
              <w:rPr>
                <w:color w:val="000000" w:themeColor="text1"/>
                <w:highlight w:val="none"/>
              </w:rPr>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216835" cy="247155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923977" name=""/>
                              <pic:cNvPicPr>
                                <a:picLocks noChangeAspect="1"/>
                              </pic:cNvPicPr>
                              <pic:nvPr/>
                            </pic:nvPicPr>
                            <pic:blipFill rotWithShape="1">
                              <a:blip r:embed="rId25"/>
                              <a:stretch/>
                            </pic:blipFill>
                            <pic:spPr bwMode="auto">
                              <a:xfrm flipH="0" flipV="0">
                                <a:off x="0" y="0"/>
                                <a:ext cx="2216834" cy="24715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74.55pt;height:194.61pt;mso-wrap-distance-left:0.00pt;mso-wrap-distance-top:0.00pt;mso-wrap-distance-right:0.00pt;mso-wrap-distance-bottom:0.00pt;z-index:1;" stroked="false">
                      <v:imagedata r:id="rId25"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232654" cy="249457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58908" name=""/>
                              <pic:cNvPicPr>
                                <a:picLocks noChangeAspect="1"/>
                              </pic:cNvPicPr>
                              <pic:nvPr/>
                            </pic:nvPicPr>
                            <pic:blipFill rotWithShape="1">
                              <a:blip r:embed="rId26"/>
                              <a:stretch/>
                            </pic:blipFill>
                            <pic:spPr bwMode="auto">
                              <a:xfrm flipH="0" flipV="0">
                                <a:off x="0" y="0"/>
                                <a:ext cx="2232654" cy="24945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5.80pt;height:196.42pt;mso-wrap-distance-left:0.00pt;mso-wrap-distance-top:0.00pt;mso-wrap-distance-right:0.00pt;mso-wrap-distance-bottom:0.00pt;z-index:1;" stroked="false">
                      <v:imagedata r:id="rId26" o:title=""/>
                      <o:lock v:ext="edit" rotation="t"/>
                    </v:shape>
                  </w:pict>
                </mc:Fallback>
              </mc:AlternateContent>
            </w:r>
            <w:r>
              <w:rPr>
                <w:b/>
                <w:bCs/>
                <w:i/>
                <w:color w:val="000000" w:themeColor="text1"/>
              </w:rPr>
            </w:r>
            <w:r>
              <w:rPr>
                <w:b/>
                <w:bCs/>
                <w:i/>
                <w:color w:val="000000" w:themeColor="text1"/>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220105" cy="246077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68283" name=""/>
                              <pic:cNvPicPr>
                                <a:picLocks noChangeAspect="1"/>
                              </pic:cNvPicPr>
                              <pic:nvPr/>
                            </pic:nvPicPr>
                            <pic:blipFill rotWithShape="1">
                              <a:blip r:embed="rId27"/>
                              <a:stretch/>
                            </pic:blipFill>
                            <pic:spPr bwMode="auto">
                              <a:xfrm flipH="0" flipV="0">
                                <a:off x="0" y="0"/>
                                <a:ext cx="2220104" cy="24607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4.81pt;height:193.76pt;mso-wrap-distance-left:0.00pt;mso-wrap-distance-top:0.00pt;mso-wrap-distance-right:0.00pt;mso-wrap-distance-bottom:0.00pt;z-index:1;" stroked="false">
                      <v:imagedata r:id="rId27"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187152" cy="240924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52713" name=""/>
                              <pic:cNvPicPr>
                                <a:picLocks noChangeAspect="1"/>
                              </pic:cNvPicPr>
                              <pic:nvPr/>
                            </pic:nvPicPr>
                            <pic:blipFill rotWithShape="1">
                              <a:blip r:embed="rId28"/>
                              <a:stretch/>
                            </pic:blipFill>
                            <pic:spPr bwMode="auto">
                              <a:xfrm flipH="0" flipV="0">
                                <a:off x="0" y="0"/>
                                <a:ext cx="2187151" cy="24092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2.22pt;height:189.70pt;mso-wrap-distance-left:0.00pt;mso-wrap-distance-top:0.00pt;mso-wrap-distance-right:0.00pt;mso-wrap-distance-bottom:0.00pt;z-index:1;" stroked="false">
                      <v:imagedata r:id="rId28"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232217" cy="263788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41484" name=""/>
                              <pic:cNvPicPr>
                                <a:picLocks noChangeAspect="1"/>
                              </pic:cNvPicPr>
                              <pic:nvPr/>
                            </pic:nvPicPr>
                            <pic:blipFill rotWithShape="1">
                              <a:blip r:embed="rId29"/>
                              <a:stretch/>
                            </pic:blipFill>
                            <pic:spPr bwMode="auto">
                              <a:xfrm flipH="0" flipV="0">
                                <a:off x="0" y="0"/>
                                <a:ext cx="2232217" cy="2637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5.77pt;height:207.71pt;mso-wrap-distance-left:0.00pt;mso-wrap-distance-top:0.00pt;mso-wrap-distance-right:0.00pt;mso-wrap-distance-bottom:0.00pt;z-index:1;" stroked="false">
                      <v:imagedata r:id="rId29"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148897" cy="261105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89830" name=""/>
                              <pic:cNvPicPr>
                                <a:picLocks noChangeAspect="1"/>
                              </pic:cNvPicPr>
                              <pic:nvPr/>
                            </pic:nvPicPr>
                            <pic:blipFill rotWithShape="1">
                              <a:blip r:embed="rId30"/>
                              <a:stretch/>
                            </pic:blipFill>
                            <pic:spPr bwMode="auto">
                              <a:xfrm flipH="0" flipV="0">
                                <a:off x="0" y="0"/>
                                <a:ext cx="2148896" cy="26110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69.20pt;height:205.60pt;mso-wrap-distance-left:0.00pt;mso-wrap-distance-top:0.00pt;mso-wrap-distance-right:0.00pt;mso-wrap-distance-bottom:0.00pt;z-index:1;" stroked="false">
                      <v:imagedata r:id="rId30"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rPr>
        <w:br w:type="page" w:clear="all"/>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mc:AlternateContent>
          <mc:Choice Requires="wpg">
            <w:drawing>
              <wp:inline xmlns:wp="http://schemas.openxmlformats.org/drawingml/2006/wordprocessingDrawing" distT="0" distB="0" distL="0" distR="0">
                <wp:extent cx="6048375" cy="86185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25073" name=""/>
                        <pic:cNvPicPr>
                          <a:picLocks noChangeAspect="1"/>
                        </pic:cNvPicPr>
                        <pic:nvPr/>
                      </pic:nvPicPr>
                      <pic:blipFill rotWithShape="1">
                        <a:blip r:embed="rId31"/>
                        <a:stretch/>
                      </pic:blipFill>
                      <pic:spPr bwMode="auto">
                        <a:xfrm rot="0" flipH="0" flipV="0">
                          <a:off x="0" y="0"/>
                          <a:ext cx="6048374" cy="8618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78.63pt;mso-wrap-distance-left:0.00pt;mso-wrap-distance-top:0.00pt;mso-wrap-distance-right:0.00pt;mso-wrap-distance-bottom:0.00pt;rotation:0;z-index:1;" stroked="false">
                <v:imagedata r:id="rId31" o:title=""/>
                <o:lock v:ext="edit" rotation="t"/>
              </v:shape>
            </w:pict>
          </mc:Fallback>
        </mc:AlternateContent>
      </w:r>
      <w:r>
        <w:rPr>
          <w:color w:val="000000" w:themeColor="text1"/>
          <w:highlight w:val="none"/>
        </w:rPr>
      </w:r>
      <w:r>
        <w:rPr>
          <w:color w:val="000000" w:themeColor="text1"/>
          <w:highlight w:val="none"/>
        </w:rPr>
      </w:r>
    </w:p>
    <w:p>
      <w:pPr>
        <w:pBdr/>
        <w:spacing w:after="200" w:line="276" w:lineRule="auto"/>
        <w:ind/>
        <w:jc w:val="left"/>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mc:AlternateContent>
          <mc:Choice Requires="wpg">
            <w:drawing>
              <wp:inline xmlns:wp="http://schemas.openxmlformats.org/drawingml/2006/wordprocessingDrawing" distT="0" distB="0" distL="0" distR="0">
                <wp:extent cx="6048375" cy="856719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73687" name=""/>
                        <pic:cNvPicPr>
                          <a:picLocks noChangeAspect="1"/>
                        </pic:cNvPicPr>
                        <pic:nvPr/>
                      </pic:nvPicPr>
                      <pic:blipFill rotWithShape="1">
                        <a:blip r:embed="rId32"/>
                        <a:stretch/>
                      </pic:blipFill>
                      <pic:spPr bwMode="auto">
                        <a:xfrm>
                          <a:off x="0" y="0"/>
                          <a:ext cx="6048374" cy="85671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74.58pt;mso-wrap-distance-left:0.00pt;mso-wrap-distance-top:0.00pt;mso-wrap-distance-right:0.00pt;mso-wrap-distance-bottom:0.00pt;z-index:1;" stroked="false">
                <v:imagedata r:id="rId32"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275/2026/1074/VFI-BC.65.A</w:t>
      </w:r>
      <w:r>
        <w:rPr>
          <w:i/>
          <w:color w:val="000000" w:themeColor="text1"/>
        </w:rPr>
        <w:t xml:space="preserve"> ngày</w:t>
      </w:r>
      <w:r>
        <w:rPr>
          <w:i/>
          <w:color w:val="000000" w:themeColor="text1"/>
          <w:lang w:val="pt-BR"/>
        </w:rPr>
        <w:t xml:space="preserve"> </w:t>
      </w:r>
      <w:r>
        <w:rPr>
          <w:i/>
          <w:color w:val="000000" w:themeColor="text1"/>
          <w:lang w:val="pt-BR"/>
        </w:rPr>
        <w:t xml:space="preserve">16 tháng 7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0935 089 368</w:t>
            </w:r>
            <w:r>
              <w:rPr>
                <w:color w:val="000000" w:themeColor="text1"/>
                <w:sz w:val="22"/>
                <w:szCs w:val="22"/>
              </w:rPr>
              <w:t xml:space="preserve"> </w:t>
            </w:r>
            <w:r>
              <w:rPr>
                <w:color w:val="000000" w:themeColor="text1"/>
                <w:sz w:val="22"/>
                <w:szCs w:val="22"/>
              </w:rPr>
              <w:t xml:space="preserve">(Anh Dương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8.300.000.000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7.470.000.000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Hòa Xuân, Thành phố Đà Nẵng, tài sản tiếp giáp đường Lê Sỹ</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117,5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3954586"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538121995" name="" descr=""/>
                              <pic:cNvPicPr/>
                              <pic:nvPr/>
                            </pic:nvPicPr>
                            <pic:blipFill rotWithShape="1">
                              <a:blip r:embed="rId34"/>
                              <a:stretch/>
                            </pic:blipFill>
                            <pic:spPr bwMode="auto">
                              <a:xfrm rot="0" flipH="0" flipV="0">
                                <a:off x="0" y="0"/>
                                <a:ext cx="395458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11.38pt;height:250.00pt;mso-wrap-distance-left:0.00pt;mso-wrap-distance-top:0.00pt;mso-wrap-distance-right:0.00pt;mso-wrap-distance-bottom:0.00pt;rotation:0;z-index:1;" stroked="false">
                      <v:imagedata r:id="rId34"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145086" cy="264106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4145085" cy="2641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26.38pt;height:207.96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jc w:val="center"/>
          <w:trHeight w:val="29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9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0935 564 838</w:t>
            </w:r>
            <w:r>
              <w:rPr>
                <w:color w:val="000000" w:themeColor="text1"/>
                <w:sz w:val="22"/>
                <w:szCs w:val="22"/>
              </w:rPr>
              <w:t xml:space="preserve"> </w:t>
            </w:r>
            <w:r>
              <w:rPr>
                <w:color w:val="000000" w:themeColor="text1"/>
                <w:sz w:val="22"/>
                <w:szCs w:val="22"/>
              </w:rPr>
              <w:t xml:space="preserve">(Chị Nhi</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7.200.000.000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Hòa Xuân, Thành phố Đà Nẵng, tài sản tiếp giáp đường Lê Sỹ</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115,5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4287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12.50pt;height:250.00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3984968"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210692355" name="" descr=""/>
                              <pic:cNvPicPr/>
                              <pic:nvPr/>
                            </pic:nvPicPr>
                            <pic:blipFill rotWithShape="1">
                              <a:blip r:embed="rId37"/>
                              <a:stretch/>
                            </pic:blipFill>
                            <pic:spPr bwMode="auto">
                              <a:xfrm rot="0" flipH="0" flipV="0">
                                <a:off x="0" y="0"/>
                                <a:ext cx="398496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13.78pt;height:250.00pt;mso-wrap-distance-left:0.00pt;mso-wrap-distance-top:0.00pt;mso-wrap-distance-right:0.00pt;mso-wrap-distance-bottom:0.00pt;rotation:0;z-index:1;" stroked="false">
                      <v:imagedata r:id="rId37"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sz w:val="16"/>
                <w:szCs w:val="16"/>
              </w:rPr>
            </w:pPr>
            <w:r>
              <w:rPr>
                <w:color w:val="000000" w:themeColor="text1"/>
                <w:sz w:val="16"/>
                <w:szCs w:val="16"/>
              </w:rPr>
            </w:r>
            <w:r>
              <w:rPr>
                <w:color w:val="000000" w:themeColor="text1"/>
                <w:sz w:val="16"/>
                <w:szCs w:val="16"/>
              </w:rPr>
            </w:r>
            <w:r>
              <w:rPr>
                <w:color w:val="000000" w:themeColor="text1"/>
                <w:sz w:val="16"/>
                <w:szCs w:val="16"/>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0903888843</w:t>
            </w:r>
            <w:r>
              <w:rPr>
                <w:color w:val="000000" w:themeColor="text1"/>
                <w:sz w:val="22"/>
                <w:szCs w:val="22"/>
              </w:rPr>
              <w:t xml:space="preserve"> </w:t>
            </w:r>
            <w:r>
              <w:rPr>
                <w:color w:val="000000" w:themeColor="text1"/>
                <w:sz w:val="22"/>
                <w:szCs w:val="22"/>
              </w:rPr>
              <w:br/>
              <w:t xml:space="preserve">(Khiết</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8.200.000.000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7.380.000.000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Hòa Xuân, Thành phố Đà Nẵng, tài sản tiếp giáp đường Lê Sỹ</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101,1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997415" cy="2784806"/>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1997414" cy="27848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57.28pt;height:219.28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3454740" cy="2784806"/>
                      <wp:effectExtent l="0" t="0" r="0" b="0"/>
                      <wp:docPr id="25" name=""/>
                      <wp:cNvGraphicFramePr/>
                      <a:graphic xmlns:a="http://schemas.openxmlformats.org/drawingml/2006/main">
                        <a:graphicData uri="http://schemas.openxmlformats.org/drawingml/2006/picture">
                          <pic:pic xmlns:pic="http://schemas.openxmlformats.org/drawingml/2006/picture">
                            <pic:nvPicPr>
                              <pic:cNvPr id="373758636" name="" descr=""/>
                              <pic:cNvPicPr/>
                              <pic:nvPr/>
                            </pic:nvPicPr>
                            <pic:blipFill rotWithShape="1">
                              <a:blip r:embed="rId39"/>
                              <a:stretch/>
                            </pic:blipFill>
                            <pic:spPr bwMode="auto">
                              <a:xfrm rot="0" flipH="0" flipV="0">
                                <a:off x="0" y="0"/>
                                <a:ext cx="3454740" cy="27848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72.03pt;height:219.28pt;mso-wrap-distance-left:0.00pt;mso-wrap-distance-top:0.00pt;mso-wrap-distance-right:0.00pt;mso-wrap-distance-bottom:0.00pt;rotation:0;z-index:1;" stroked="false">
                      <v:imagedata r:id="rId39"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146608"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514660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05.24pt;height:250.00pt;mso-wrap-distance-left:0.00pt;mso-wrap-distance-top:0.00pt;mso-wrap-distance-right:0.00pt;mso-wrap-distance-bottom:0.00pt;z-index:1;" stroked="false">
                      <v:imagedata r:id="rId40"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ABB48B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https://masothue.com/Search/?q=Nguy%E1%BB%85n+Th%C3%A1i+Nguy%E1%BB%87n&amp;type=legalName" TargetMode="External"/><Relationship Id="rId17" Type="http://schemas.openxmlformats.org/officeDocument/2006/relationships/hyperlink" Target="mailto:ilotus.contact@gmail.com" TargetMode="External"/><Relationship Id="rId18" Type="http://schemas.openxmlformats.org/officeDocument/2006/relationships/hyperlink" Target="https://masothue.com/Search/?q=Nguy%E1%BB%85n+Th%C3%A1i+Nguy%E1%BB%87n&amp;type=legalName" TargetMode="External"/><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png"/><Relationship Id="rId39" Type="http://schemas.openxmlformats.org/officeDocument/2006/relationships/image" Target="media/image23.png"/><Relationship Id="rId40"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514</cp:revision>
  <dcterms:created xsi:type="dcterms:W3CDTF">2025-09-15T02:01:00Z</dcterms:created>
  <dcterms:modified xsi:type="dcterms:W3CDTF">2026-07-20T02:58:15Z</dcterms:modified>
</cp:coreProperties>
</file>