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tab/>
      </w:r>
      <w:r>
        <w:rPr>
          <w:b/>
          <w:sz w:val="28"/>
          <w:highlight w:val="white"/>
          <w:lang w:val="vi-VN"/>
        </w:rPr>
      </w:r>
      <w:r>
        <w:rPr>
          <w:b/>
          <w:sz w:val="28"/>
          <w:highlight w:val="white"/>
          <w:lang w:val="vi-VN"/>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2298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2298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275/2026/1108/VFI-CT.44.A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Xuân Hưng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656, tờ bản đồ số: 11, có địa chỉ: Thôn Nội Lưu, xã Lưu Hoàng, huyện Ứng</w:t>
                            </w:r>
                            <w:r>
                              <w:rPr>
                                <w:color w:val="000000"/>
                              </w:rPr>
                              <w:t xml:space="preserve"> Hòa (</w:t>
                            </w:r>
                            <w:r>
                              <w:rPr>
                                <w:i/>
                                <w:iCs/>
                                <w:color w:val="000000"/>
                              </w:rPr>
                              <w:t xml:space="preserve">nay là xã Hòa Xá),</w:t>
                            </w:r>
                            <w:r>
                              <w:rPr>
                                <w:color w:val="000000"/>
                              </w:rPr>
                              <w:t xml:space="preserve"> thành phố Hà Nội theo Giấy chứng nhận quyền sử dụng đất, quyền sở hữu nhà ở và tài sản khác gắn liền với đất số: BR 880324, Số vào sổ cấp GCN: CH 04324 do UBND huyện Ứng Hòa cấp ngày 08/5/2014; Chủ sử dụng đất là Ông Đoàn Xuân Hưng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3.7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275/2026/1108/VFI-CT.44.A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Xuân Hưng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656, tờ bản đồ số: 11, có địa chỉ: Thôn Nội Lưu, xã Lưu Hoàng, huyện Ứng</w:t>
                      </w:r>
                      <w:r>
                        <w:rPr>
                          <w:color w:val="000000"/>
                        </w:rPr>
                        <w:t xml:space="preserve"> Hòa (</w:t>
                      </w:r>
                      <w:r>
                        <w:rPr>
                          <w:i/>
                          <w:iCs/>
                          <w:color w:val="000000"/>
                        </w:rPr>
                        <w:t xml:space="preserve">nay là xã Hòa Xá),</w:t>
                      </w:r>
                      <w:r>
                        <w:rPr>
                          <w:color w:val="000000"/>
                        </w:rPr>
                        <w:t xml:space="preserve"> thành phố Hà Nội theo Giấy chứng nhận quyền sử dụng đất, quyền sở hữu nhà ở và tài sản khác gắn liền với đất số: BR 880324, Số vào sổ cấp GCN: CH 04324 do UBND huyện Ứng Hòa cấp ngày 08/5/2014; Chủ sử dụng đất là Ông Đoàn Xuân Hưng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4-19</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 + Hồ sơ pháp lý + BBKS</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20-22</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w:t>
            </w:r>
            <w:r>
              <w:rPr>
                <w:b/>
                <w:bCs/>
                <w:highlight w:val="white"/>
              </w:rPr>
              <w:t xml:space="preserve">-27</w:t>
            </w:r>
            <w:r>
              <w:rPr>
                <w:b/>
                <w:bCs/>
                <w:highlight w:val="white"/>
              </w:rPr>
            </w:r>
            <w:r>
              <w:rPr>
                <w:b/>
                <w:bCs/>
                <w:highlight w:val="white"/>
              </w:rPr>
            </w:r>
          </w:p>
        </w:tc>
      </w:tr>
    </w:tbl>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9"/>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0286" w:type="dxa"/>
        <w:tblBorders/>
        <w:tblLayout w:type="fixed"/>
        <w:tblLook w:val="04A0" w:firstRow="1" w:lastRow="0" w:firstColumn="1" w:lastColumn="0" w:noHBand="0" w:noVBand="1"/>
      </w:tblPr>
      <w:tblGrid>
        <w:gridCol w:w="856"/>
        <w:gridCol w:w="5347"/>
        <w:gridCol/>
        <w:gridCol w:w="4084"/>
        <w:gridCol/>
      </w:tblGrid>
      <w:tr>
        <w:trPr>
          <w:trHeight w:val="1152"/>
        </w:trPr>
        <w:tc>
          <w:tcPr>
            <w:gridSpan w:val="2"/>
            <w:tcBorders/>
            <w:tcW w:w="6202"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4084"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20"/>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5347" w:type="dxa"/>
            <w:textDirection w:val="lrTb"/>
            <w:noWrap w:val="false"/>
          </w:tcPr>
          <w:p>
            <w:pPr>
              <w:pStyle w:val="1029"/>
              <w:pBdr/>
              <w:spacing w:after="60"/>
              <w:ind/>
              <w:rPr>
                <w:color w:val="000000" w:themeColor="text1"/>
                <w:sz w:val="24"/>
                <w:szCs w:val="24"/>
                <w:highlight w:val="white"/>
              </w:rPr>
            </w:pPr>
            <w:r>
              <w:rPr>
                <w:rStyle w:val="1028"/>
                <w:rFonts w:ascii="Times New Roman" w:hAnsi="Times New Roman"/>
                <w:color w:val="000000" w:themeColor="text1"/>
                <w:highlight w:val="white"/>
                <w:lang w:val="pt-BR"/>
              </w:rPr>
              <w:t xml:space="preserve">Số: </w:t>
            </w:r>
            <w:r>
              <w:rPr>
                <w:rStyle w:val="1028"/>
                <w:rFonts w:ascii="Times New Roman" w:hAnsi="Times New Roman"/>
                <w:color w:val="000000" w:themeColor="text1"/>
                <w:highlight w:val="white"/>
                <w:lang w:val="pt-BR"/>
              </w:rPr>
              <w:t xml:space="preserve">275/2026/1108/VFI-CT.44.A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4084" w:type="dxa"/>
            <w:textDirection w:val="lrTb"/>
            <w:noWrap w:val="false"/>
          </w:tcPr>
          <w:p>
            <w:pPr>
              <w:pStyle w:val="1029"/>
              <w:pBdr/>
              <w:spacing w:after="60"/>
              <w:ind w:right="-56"/>
              <w:jc w:val="right"/>
              <w:rPr>
                <w:color w:val="000000" w:themeColor="text1"/>
                <w:sz w:val="24"/>
                <w:szCs w:val="24"/>
                <w:highlight w:val="white"/>
              </w:rPr>
            </w:pPr>
            <w:r>
              <w:rPr>
                <w:rStyle w:val="1028"/>
                <w:rFonts w:ascii="Times New Roman" w:hAnsi="Times New Roman"/>
                <w:i/>
                <w:color w:val="auto"/>
                <w:highlight w:val="white"/>
              </w:rPr>
              <w:t xml:space="preserve">TP. Hà Nội</w:t>
            </w:r>
            <w:r>
              <w:rPr>
                <w:rStyle w:val="1028"/>
                <w:rFonts w:ascii="Times New Roman" w:hAnsi="Times New Roman"/>
                <w:i/>
                <w:color w:val="auto"/>
                <w:highlight w:val="white"/>
                <w:lang w:val="vi-VN"/>
              </w:rPr>
              <w:t xml:space="preserve">, </w:t>
            </w:r>
            <w:r>
              <w:rPr>
                <w:rStyle w:val="1028"/>
                <w:rFonts w:ascii="Times New Roman" w:hAnsi="Times New Roman"/>
                <w:i/>
                <w:color w:val="000000" w:themeColor="text1"/>
                <w:highlight w:val="white"/>
                <w:lang w:val="vi-VN"/>
              </w:rPr>
              <w:t xml:space="preserve">ngày 22 tháng 7 năm 2026</w:t>
            </w:r>
            <w:r>
              <w:rPr>
                <w:color w:val="000000" w:themeColor="text1"/>
                <w:sz w:val="24"/>
                <w:szCs w:val="24"/>
                <w:highlight w:val="white"/>
                <w:lang w:val="vi-VN"/>
              </w:rPr>
            </w:r>
            <w:r>
              <w:rPr>
                <w:color w:val="000000" w:themeColor="text1"/>
                <w:sz w:val="24"/>
                <w:szCs w:val="24"/>
                <w:highlight w:val="white"/>
                <w:lang w:val="vi-VN"/>
              </w:rPr>
            </w:r>
          </w:p>
        </w:tc>
      </w:tr>
    </w:tbl>
    <w:p>
      <w:pPr>
        <w:pStyle w:val="1029"/>
        <w:pBdr/>
        <w:spacing w:after="120" w:before="200" w:line="288" w:lineRule="auto"/>
        <w:ind/>
        <w:jc w:val="center"/>
        <w:rPr>
          <w:rStyle w:val="1028"/>
          <w:rFonts w:ascii="Times New Roman" w:hAnsi="Times New Roman"/>
          <w:b/>
          <w:bCs/>
          <w:color w:val="auto"/>
          <w:sz w:val="30"/>
          <w:szCs w:val="30"/>
          <w:highlight w:val="white"/>
        </w:rPr>
      </w:pPr>
      <w:r>
        <w:rPr>
          <w:rStyle w:val="1028"/>
          <w:rFonts w:ascii="Times New Roman" w:hAnsi="Times New Roman"/>
          <w:b/>
          <w:bCs/>
          <w:color w:val="auto"/>
          <w:sz w:val="30"/>
          <w:szCs w:val="30"/>
          <w:highlight w:val="white"/>
          <w:lang w:val="vi-VN"/>
        </w:rPr>
        <w:t xml:space="preserve">CHỨNG THƯ THẨM ĐỊNH GIÁ</w:t>
      </w:r>
      <w:r>
        <w:rPr>
          <w:rStyle w:val="1028"/>
          <w:rFonts w:ascii="Times New Roman" w:hAnsi="Times New Roman"/>
          <w:b/>
          <w:bCs/>
          <w:color w:val="auto"/>
          <w:sz w:val="30"/>
          <w:szCs w:val="30"/>
          <w:highlight w:val="white"/>
          <w:lang w:val="vi-VN"/>
        </w:rPr>
      </w:r>
      <w:r>
        <w:rPr>
          <w:rStyle w:val="1028"/>
          <w:rFonts w:ascii="Times New Roman" w:hAnsi="Times New Roman"/>
          <w:b/>
          <w:bCs/>
          <w:color w:val="auto"/>
          <w:sz w:val="30"/>
          <w:szCs w:val="30"/>
          <w:highlight w:val="white"/>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Đoàn Xuân Hưng</w:t>
      </w:r>
      <w:r>
        <w:rPr>
          <w:rFonts w:ascii="Times New Roman Bold" w:hAnsi="Times New Roman Bold"/>
          <w:b/>
          <w:highlight w:val="white"/>
          <w:lang w:val="pt-BR"/>
        </w:rPr>
      </w:r>
      <w:r>
        <w:rPr>
          <w:rFonts w:ascii="Times New Roman Bold" w:hAnsi="Times New Roman Bold"/>
          <w:b/>
          <w:highlight w:val="white"/>
          <w:lang w:val="pt-BR"/>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275/2026/1108/VFI-HĐTĐ.44.A</w:t>
      </w:r>
      <w:r>
        <w:rPr>
          <w:spacing w:val="-4"/>
          <w:highlight w:val="white"/>
          <w:lang w:val="vi-VN"/>
        </w:rPr>
        <w:t xml:space="preserve"> ký ngày </w:t>
      </w:r>
      <w:r>
        <w:rPr>
          <w:color w:val="000000" w:themeColor="text1"/>
          <w:spacing w:val="-4"/>
          <w:highlight w:val="white"/>
        </w:rPr>
        <w:t xml:space="preserve">17 tháng 7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Đoàn Xuân Hưng</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275/2026/1108/VFI-BC.44.A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22 tháng 7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tabs>
                <w:tab w:val="left" w:leader="none" w:pos="1740"/>
              </w:tabs>
              <w:spacing/>
              <w:ind/>
              <w:rPr>
                <w:b/>
                <w:bCs/>
                <w:highlight w:val="white"/>
              </w:rPr>
            </w:pPr>
            <w:r>
              <w:rPr>
                <w:b/>
                <w:bCs/>
                <w:highlight w:val="white"/>
              </w:rPr>
            </w:r>
            <w:r>
              <w:rPr>
                <w:b/>
                <w:bCs/>
                <w:color w:val="000000" w:themeColor="text1"/>
                <w:spacing w:val="-4"/>
                <w:highlight w:val="white"/>
              </w:rPr>
              <w:t xml:space="preserve">Ông Đoàn Xuân Hưng</w:t>
            </w:r>
            <w:r>
              <w:rPr>
                <w:b/>
                <w:bCs/>
                <w:highlight w:val="white"/>
              </w:rPr>
            </w:r>
            <w:r>
              <w:rPr>
                <w:b/>
                <w:bCs/>
                <w:highlight w:val="white"/>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001068006093</w:t>
            </w:r>
            <w:r>
              <w:rPr>
                <w:color w:val="ff0000"/>
                <w:highlight w:val="white"/>
                <w:lang w:val="pt-BR"/>
              </w:rPr>
            </w:r>
            <w:r>
              <w:rPr>
                <w:color w:val="ff0000"/>
                <w:highlight w:val="white"/>
                <w:lang w:val="pt-BR"/>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Xã Hòa Xá, thành phố Hà Nội</w:t>
            </w:r>
            <w:r>
              <w:rPr>
                <w:color w:val="ff0000"/>
                <w:highlight w:val="white"/>
                <w:lang w:val="pt-BR"/>
              </w:rPr>
            </w:r>
            <w:r>
              <w:rPr>
                <w:color w:val="ff0000"/>
                <w:highlight w:val="white"/>
                <w:lang w:val="pt-BR"/>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highlight w:val="white"/>
              </w:rPr>
            </w:pPr>
            <w:r>
              <w:rPr>
                <w:b/>
                <w:bCs/>
                <w:color w:val="000000" w:themeColor="text1"/>
                <w:spacing w:val="-4"/>
                <w:highlight w:val="white"/>
                <w:lang w:val="pt-BR"/>
              </w:rPr>
              <w:t xml:space="preserve">CÔNG TY CP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TP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GĐ</w:t>
            </w:r>
            <w:r>
              <w:rPr>
                <w:b/>
                <w:bCs/>
                <w:highlight w:val="white"/>
                <w:lang w:val="vi-VN"/>
              </w:rPr>
            </w:r>
            <w:r>
              <w:rPr>
                <w:b/>
                <w:bCs/>
                <w:highlight w:val="white"/>
                <w:lang w:val="vi-VN"/>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656, tờ bản đồ số: 11, có địa chỉ: Thôn Nội Lưu, xã Lưu Hoàng, huyện Ứng</w:t>
      </w:r>
      <w:r>
        <w:rPr>
          <w:color w:val="000000" w:themeColor="text1"/>
          <w:highlight w:val="white"/>
        </w:rPr>
        <w:t xml:space="preserve"> Hòa </w:t>
      </w:r>
      <w:r>
        <w:rPr>
          <w:i/>
          <w:iCs/>
          <w:color w:val="000000" w:themeColor="text1"/>
          <w:highlight w:val="white"/>
        </w:rPr>
        <w:t xml:space="preserve">(nay là xã Hòa Xá),</w:t>
      </w:r>
      <w:r>
        <w:rPr>
          <w:color w:val="000000" w:themeColor="text1"/>
          <w:highlight w:val="white"/>
        </w:rPr>
        <w:t xml:space="preserve"> thành phố Hà Nội theo Giấy chứng nhận quyền sử dụng đất, quyền sở hữu nhà ở và tài sản khác gắn liền với đất số: BR 880324, Số vào sổ cấp GCN: CH04324 do UBND huyện Ứng Hòa cấp ngày 08/5/2014; Chủ sử dụng đất là Ông Đoàn Xuân Hưng</w:t>
      </w:r>
      <w:r>
        <w:rPr>
          <w:i/>
          <w:iCs/>
          <w:highlight w:val="white"/>
        </w:rPr>
        <w:t xml:space="preserve">.</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7/2026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lang w:val="vi-VN"/>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lang w:val="pt-BR"/>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7/2026</w:t>
      </w:r>
      <w:r>
        <w:rPr>
          <w:highlight w:val="white"/>
          <w:lang w:val="vi-VN"/>
        </w:rPr>
        <w:t xml:space="preserve"> ước tính</w:t>
      </w:r>
      <w:r>
        <w:rPr>
          <w:highlight w:val="white"/>
        </w:rPr>
        <w:t xml:space="preserve"> </w:t>
      </w:r>
      <w:r>
        <w:rPr>
          <w:highlight w:val="white"/>
          <w:lang w:val="vi-VN"/>
        </w:rPr>
        <w:t xml:space="preserve">như sau:</w:t>
      </w:r>
      <w:r>
        <w:rPr>
          <w:highlight w:val="white"/>
        </w:rPr>
      </w:r>
    </w:p>
    <w:tbl>
      <w:tblPr>
        <w:tblW w:w="503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02"/>
        <w:gridCol w:w="2582"/>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376"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2"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760" w:type="dxa"/>
            <w:vAlign w:val="center"/>
            <w:textDirection w:val="lrTb"/>
            <w:noWrap w:val="false"/>
          </w:tcPr>
          <w:p>
            <w:pPr>
              <w:pBdr/>
              <w:spacing w:after="40" w:before="40" w:line="288" w:lineRule="auto"/>
              <w:ind/>
              <w:jc w:val="both"/>
              <w:rPr>
                <w:b/>
                <w:bCs/>
                <w:highlight w:val="white"/>
              </w:rPr>
            </w:pPr>
            <w:r>
              <w:rPr>
                <w:b/>
                <w:bCs/>
                <w:color w:val="000000"/>
                <w:highlight w:val="white"/>
              </w:rPr>
              <w:t xml:space="preserve">Quyền sử dụng đất tại thửa đất số: 656, tờ bản đồ số: 11, có địa chỉ: Thôn Nội Lưu, xã Lưu Hoàng, huyện Ứng</w:t>
            </w:r>
            <w:r>
              <w:rPr>
                <w:b/>
                <w:bCs/>
                <w:color w:val="000000"/>
                <w:highlight w:val="white"/>
              </w:rPr>
              <w:t xml:space="preserve"> Hòa (</w:t>
            </w:r>
            <w:r>
              <w:rPr>
                <w:b/>
                <w:bCs/>
                <w:i/>
                <w:iCs/>
                <w:color w:val="000000"/>
                <w:highlight w:val="white"/>
              </w:rPr>
              <w:t xml:space="preserve">nay là xã Hòa Xá),</w:t>
            </w:r>
            <w:r>
              <w:rPr>
                <w:b/>
                <w:bCs/>
                <w:color w:val="000000"/>
                <w:highlight w:val="white"/>
              </w:rPr>
              <w:t xml:space="preserve"> thành phố Hà Nội theo Giấy chứng nhận quyền sử dụng đất, quyền sở hữu nhà ở và tài sản khác gắn liền với đất số: BR 880324, Số vào sổ cấp GCN: CH04324 do UBND huyện Ứng Hòa cấp ngày 08/5/2014; Chủ sử dụng đất là Ông Đoàn Xuân Hưng</w:t>
            </w:r>
            <w:r>
              <w:rPr>
                <w:b/>
                <w:b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highlight w:val="white"/>
              </w:rPr>
            </w:pPr>
            <w:r>
              <w:rPr>
                <w:b w:val="0"/>
                <w:bCs w:val="0"/>
                <w:highlight w:val="none"/>
              </w:rPr>
              <w:t xml:space="preserve">-</w:t>
            </w:r>
            <w:r>
              <w:rPr>
                <w:b w:val="0"/>
                <w:bCs w:val="0"/>
                <w:highlight w:val="white"/>
              </w:rPr>
            </w:r>
            <w:r>
              <w:rPr>
                <w:b w:val="0"/>
                <w:bCs w:val="0"/>
                <w:highlight w:val="white"/>
              </w:rPr>
            </w:r>
          </w:p>
        </w:tc>
        <w:tc>
          <w:tcPr>
            <w:shd w:val="clear" w:color="000000" w:fill="ffffff"/>
            <w:tcBorders/>
            <w:tcW w:w="2376"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nông thôn</w:t>
            </w:r>
            <w:r>
              <w:rPr>
                <w:b w:val="0"/>
                <w:bCs w:val="0"/>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90,0</w:t>
            </w:r>
            <w:r>
              <w:rPr>
                <w:color w:val="000000"/>
                <w:highlight w:val="white"/>
              </w:rPr>
            </w:r>
            <w:r>
              <w:rPr>
                <w:color w:val="000000"/>
                <w:highlight w:val="white"/>
              </w:rPr>
            </w:r>
          </w:p>
        </w:tc>
        <w:tc>
          <w:tcPr>
            <w:shd w:val="clear" w:color="000000" w:fill="ffffff"/>
            <w:tcBorders/>
            <w:tcW w:w="2582"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34.000.000</w:t>
            </w:r>
            <w:r>
              <w:rPr>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3.060.000.000</w:t>
            </w:r>
            <w:r>
              <w:rPr>
                <w:highlight w:val="white"/>
              </w:rPr>
            </w:r>
          </w:p>
        </w:tc>
      </w:tr>
      <w:tr>
        <w:trPr>
          <w:trHeight w:val="20"/>
        </w:trPr>
        <w:tc>
          <w:tcPr>
            <w:gridSpan w:val="4"/>
            <w:tcBorders/>
            <w:tcW w:w="7435"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highlight w:val="white"/>
              </w:rPr>
              <w:t xml:space="preserve">3.060.000.000</w:t>
            </w:r>
            <w:r>
              <w:rPr>
                <w:b/>
                <w:bCs/>
                <w:color w:val="000000"/>
                <w:highlight w:val="white"/>
              </w:rPr>
            </w:r>
            <w:r>
              <w:rPr>
                <w:b/>
                <w:bCs/>
                <w:color w:val="000000"/>
                <w:highlight w:val="white"/>
              </w:rPr>
            </w:r>
          </w:p>
        </w:tc>
      </w:tr>
      <w:tr>
        <w:trPr>
          <w:trHeight w:val="20"/>
        </w:trPr>
        <w:tc>
          <w:tcPr>
            <w:gridSpan w:val="5"/>
            <w:tcBorders/>
            <w:tcW w:w="9599"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Ba tỷ, sáu mươi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lang w:val="pt-BR"/>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Lê Thị Thịnh</w:t>
            </w:r>
            <w:r>
              <w:rPr>
                <w:rFonts w:eastAsia="Calibri"/>
                <w:b/>
                <w:bCs/>
                <w:highlight w:val="white"/>
                <w:lang w:val="vi-VN"/>
              </w:rPr>
            </w:r>
            <w:r>
              <w:rPr>
                <w:rFonts w:eastAsia="Calibri"/>
                <w:b/>
                <w:bCs/>
                <w:highlight w:val="white"/>
                <w:lang w:val="vi-VN"/>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VIII13.990</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lang w:val="pt-BR"/>
              </w:rPr>
            </w:r>
            <w:r>
              <w:rPr>
                <w:rFonts w:eastAsia="Calibri"/>
                <w:b/>
                <w:highlight w:val="white"/>
                <w:lang w:val="pt-BR"/>
              </w:rPr>
            </w:r>
          </w:p>
        </w:tc>
      </w:tr>
    </w:tbl>
    <w:p>
      <w:pPr>
        <w:pBdr/>
        <w:spacing w:after="200" w:line="276" w:lineRule="auto"/>
        <w:ind/>
        <w:rPr>
          <w:highlight w:val="white"/>
        </w:rPr>
      </w:pPr>
      <w:r>
        <w:rPr>
          <w:highlight w:val="white"/>
        </w:rPr>
        <w:br w:type="page" w:clear="all"/>
      </w:r>
      <w:r>
        <w:rPr>
          <w:highlight w:val="white"/>
        </w:rPr>
      </w:r>
    </w:p>
    <w:tbl>
      <w:tblPr>
        <w:tblInd w:w="-284" w:type="dxa"/>
        <w:tblW w:w="9719" w:type="dxa"/>
        <w:tblBorders/>
        <w:tblLayout w:type="fixed"/>
        <w:tblLook w:val="04A0" w:firstRow="1" w:lastRow="0" w:firstColumn="1" w:lastColumn="0" w:noHBand="0" w:noVBand="1"/>
      </w:tblPr>
      <w:tblGrid>
        <w:gridCol w:w="856"/>
        <w:gridCol w:w="4780"/>
        <w:gridCol/>
        <w:gridCol w:w="4084"/>
        <w:gridCol/>
      </w:tblGrid>
      <w:tr>
        <w:trPr>
          <w:trHeight w:val="1843"/>
        </w:trPr>
        <w:tc>
          <w:tcPr>
            <w:gridSpan w:val="2"/>
            <w:tcBorders/>
            <w:tcW w:w="5636"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4084"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0"/>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780" w:type="dxa"/>
            <w:textDirection w:val="lrTb"/>
            <w:noWrap w:val="false"/>
          </w:tcPr>
          <w:p>
            <w:pPr>
              <w:pStyle w:val="1029"/>
              <w:pBdr/>
              <w:spacing w:after="60"/>
              <w:ind/>
              <w:rPr>
                <w:color w:val="000000" w:themeColor="text1"/>
                <w:sz w:val="24"/>
                <w:szCs w:val="24"/>
                <w:highlight w:val="white"/>
              </w:rPr>
            </w:pPr>
            <w:r>
              <w:rPr>
                <w:rStyle w:val="1028"/>
                <w:rFonts w:ascii="Times New Roman" w:hAnsi="Times New Roman"/>
                <w:color w:val="000000" w:themeColor="text1"/>
                <w:highlight w:val="white"/>
                <w:lang w:val="pt-BR"/>
              </w:rPr>
              <w:t xml:space="preserve">Số: </w:t>
            </w:r>
            <w:r>
              <w:rPr>
                <w:rStyle w:val="1028"/>
                <w:rFonts w:ascii="Times New Roman" w:hAnsi="Times New Roman"/>
                <w:color w:val="000000" w:themeColor="text1"/>
                <w:highlight w:val="white"/>
                <w:lang w:val="pt-BR"/>
              </w:rPr>
              <w:t xml:space="preserve">275/2026/1108/VFI-BC.44.A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4084" w:type="dxa"/>
            <w:textDirection w:val="lrTb"/>
            <w:noWrap w:val="false"/>
          </w:tcPr>
          <w:p>
            <w:pPr>
              <w:pStyle w:val="1029"/>
              <w:pBdr/>
              <w:spacing w:after="60"/>
              <w:ind w:right="-56"/>
              <w:jc w:val="right"/>
              <w:rPr>
                <w:color w:val="000000" w:themeColor="text1"/>
                <w:sz w:val="24"/>
                <w:szCs w:val="24"/>
                <w:highlight w:val="white"/>
              </w:rPr>
            </w:pPr>
            <w:r>
              <w:rPr>
                <w:rStyle w:val="1028"/>
                <w:rFonts w:ascii="Times New Roman" w:hAnsi="Times New Roman"/>
                <w:i/>
                <w:color w:val="auto"/>
                <w:highlight w:val="white"/>
              </w:rPr>
              <w:t xml:space="preserve">TP. Hà Nội</w:t>
            </w:r>
            <w:r>
              <w:rPr>
                <w:rStyle w:val="1028"/>
                <w:rFonts w:ascii="Times New Roman" w:hAnsi="Times New Roman"/>
                <w:i/>
                <w:color w:val="auto"/>
                <w:highlight w:val="white"/>
                <w:lang w:val="vi-VN"/>
              </w:rPr>
              <w:t xml:space="preserve">, </w:t>
            </w:r>
            <w:r>
              <w:rPr>
                <w:rStyle w:val="1028"/>
                <w:rFonts w:ascii="Times New Roman" w:hAnsi="Times New Roman"/>
                <w:i/>
                <w:color w:val="000000" w:themeColor="text1"/>
                <w:highlight w:val="white"/>
                <w:lang w:val="vi-VN"/>
              </w:rPr>
              <w:t xml:space="preserve">ngày 22 tháng 7 năm 2026</w:t>
            </w:r>
            <w:r>
              <w:rPr>
                <w:color w:val="000000" w:themeColor="text1"/>
                <w:sz w:val="24"/>
                <w:szCs w:val="24"/>
                <w:highlight w:val="white"/>
                <w:lang w:val="vi-VN"/>
              </w:rPr>
            </w:r>
            <w:r>
              <w:rPr>
                <w:color w:val="000000" w:themeColor="text1"/>
                <w:sz w:val="24"/>
                <w:szCs w:val="24"/>
                <w:highlight w:val="white"/>
                <w:lang w:val="vi-VN"/>
              </w:rPr>
            </w:r>
          </w:p>
        </w:tc>
      </w:tr>
      <w:tr>
        <w:trPr>
          <w:gridAfter w:val="1"/>
          <w:gridBefore w:val="1"/>
          <w:trHeight w:val="84"/>
        </w:trPr>
        <w:tc>
          <w:tcPr>
            <w:gridSpan w:val="2"/>
            <w:shd w:val="clear" w:color="auto" w:fill="auto"/>
            <w:tcBorders/>
            <w:tcMar>
              <w:left w:w="108" w:type="dxa"/>
              <w:top w:w="0" w:type="dxa"/>
              <w:right w:w="108" w:type="dxa"/>
              <w:bottom w:w="0" w:type="dxa"/>
            </w:tcMar>
            <w:tcW w:w="4780" w:type="dxa"/>
            <w:textDirection w:val="lrTb"/>
            <w:noWrap w:val="false"/>
          </w:tcPr>
          <w:p>
            <w:pPr>
              <w:pStyle w:val="1029"/>
              <w:pBdr/>
              <w:spacing w:after="60"/>
              <w:ind/>
              <w:rPr>
                <w:rStyle w:val="1028"/>
                <w:rFonts w:ascii="Times New Roman" w:hAnsi="Times New Roman"/>
                <w:color w:val="000000" w:themeColor="text1"/>
                <w:highlight w:val="white"/>
              </w:rPr>
            </w:pPr>
            <w:r>
              <w:rPr>
                <w:rStyle w:val="1028"/>
                <w:rFonts w:ascii="Times New Roman" w:hAnsi="Times New Roman"/>
                <w:color w:val="000000" w:themeColor="text1"/>
                <w:highlight w:val="white"/>
                <w:lang w:val="pt-BR"/>
              </w:rPr>
            </w:r>
            <w:r>
              <w:rPr>
                <w:rStyle w:val="1028"/>
                <w:rFonts w:ascii="Times New Roman" w:hAnsi="Times New Roman"/>
                <w:color w:val="000000" w:themeColor="text1"/>
                <w:highlight w:val="white"/>
                <w:lang w:val="pt-BR"/>
              </w:rPr>
            </w:r>
            <w:r>
              <w:rPr>
                <w:rStyle w:val="1028"/>
                <w:rFonts w:ascii="Times New Roman" w:hAnsi="Times New Roman"/>
                <w:color w:val="000000" w:themeColor="text1"/>
                <w:highlight w:val="white"/>
                <w:lang w:val="pt-BR"/>
              </w:rPr>
            </w:r>
          </w:p>
        </w:tc>
        <w:tc>
          <w:tcPr>
            <w:shd w:val="clear" w:color="auto" w:fill="auto"/>
            <w:tcBorders/>
            <w:tcMar>
              <w:left w:w="108" w:type="dxa"/>
              <w:top w:w="0" w:type="dxa"/>
              <w:right w:w="108" w:type="dxa"/>
              <w:bottom w:w="0" w:type="dxa"/>
            </w:tcMar>
            <w:tcW w:w="4084" w:type="dxa"/>
            <w:textDirection w:val="lrTb"/>
            <w:noWrap w:val="false"/>
          </w:tcPr>
          <w:p>
            <w:pPr>
              <w:pStyle w:val="1029"/>
              <w:pBdr/>
              <w:spacing w:after="60"/>
              <w:ind w:right="-56"/>
              <w:rPr>
                <w:rStyle w:val="1028"/>
                <w:rFonts w:ascii="Times New Roman" w:hAnsi="Times New Roman"/>
                <w:i/>
                <w:color w:val="auto"/>
                <w:highlight w:val="white"/>
              </w:rPr>
            </w:pPr>
            <w:r>
              <w:rPr>
                <w:rFonts w:ascii="Times New Roman" w:hAnsi="Times New Roman"/>
                <w:i/>
                <w:color w:val="auto"/>
                <w:highlight w:val="white"/>
              </w:rPr>
            </w:r>
            <w:r>
              <w:rPr>
                <w:rStyle w:val="1028"/>
                <w:rFonts w:ascii="Times New Roman" w:hAnsi="Times New Roman"/>
                <w:i/>
                <w:color w:val="auto"/>
                <w:highlight w:val="white"/>
              </w:rPr>
            </w:r>
            <w:r>
              <w:rPr>
                <w:rStyle w:val="1028"/>
                <w:rFonts w:ascii="Times New Roman" w:hAnsi="Times New Roman"/>
                <w:i/>
                <w:color w:val="auto"/>
                <w:highlight w:val="white"/>
              </w:rPr>
            </w:r>
          </w:p>
        </w:tc>
      </w:tr>
    </w:tbl>
    <w:p>
      <w:pPr>
        <w:pStyle w:val="1029"/>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09"/>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275/2026/1108/VFI-CT.44.A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22 tháng 7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09"/>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CP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TP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w:t>
            </w:r>
            <w:r>
              <w:rPr>
                <w:b/>
                <w:bCs/>
                <w:highlight w:val="none"/>
              </w:rPr>
              <w:t xml:space="preserve">Đ</w:t>
            </w:r>
            <w:r>
              <w:rPr>
                <w:b/>
                <w:bCs/>
                <w:highlight w:val="white"/>
                <w:lang w:val="vi-VN"/>
              </w:rPr>
            </w:r>
          </w:p>
        </w:tc>
      </w:tr>
    </w:tbl>
    <w:p>
      <w:pPr>
        <w:pStyle w:val="1030"/>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tabs>
                <w:tab w:val="left" w:leader="none" w:pos="1740"/>
              </w:tabs>
              <w:spacing/>
              <w:ind/>
              <w:rPr>
                <w:b/>
                <w:bCs/>
                <w:highlight w:val="white"/>
              </w:rPr>
            </w:pPr>
            <w:r>
              <w:rPr>
                <w:b/>
                <w:bCs/>
                <w:highlight w:val="white"/>
              </w:rPr>
            </w:r>
            <w:r>
              <w:rPr>
                <w:b/>
                <w:bCs/>
                <w:color w:val="000000" w:themeColor="text1"/>
                <w:spacing w:val="-4"/>
                <w:highlight w:val="white"/>
              </w:rPr>
              <w:t xml:space="preserve">Ông Đoàn Xuân Hưng</w:t>
            </w:r>
            <w:r>
              <w:rPr>
                <w:b/>
                <w:bCs/>
                <w:highlight w:val="white"/>
              </w:rPr>
            </w:r>
            <w:r>
              <w:rPr>
                <w:b/>
                <w:bCs/>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001068006093</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Xã Hòa Xá, thành phố Hà Nội</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lang w:val="pt-BR"/>
              </w:rPr>
            </w:r>
          </w:p>
        </w:tc>
        <w:tc>
          <w:tcPr>
            <w:tcBorders/>
            <w:tcW w:w="284" w:type="dxa"/>
            <w:vAlign w:val="center"/>
            <w:textDirection w:val="lrTb"/>
            <w:noWrap w:val="false"/>
          </w:tcPr>
          <w:p>
            <w:pPr>
              <w:pStyle w:val="1030"/>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t xml:space="preserve">Quyền sử dụng đất tại thửa đất số: 656, tờ bản đồ số: 11, có địa chỉ: Thôn Nội Lưu, xã Lưu Hoàng, huyện Ứng</w:t>
            </w:r>
            <w:r>
              <w:rPr>
                <w:bCs/>
                <w:color w:val="000000" w:themeColor="text1"/>
                <w:highlight w:val="white"/>
                <w:lang w:val="pt-BR"/>
              </w:rPr>
              <w:t xml:space="preserve"> Hòa (</w:t>
            </w:r>
            <w:r>
              <w:rPr>
                <w:bCs/>
                <w:i/>
                <w:iCs/>
                <w:color w:val="000000" w:themeColor="text1"/>
                <w:highlight w:val="white"/>
                <w:lang w:val="pt-BR"/>
              </w:rPr>
              <w:t xml:space="preserve">nay là xã Hòa Xá</w:t>
            </w:r>
            <w:r>
              <w:rPr>
                <w:bCs/>
                <w:color w:val="000000" w:themeColor="text1"/>
                <w:highlight w:val="white"/>
                <w:lang w:val="pt-BR"/>
              </w:rPr>
              <w:t xml:space="preserve">), thành phố Hà Nội theo Giấy chứng nhận quyền sử dụng đất, quyền sở hữu nhà ở và tài sản khác gắn liền với đất số: BR 880324, Số vào sổ cấp GCN: CH04324 do UBND huyện Ứng Hòa cấp ngày 08/5/2014; Chủ sử dụng đất là Ông Đoàn Xuân Hưng</w:t>
            </w:r>
            <w:r>
              <w:rPr>
                <w:bCs/>
                <w:spacing w:val="2"/>
                <w:highlight w:val="white"/>
              </w:rPr>
              <w:t xml:space="preserve">.</w:t>
            </w:r>
            <w:r>
              <w:rPr>
                <w:b/>
                <w:bCs/>
                <w:spacing w:val="2"/>
                <w:highlight w:val="white"/>
                <w:lang w:val="vi-VN"/>
              </w:rPr>
            </w:r>
            <w:r>
              <w:rPr>
                <w:b/>
                <w:bCs/>
                <w:spacing w:val="2"/>
                <w:highlight w:val="white"/>
                <w:lang w:val="vi-VN"/>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lang w:val="pt-BR"/>
              </w:rPr>
            </w:r>
          </w:p>
        </w:tc>
        <w:tc>
          <w:tcPr>
            <w:tcBorders/>
            <w:tcW w:w="284" w:type="dxa"/>
            <w:vAlign w:val="center"/>
            <w:textDirection w:val="lrTb"/>
            <w:noWrap w:val="false"/>
          </w:tcPr>
          <w:p>
            <w:pPr>
              <w:pStyle w:val="1030"/>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30"/>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0"/>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7/2026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0"/>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Xã Hòa Xá, Thành phố Hà Nội</w:t>
            </w:r>
            <w:r>
              <w:rPr>
                <w:color w:val="ee0000"/>
                <w:highlight w:val="white"/>
                <w:lang w:val="pt-BR"/>
              </w:rPr>
            </w:r>
            <w:r>
              <w:rPr>
                <w:color w:val="ee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0"/>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10"/>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20.647305555556, 105.80169444444</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0"/>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7/2026</w:t>
            </w:r>
            <w:r>
              <w:rPr>
                <w:highlight w:val="white"/>
                <w:lang w:val="pt-BR"/>
              </w:rPr>
              <w:t xml:space="preserve">.</w:t>
            </w:r>
            <w:r>
              <w:rPr>
                <w:highlight w:val="white"/>
                <w:lang w:val="pt-BR"/>
              </w:rPr>
            </w:r>
            <w:r>
              <w:rPr>
                <w:highlight w:val="white"/>
                <w:lang w:val="pt-BR"/>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lang w:val="pt-BR"/>
        </w:rPr>
      </w:r>
    </w:p>
    <w:p>
      <w:pPr>
        <w:pStyle w:val="1030"/>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lang w:val="vi-VN"/>
        </w:rPr>
      </w:r>
    </w:p>
    <w:p>
      <w:pPr>
        <w:pStyle w:val="1030"/>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lang w:val="pt-BR"/>
        </w:rPr>
      </w:r>
    </w:p>
    <w:p>
      <w:pPr>
        <w:pStyle w:val="1030"/>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lang w:val="pt-BR"/>
        </w:rPr>
      </w:r>
    </w:p>
    <w:p>
      <w:pPr>
        <w:pStyle w:val="1030"/>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lang w:val="pt-BR"/>
        </w:rPr>
      </w:r>
    </w:p>
    <w:p>
      <w:pPr>
        <w:pStyle w:val="1030"/>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lang w:val="pt-BR"/>
        </w:rPr>
      </w:r>
    </w:p>
    <w:p>
      <w:pPr>
        <w:pStyle w:val="1030"/>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lang w:val="pt-BR"/>
        </w:rPr>
      </w:r>
    </w:p>
    <w:p>
      <w:pPr>
        <w:pStyle w:val="1030"/>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lang w:val="pt-BR"/>
        </w:rPr>
      </w:r>
    </w:p>
    <w:p>
      <w:pPr>
        <w:pStyle w:val="1030"/>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highlight w:val="white"/>
          <w:lang w:val="pt-BR"/>
        </w:rPr>
      </w:r>
      <w:r>
        <w:rPr>
          <w:bCs/>
          <w:spacing w:val="-4"/>
          <w:highlight w:val="white"/>
          <w:lang w:val="pt-BR"/>
        </w:rPr>
      </w:r>
    </w:p>
    <w:p>
      <w:pPr>
        <w:pStyle w:val="1030"/>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lang w:val="pt-BR"/>
        </w:rPr>
      </w:r>
      <w:r>
        <w:rPr>
          <w:b/>
          <w:highlight w:val="white"/>
          <w:lang w:val="pt-BR"/>
        </w:rPr>
      </w:r>
    </w:p>
    <w:p>
      <w:pPr>
        <w:pStyle w:val="1030"/>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lang w:val="pt-BR"/>
        </w:rPr>
      </w:r>
    </w:p>
    <w:p>
      <w:pPr>
        <w:pStyle w:val="1030"/>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lang w:val="pt-BR"/>
        </w:rPr>
      </w:r>
    </w:p>
    <w:p>
      <w:pPr>
        <w:pStyle w:val="1030"/>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lang w:val="pt-BR"/>
        </w:rPr>
      </w:r>
    </w:p>
    <w:p>
      <w:pPr>
        <w:pStyle w:val="1030"/>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đất, quyền sở hữu nhà ở và tài sản khác gắn liền với đất số: BR 880324, Số vào sổ cấp GCN: CH04324 do UBND huyện Ứng Hòa cấp ngày 08/05/2014; Chủ sử dụng đất là Ông Đoàn Xuân Hưng</w:t>
      </w:r>
      <w:r>
        <w:rPr>
          <w:highlight w:val="white"/>
          <w:lang w:val="pt-BR"/>
        </w:rPr>
        <w:t xml:space="preserve">.</w:t>
      </w:r>
      <w:r>
        <w:rPr>
          <w:i/>
          <w:iCs/>
          <w:highlight w:val="white"/>
          <w:lang w:val="pt-BR"/>
        </w:rPr>
      </w:r>
      <w:r>
        <w:rPr>
          <w:i/>
          <w:iCs/>
          <w:highlight w:val="white"/>
          <w:lang w:val="pt-BR"/>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0"/>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dịch vụ thẩm định giá số 275/2026/1108/VFI-HĐTĐ.44.A ngày 17/7/2026 giữa Ông Đoàn Xuân Hưng với Công ty Cổ phần Thẩm định và Đầu tư Tài chính Hoa Sen;</w:t>
      </w:r>
      <w:r>
        <w:rPr>
          <w:b/>
          <w:highlight w:val="white"/>
          <w:lang w:val="pt-BR"/>
        </w:rPr>
      </w:r>
      <w:r>
        <w:rPr>
          <w:b/>
          <w:highlight w:val="white"/>
          <w:lang w:val="pt-BR"/>
        </w:rPr>
      </w:r>
    </w:p>
    <w:p>
      <w:pPr>
        <w:pStyle w:val="1030"/>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pPr>
        <w:pBdr>
          <w:top w:val="none" w:color="000000" w:sz="4" w:space="0"/>
          <w:left w:val="none" w:color="000000" w:sz="4" w:space="0"/>
          <w:bottom w:val="none" w:color="000000" w:sz="4" w:space="0"/>
          <w:right w:val="none" w:color="000000" w:sz="4" w:space="0"/>
        </w:pBdr>
        <w:spacing w:after="240" w:before="180"/>
        <w:ind w:right="0" w:firstLine="0" w:left="0"/>
        <w:jc w:val="both"/>
        <w:rPr>
          <w:rFonts w:ascii="Times New Roman" w:hAnsi="Times New Roman" w:cs="Times New Roman"/>
          <w:szCs w:val="24"/>
          <w:highlight w:val="white"/>
        </w:rPr>
      </w:pPr>
      <w:r>
        <w:rPr>
          <w:highlight w:val="white"/>
          <w:lang w:val="pt-BR"/>
        </w:rPr>
        <w:tab/>
      </w:r>
      <w:r>
        <w:rPr>
          <w:rFonts w:ascii="Times New Roman" w:hAnsi="Times New Roman" w:eastAsia="Times New Roman" w:cs="Times New Roman"/>
          <w:color w:val="000000"/>
          <w:sz w:val="24"/>
          <w:szCs w:val="24"/>
          <w:highlight w:val="white"/>
          <w:u w:val="none"/>
        </w:rPr>
        <w:t xml:space="preserve">Thị trường </w:t>
      </w:r>
      <w:r>
        <w:rPr>
          <w:rFonts w:ascii="Times New Roman" w:hAnsi="Times New Roman" w:eastAsia="Times New Roman" w:cs="Times New Roman"/>
          <w:b/>
          <w:color w:val="000000"/>
          <w:sz w:val="24"/>
          <w:szCs w:val="24"/>
          <w:highlight w:val="white"/>
          <w:u w:val="none"/>
        </w:rPr>
        <w:t xml:space="preserve">bất động sản (BĐS) huyện Ứng Hòa năm 2026</w:t>
      </w:r>
      <w:r>
        <w:rPr>
          <w:rFonts w:ascii="Times New Roman" w:hAnsi="Times New Roman" w:eastAsia="Times New Roman" w:cs="Times New Roman"/>
          <w:color w:val="000000"/>
          <w:sz w:val="24"/>
          <w:szCs w:val="24"/>
          <w:highlight w:val="white"/>
        </w:rPr>
        <w:t xml:space="preserve"> đang ghi nhận những bước chuyển mình mạnh mẽ, chuyển dịch từ một vùng trũng thông tin sang một thị trường vùng ven sôi động. Sự thay đổi này được thúc đẩy trực tiếp bởi các thông tin quy hoạch hạ tầng giao thông lớn, làn sóng đấu giá đất bùng nổ, và việc </w:t>
      </w:r>
      <w:r>
        <w:rPr>
          <w:rFonts w:ascii="Times New Roman" w:hAnsi="Times New Roman" w:eastAsia="Times New Roman" w:cs="Times New Roman"/>
          <w:color w:val="000000"/>
          <w:sz w:val="24"/>
          <w:szCs w:val="24"/>
          <w:highlight w:val="white"/>
        </w:rPr>
        <w:t xml:space="preserve">sáp nhập, sắp xếp lại các đơn vị hành chính.</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jc w:val="both"/>
        <w:rPr>
          <w:rFonts w:ascii="Times New Roman" w:hAnsi="Times New Roman" w:cs="Times New Roman"/>
          <w:sz w:val="24"/>
          <w:szCs w:val="24"/>
          <w:highlight w:val="white"/>
        </w:rPr>
      </w:pPr>
      <w:r>
        <w:rPr>
          <w:rFonts w:ascii="Times New Roman" w:hAnsi="Times New Roman" w:eastAsia="Times New Roman" w:cs="Times New Roman"/>
          <w:b/>
          <w:color w:val="000000"/>
          <w:sz w:val="24"/>
          <w:szCs w:val="24"/>
          <w:highlight w:val="white"/>
        </w:rPr>
        <w:t xml:space="preserve">1. Cú Hích Hạ Tầng &amp; Quy Hoạch Chi Phối Thị Trường</w:t>
      </w:r>
      <w:r>
        <w:rPr>
          <w:rFonts w:ascii="Times New Roman" w:hAnsi="Times New Roman" w:eastAsia="Times New Roman" w:cs="Times New Roman"/>
          <w:sz w:val="24"/>
          <w:szCs w:val="24"/>
          <w:highlight w:val="white"/>
        </w:rPr>
      </w:r>
      <w:r>
        <w:rPr>
          <w:rFonts w:ascii="Times New Roman" w:hAnsi="Times New Roman" w:cs="Times New Roman"/>
          <w:sz w:val="24"/>
          <w:szCs w:val="24"/>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jc w:val="both"/>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Hạ tầng giao thông và các định hướng quy hoạch của Thủ đô đang là "ngòi nổ" lớn nhất cho giá trị đất đai tại Ứng Hòa:</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Style w:val="1030"/>
        <w:numPr>
          <w:ilvl w:val="0"/>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Quy hoạch Sân bay thứ 2 của Hà Nội:</w:t>
      </w:r>
      <w:r>
        <w:rPr>
          <w:rFonts w:ascii="Times New Roman" w:hAnsi="Times New Roman" w:eastAsia="Times New Roman" w:cs="Times New Roman"/>
          <w:color w:val="000000"/>
          <w:sz w:val="24"/>
          <w:szCs w:val="24"/>
          <w:highlight w:val="white"/>
          <w:u w:val="none"/>
        </w:rPr>
        <w:t xml:space="preserve"> Việc thành phố tiếp tục triển khai các bước chuẩn bị, khảo sát cho dự án</w:t>
      </w:r>
      <w:r>
        <w:rPr>
          <w:rFonts w:ascii="Times New Roman" w:hAnsi="Times New Roman" w:eastAsia="Times New Roman" w:cs="Times New Roman"/>
          <w:b w:val="0"/>
          <w:bCs w:val="0"/>
          <w:color w:val="000000"/>
          <w:sz w:val="24"/>
          <w:szCs w:val="24"/>
          <w:highlight w:val="white"/>
          <w:u w:val="none"/>
        </w:rPr>
        <w:t xml:space="preserve"> </w:t>
      </w:r>
      <w:r>
        <w:rPr>
          <w:rFonts w:ascii="Times New Roman" w:hAnsi="Times New Roman" w:eastAsia="Times New Roman" w:cs="Times New Roman"/>
          <w:b w:val="0"/>
          <w:bCs w:val="0"/>
          <w:color w:val="000000"/>
          <w:sz w:val="24"/>
          <w:szCs w:val="24"/>
          <w:highlight w:val="white"/>
          <w:u w:val="none"/>
        </w:rPr>
        <w:t xml:space="preserve">Sân bay thứ 2 vùng Thủ đô (quy mô dự kiến 1.500ha)</w:t>
      </w:r>
      <w:r>
        <w:rPr>
          <w:rFonts w:ascii="Times New Roman" w:hAnsi="Times New Roman" w:eastAsia="Times New Roman" w:cs="Times New Roman"/>
          <w:b w:val="0"/>
          <w:bCs w:val="0"/>
          <w:color w:val="000000"/>
          <w:sz w:val="24"/>
          <w:szCs w:val="24"/>
          <w:highlight w:val="white"/>
          <w:u w:val="none"/>
        </w:rPr>
        <w:t xml:space="preserve"> tại khu vực phía Nam (trong đó Ứng Hòa là một trong những địa bàn trọng điểm được đề xuất) đ</w:t>
      </w:r>
      <w:r>
        <w:rPr>
          <w:rFonts w:ascii="Times New Roman" w:hAnsi="Times New Roman" w:eastAsia="Times New Roman" w:cs="Times New Roman"/>
          <w:color w:val="000000"/>
          <w:sz w:val="24"/>
          <w:szCs w:val="24"/>
          <w:highlight w:val="white"/>
          <w:u w:val="none"/>
        </w:rPr>
        <w:t xml:space="preserve">ã thu hút dòng tiền đầu tư dài hạn đổ về đón đầu.</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Style w:val="1030"/>
        <w:numPr>
          <w:ilvl w:val="0"/>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b w:val="0"/>
          <w:bCs w:val="0"/>
          <w:szCs w:val="24"/>
          <w:highlight w:val="white"/>
        </w:rPr>
      </w:pPr>
      <w:r>
        <w:rPr>
          <w:rFonts w:ascii="Times New Roman" w:hAnsi="Times New Roman" w:eastAsia="Times New Roman" w:cs="Times New Roman"/>
          <w:b/>
          <w:color w:val="000000"/>
          <w:sz w:val="24"/>
          <w:szCs w:val="24"/>
          <w:highlight w:val="white"/>
          <w:u w:val="none"/>
        </w:rPr>
        <w:t xml:space="preserve">Nâng cấp các trục giao thông huyết mạch:</w:t>
      </w:r>
      <w:r>
        <w:rPr>
          <w:rFonts w:ascii="Times New Roman" w:hAnsi="Times New Roman" w:eastAsia="Times New Roman" w:cs="Times New Roman"/>
          <w:color w:val="000000"/>
          <w:sz w:val="24"/>
          <w:szCs w:val="24"/>
          <w:highlight w:val="white"/>
          <w:u w:val="none"/>
        </w:rPr>
        <w:t xml:space="preserve"> Các dự án mở rộng </w:t>
      </w:r>
      <w:r>
        <w:rPr>
          <w:rFonts w:ascii="Times New Roman" w:hAnsi="Times New Roman" w:eastAsia="Times New Roman" w:cs="Times New Roman"/>
          <w:b w:val="0"/>
          <w:bCs w:val="0"/>
          <w:color w:val="000000"/>
          <w:sz w:val="24"/>
          <w:szCs w:val="24"/>
          <w:highlight w:val="white"/>
          <w:u w:val="none"/>
        </w:rPr>
        <w:t xml:space="preserve">Quốc lộ 21B</w:t>
      </w:r>
      <w:r>
        <w:rPr>
          <w:rFonts w:ascii="Times New Roman" w:hAnsi="Times New Roman" w:eastAsia="Times New Roman" w:cs="Times New Roman"/>
          <w:b w:val="0"/>
          <w:bCs w:val="0"/>
          <w:color w:val="000000"/>
          <w:sz w:val="24"/>
          <w:szCs w:val="24"/>
          <w:highlight w:val="white"/>
          <w:u w:val="none"/>
        </w:rPr>
        <w:t xml:space="preserve">, hoàn thiện </w:t>
      </w:r>
      <w:r>
        <w:rPr>
          <w:rFonts w:ascii="Times New Roman" w:hAnsi="Times New Roman" w:eastAsia="Times New Roman" w:cs="Times New Roman"/>
          <w:b w:val="0"/>
          <w:bCs w:val="0"/>
          <w:color w:val="000000"/>
          <w:sz w:val="24"/>
          <w:szCs w:val="24"/>
          <w:highlight w:val="white"/>
          <w:u w:val="none"/>
        </w:rPr>
        <w:t xml:space="preserve">Đường trục phía Nam tỉnh Hà Tây (cũ)</w:t>
      </w:r>
      <w:r>
        <w:rPr>
          <w:rFonts w:ascii="Times New Roman" w:hAnsi="Times New Roman" w:eastAsia="Times New Roman" w:cs="Times New Roman"/>
          <w:b w:val="0"/>
          <w:bCs w:val="0"/>
          <w:color w:val="000000"/>
          <w:sz w:val="24"/>
          <w:szCs w:val="24"/>
          <w:highlight w:val="white"/>
          <w:u w:val="none"/>
        </w:rPr>
        <w:t xml:space="preserve"> giúp rút ngắn đáng kể thời gian di chuyển từ trung tâm Hà Đông về Ứng Hòa, kết nối liên vùng thông suốt.</w:t>
      </w:r>
      <w:r>
        <w:rPr>
          <w:rFonts w:ascii="Times New Roman" w:hAnsi="Times New Roman" w:eastAsia="Times New Roman" w:cs="Times New Roman"/>
          <w:b w:val="0"/>
          <w:bCs w:val="0"/>
          <w:sz w:val="24"/>
          <w:szCs w:val="24"/>
          <w:highlight w:val="white"/>
        </w:rPr>
      </w:r>
      <w:r>
        <w:rPr>
          <w:rFonts w:ascii="Times New Roman" w:hAnsi="Times New Roman" w:cs="Times New Roman"/>
          <w:b w:val="0"/>
          <w:bCs w:val="0"/>
          <w:szCs w:val="24"/>
          <w:highlight w:val="white"/>
        </w:rPr>
      </w:r>
    </w:p>
    <w:p>
      <w:pPr>
        <w:pStyle w:val="1030"/>
        <w:numPr>
          <w:ilvl w:val="0"/>
          <w:numId w:val="39"/>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b w:val="0"/>
          <w:bCs w:val="0"/>
          <w:szCs w:val="24"/>
          <w:highlight w:val="white"/>
        </w:rPr>
      </w:pPr>
      <w:r>
        <w:rPr>
          <w:rFonts w:ascii="Times New Roman" w:hAnsi="Times New Roman" w:eastAsia="Times New Roman" w:cs="Times New Roman"/>
          <w:b/>
          <w:color w:val="000000"/>
          <w:sz w:val="24"/>
          <w:szCs w:val="24"/>
          <w:highlight w:val="white"/>
          <w:u w:val="none"/>
        </w:rPr>
        <w:t xml:space="preserve">Thành lập cụm công nghiệp mới:</w:t>
      </w:r>
      <w:r>
        <w:rPr>
          <w:rFonts w:ascii="Times New Roman" w:hAnsi="Times New Roman" w:eastAsia="Times New Roman" w:cs="Times New Roman"/>
          <w:color w:val="000000"/>
          <w:sz w:val="24"/>
          <w:szCs w:val="24"/>
          <w:highlight w:val="white"/>
          <w:u w:val="none"/>
        </w:rPr>
        <w:t xml:space="preserve"> Việc tiếp nhận hồ sơ th</w:t>
      </w:r>
      <w:r>
        <w:rPr>
          <w:rFonts w:ascii="Times New Roman" w:hAnsi="Times New Roman" w:eastAsia="Times New Roman" w:cs="Times New Roman"/>
          <w:b w:val="0"/>
          <w:bCs w:val="0"/>
          <w:color w:val="000000"/>
          <w:sz w:val="24"/>
          <w:szCs w:val="24"/>
          <w:highlight w:val="white"/>
          <w:u w:val="none"/>
        </w:rPr>
        <w:t xml:space="preserve">ành lập các cụm công nghiệp quy mô lớn như </w:t>
      </w:r>
      <w:r>
        <w:rPr>
          <w:rFonts w:ascii="Times New Roman" w:hAnsi="Times New Roman" w:eastAsia="Times New Roman" w:cs="Times New Roman"/>
          <w:b w:val="0"/>
          <w:bCs w:val="0"/>
          <w:color w:val="000000"/>
          <w:sz w:val="24"/>
          <w:szCs w:val="24"/>
          <w:highlight w:val="white"/>
          <w:u w:val="none"/>
        </w:rPr>
        <w:t xml:space="preserve">Cụm công nghiệp Minh Đức</w:t>
      </w:r>
      <w:r>
        <w:rPr>
          <w:rFonts w:ascii="Times New Roman" w:hAnsi="Times New Roman" w:eastAsia="Times New Roman" w:cs="Times New Roman"/>
          <w:b w:val="0"/>
          <w:bCs w:val="0"/>
          <w:color w:val="000000"/>
          <w:sz w:val="24"/>
          <w:szCs w:val="24"/>
          <w:highlight w:val="white"/>
          <w:u w:val="none"/>
        </w:rPr>
        <w:t xml:space="preserve"> và </w:t>
      </w:r>
      <w:r>
        <w:rPr>
          <w:rFonts w:ascii="Times New Roman" w:hAnsi="Times New Roman" w:eastAsia="Times New Roman" w:cs="Times New Roman"/>
          <w:b w:val="0"/>
          <w:bCs w:val="0"/>
          <w:color w:val="000000"/>
          <w:sz w:val="24"/>
          <w:szCs w:val="24"/>
          <w:highlight w:val="white"/>
          <w:u w:val="none"/>
        </w:rPr>
        <w:t xml:space="preserve">Cụm công nghiệp làng nghề Đồng Tân</w:t>
      </w:r>
      <w:r>
        <w:rPr>
          <w:rFonts w:ascii="Times New Roman" w:hAnsi="Times New Roman" w:eastAsia="Times New Roman" w:cs="Times New Roman"/>
          <w:b w:val="0"/>
          <w:bCs w:val="0"/>
          <w:color w:val="000000"/>
          <w:sz w:val="24"/>
          <w:szCs w:val="24"/>
          <w:highlight w:val="white"/>
          <w:u w:val="none"/>
        </w:rPr>
        <w:t xml:space="preserve"> thúc đẩy phân khúc đất nền nhà xưởng, đất ven khu công nghiệp tăng trưởng vượt bậc.</w:t>
      </w:r>
      <w:r>
        <w:rPr>
          <w:rFonts w:ascii="Times New Roman" w:hAnsi="Times New Roman" w:eastAsia="Times New Roman" w:cs="Times New Roman"/>
          <w:b w:val="0"/>
          <w:bCs w:val="0"/>
          <w:sz w:val="24"/>
          <w:szCs w:val="24"/>
          <w:highlight w:val="white"/>
        </w:rPr>
      </w:r>
      <w:r>
        <w:rPr>
          <w:rFonts w:ascii="Times New Roman" w:hAnsi="Times New Roman" w:cs="Times New Roman"/>
          <w:b w:val="0"/>
          <w:bCs w:val="0"/>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jc w:val="both"/>
        <w:rPr>
          <w:rFonts w:ascii="Times New Roman" w:hAnsi="Times New Roman" w:cs="Times New Roman"/>
          <w:sz w:val="24"/>
          <w:szCs w:val="24"/>
          <w:highlight w:val="white"/>
        </w:rPr>
      </w:pPr>
      <w:r>
        <w:rPr>
          <w:rFonts w:ascii="Times New Roman" w:hAnsi="Times New Roman" w:eastAsia="Times New Roman" w:cs="Times New Roman"/>
          <w:b/>
          <w:color w:val="000000"/>
          <w:sz w:val="24"/>
          <w:szCs w:val="24"/>
          <w:highlight w:val="white"/>
        </w:rPr>
        <w:t xml:space="preserve">2. Tiêu Điểm Đất Đấu Giá Gây Sốt Trong Năm 2026</w:t>
      </w:r>
      <w:r>
        <w:rPr>
          <w:rFonts w:ascii="Times New Roman" w:hAnsi="Times New Roman" w:eastAsia="Times New Roman" w:cs="Times New Roman"/>
          <w:sz w:val="24"/>
          <w:szCs w:val="24"/>
          <w:highlight w:val="white"/>
        </w:rPr>
      </w:r>
      <w:r>
        <w:rPr>
          <w:rFonts w:ascii="Times New Roman" w:hAnsi="Times New Roman" w:cs="Times New Roman"/>
          <w:sz w:val="24"/>
          <w:szCs w:val="24"/>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jc w:val="both"/>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Hoạt động đấu giá quyền sử dụng đất tại Ứng Hòa diễn ra vô cùng sôi động từ đầu năm, đóng vai trò dẫn dắt mặt bằng giá của khu vực:</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Style w:val="1030"/>
        <w:numPr>
          <w:ilvl w:val="0"/>
          <w:numId w:val="40"/>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Các phiên đấu giá bùng nổ:</w:t>
      </w:r>
      <w:r>
        <w:rPr>
          <w:rFonts w:ascii="Times New Roman" w:hAnsi="Times New Roman" w:eastAsia="Times New Roman" w:cs="Times New Roman"/>
          <w:color w:val="000000"/>
          <w:sz w:val="24"/>
          <w:szCs w:val="24"/>
          <w:highlight w:val="white"/>
          <w:u w:val="none"/>
        </w:rPr>
        <w:t xml:space="preserve"> Điển hình vào giữa năm 2026, phiên đấu giá thành công </w:t>
      </w:r>
      <w:r>
        <w:rPr>
          <w:rFonts w:ascii="Times New Roman" w:hAnsi="Times New Roman" w:eastAsia="Times New Roman" w:cs="Times New Roman"/>
          <w:b/>
          <w:color w:val="000000"/>
          <w:sz w:val="24"/>
          <w:szCs w:val="24"/>
          <w:highlight w:val="white"/>
          <w:u w:val="none"/>
        </w:rPr>
        <w:t xml:space="preserve">34 thửa đất tại thôn Hùng Vương (xã Ứng Hòa)</w:t>
      </w:r>
      <w:r>
        <w:rPr>
          <w:rFonts w:ascii="Times New Roman" w:hAnsi="Times New Roman" w:eastAsia="Times New Roman" w:cs="Times New Roman"/>
          <w:color w:val="000000"/>
          <w:sz w:val="24"/>
          <w:szCs w:val="24"/>
          <w:highlight w:val="white"/>
          <w:u w:val="none"/>
        </w:rPr>
        <w:t xml:space="preserve"> đã thu về ngân sách hơn </w:t>
      </w:r>
      <w:r>
        <w:rPr>
          <w:rFonts w:ascii="Times New Roman" w:hAnsi="Times New Roman" w:eastAsia="Times New Roman" w:cs="Times New Roman"/>
          <w:b/>
          <w:color w:val="000000"/>
          <w:sz w:val="24"/>
          <w:szCs w:val="24"/>
          <w:highlight w:val="white"/>
          <w:u w:val="none"/>
        </w:rPr>
        <w:t xml:space="preserve">118,8 tỷ đồng</w:t>
      </w:r>
      <w:r>
        <w:rPr>
          <w:rFonts w:ascii="Times New Roman" w:hAnsi="Times New Roman" w:eastAsia="Times New Roman" w:cs="Times New Roman"/>
          <w:color w:val="000000"/>
          <w:sz w:val="24"/>
          <w:szCs w:val="24"/>
          <w:highlight w:val="white"/>
          <w:u w:val="none"/>
        </w:rPr>
        <w:t xml:space="preserve">.</w:t>
      </w:r>
      <w:r>
        <w:rPr>
          <w:rFonts w:ascii="Times New Roman" w:hAnsi="Times New Roman" w:eastAsia="Times New Roman" w:cs="Times New Roman"/>
          <w:color w:val="000000"/>
          <w:sz w:val="24"/>
          <w:szCs w:val="24"/>
          <w:highlight w:val="white"/>
        </w:rPr>
        <w:t xml:space="preserve"> </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Style w:val="1030"/>
        <w:numPr>
          <w:ilvl w:val="0"/>
          <w:numId w:val="40"/>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Mức giá trúng:</w:t>
      </w:r>
      <w:r>
        <w:rPr>
          <w:rFonts w:ascii="Times New Roman" w:hAnsi="Times New Roman" w:eastAsia="Times New Roman" w:cs="Times New Roman"/>
          <w:color w:val="000000"/>
          <w:sz w:val="24"/>
          <w:szCs w:val="24"/>
          <w:highlight w:val="white"/>
          <w:u w:val="none"/>
        </w:rPr>
        <w:t xml:space="preserve"> Giá khởi điểm chỉ từ khoảng </w:t>
      </w:r>
      <w:r>
        <w:rPr>
          <w:rFonts w:ascii="Times New Roman" w:hAnsi="Times New Roman" w:eastAsia="Times New Roman" w:cs="Times New Roman"/>
          <w:b/>
          <w:color w:val="000000"/>
          <w:sz w:val="24"/>
          <w:szCs w:val="24"/>
          <w:highlight w:val="white"/>
          <w:u w:val="none"/>
        </w:rPr>
        <w:t xml:space="preserve">8 triệu đồng/m²</w:t>
      </w:r>
      <w:r>
        <w:rPr>
          <w:rFonts w:ascii="Times New Roman" w:hAnsi="Times New Roman" w:eastAsia="Times New Roman" w:cs="Times New Roman"/>
          <w:color w:val="000000"/>
          <w:sz w:val="24"/>
          <w:szCs w:val="24"/>
          <w:highlight w:val="white"/>
          <w:u w:val="none"/>
        </w:rPr>
        <w:t xml:space="preserve">, nhưng qua nhiều vòng trả giá lên, mức giá trúng thực tế đã bị đẩy lên rất cao. Trước đó, một số khu vực vị trí đẹp tại địa bàn huyện từng ghi nhận mức giá kỷ lục lên tới hơn </w:t>
      </w:r>
      <w:r>
        <w:rPr>
          <w:rFonts w:ascii="Times New Roman" w:hAnsi="Times New Roman" w:eastAsia="Times New Roman" w:cs="Times New Roman"/>
          <w:b/>
          <w:color w:val="000000"/>
          <w:sz w:val="24"/>
          <w:szCs w:val="24"/>
          <w:highlight w:val="white"/>
          <w:u w:val="none"/>
        </w:rPr>
        <w:t xml:space="preserve">82 triệu đồng/m²</w:t>
      </w:r>
      <w:r>
        <w:rPr>
          <w:rFonts w:ascii="Times New Roman" w:hAnsi="Times New Roman" w:eastAsia="Times New Roman" w:cs="Times New Roman"/>
          <w:color w:val="000000"/>
          <w:sz w:val="24"/>
          <w:szCs w:val="24"/>
          <w:highlight w:val="white"/>
          <w:u w:val="none"/>
        </w:rPr>
        <w:t xml:space="preserve">.</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Style w:val="1030"/>
        <w:numPr>
          <w:ilvl w:val="0"/>
          <w:numId w:val="40"/>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Tác động dòng tiền:</w:t>
      </w:r>
      <w:r>
        <w:rPr>
          <w:rFonts w:ascii="Times New Roman" w:hAnsi="Times New Roman" w:eastAsia="Times New Roman" w:cs="Times New Roman"/>
          <w:color w:val="000000"/>
          <w:sz w:val="24"/>
          <w:szCs w:val="24"/>
          <w:highlight w:val="white"/>
          <w:u w:val="none"/>
        </w:rPr>
        <w:t xml:space="preserve"> Đất đấu giá tại các xã như Trường Thịnh (Yên Trường), Viên An, hay khu vực trung tâm thị trấn Vân Đình có tính pháp lý an toàn tuyệt đối và hạ tầng đồng bộ, trở thành kênh trú ẩn được các nhà đầu tư ưu tiên lựa chọn.</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sz w:val="24"/>
          <w:szCs w:val="24"/>
          <w:highlight w:val="white"/>
        </w:rPr>
      </w:pPr>
      <w:r>
        <w:rPr>
          <w:rFonts w:ascii="Times New Roman" w:hAnsi="Times New Roman" w:eastAsia="Times New Roman" w:cs="Times New Roman"/>
          <w:b/>
          <w:color w:val="000000"/>
          <w:sz w:val="24"/>
          <w:szCs w:val="24"/>
          <w:highlight w:val="white"/>
        </w:rPr>
        <w:t xml:space="preserve">3. Diễn Biến Mặt Bằng Giá Các Phân Khúc Chính</w:t>
      </w:r>
      <w:r>
        <w:rPr>
          <w:rFonts w:ascii="Times New Roman" w:hAnsi="Times New Roman" w:eastAsia="Times New Roman" w:cs="Times New Roman"/>
          <w:sz w:val="24"/>
          <w:szCs w:val="24"/>
          <w:highlight w:val="white"/>
        </w:rPr>
      </w:r>
      <w:r>
        <w:rPr>
          <w:rFonts w:ascii="Times New Roman" w:hAnsi="Times New Roman" w:cs="Times New Roman"/>
          <w:sz w:val="24"/>
          <w:szCs w:val="24"/>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Nhìn chung, giá đất tại Ứng Hòa đã thiết lập một mặt bằng mới nhưng vẫn được đánh giá là khá "mềm" so với các huyện chuẩn bị lên quận như Đông Anh hay Thanh Oai.</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sz w:val="24"/>
          <w:szCs w:val="24"/>
          <w:highlight w:val="white"/>
        </w:rPr>
      </w:pPr>
      <w:r>
        <w:rPr>
          <w:rFonts w:ascii="Times New Roman" w:hAnsi="Times New Roman" w:eastAsia="Times New Roman" w:cs="Times New Roman"/>
          <w:b/>
          <w:color w:val="000000"/>
          <w:sz w:val="24"/>
          <w:szCs w:val="24"/>
          <w:highlight w:val="white"/>
        </w:rPr>
        <w:t xml:space="preserve">4. Thay Đổi Địa Giới Hành Chính Ảnh Hưởng Đến Tâm Lý Đầu Tư</w:t>
      </w:r>
      <w:r>
        <w:rPr>
          <w:rFonts w:ascii="Times New Roman" w:hAnsi="Times New Roman" w:eastAsia="Times New Roman" w:cs="Times New Roman"/>
          <w:sz w:val="24"/>
          <w:szCs w:val="24"/>
          <w:highlight w:val="white"/>
        </w:rPr>
      </w:r>
      <w:r>
        <w:rPr>
          <w:rFonts w:ascii="Times New Roman" w:hAnsi="Times New Roman" w:cs="Times New Roman"/>
          <w:sz w:val="24"/>
          <w:szCs w:val="24"/>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jc w:val="both"/>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Năm 2026 chứng kiến việc vận hành bộ máy hành chính mới sau sáp nhập. Huyện Ứng Hòa đã sắp xếp, hợp nhất các đơn vị hành chính cấp xã cũ để hình thành </w:t>
      </w:r>
      <w:r>
        <w:rPr>
          <w:rFonts w:ascii="Times New Roman" w:hAnsi="Times New Roman" w:eastAsia="Times New Roman" w:cs="Times New Roman"/>
          <w:b/>
          <w:color w:val="000000"/>
          <w:sz w:val="24"/>
          <w:szCs w:val="24"/>
          <w:highlight w:val="white"/>
          <w:u w:val="none"/>
        </w:rPr>
        <w:t xml:space="preserve">4 đơn vị hành chính mới</w:t>
      </w:r>
      <w:r>
        <w:rPr>
          <w:rFonts w:ascii="Times New Roman" w:hAnsi="Times New Roman" w:eastAsia="Times New Roman" w:cs="Times New Roman"/>
          <w:color w:val="000000"/>
          <w:sz w:val="24"/>
          <w:szCs w:val="24"/>
          <w:highlight w:val="white"/>
        </w:rPr>
        <w:t xml:space="preserve"> (gồm Vân Đình, Ứng Thiên, Hòa Xá và xã Ứng Hòa mới). </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Style w:val="1030"/>
        <w:numPr>
          <w:ilvl w:val="0"/>
          <w:numId w:val="41"/>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u w:val="none"/>
        </w:rPr>
        <w:t xml:space="preserve">Việc quy hoạch lại địa giới giúp tập trung nguồn lực hạ tầng.</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Style w:val="1030"/>
        <w:numPr>
          <w:ilvl w:val="0"/>
          <w:numId w:val="41"/>
        </w:numPr>
        <w:pBdr>
          <w:top w:val="none" w:color="000000" w:sz="4" w:space="0"/>
          <w:left w:val="none" w:color="000000" w:sz="4" w:space="0"/>
          <w:bottom w:val="none" w:color="000000" w:sz="4" w:space="0"/>
          <w:right w:val="none" w:color="000000" w:sz="4" w:space="0"/>
        </w:pBdr>
        <w:spacing w:after="180" w:before="0"/>
        <w:ind w:right="0"/>
        <w:jc w:val="both"/>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u w:val="none"/>
        </w:rPr>
        <w:t xml:space="preserve">Những khu vực đất thổ cư trước đây thuộc các xã lẻ, nay được sáp nhập vào các xã lớn hoặc cận kề thị trấn (như đất tại xã Ứng Thiên mới sáp nhập từ Viên An) chứng kiến lượng tìm kiếm giao dịch tăng mạnh do kỳ vọng thay đổi quy hoạch nông thôn mới.</w:t>
      </w:r>
      <w:r>
        <w:rPr>
          <w:rFonts w:ascii="Times New Roman" w:hAnsi="Times New Roman" w:eastAsia="Times New Roman" w:cs="Times New Roman"/>
          <w:sz w:val="24"/>
          <w:szCs w:val="24"/>
          <w:highlight w:val="white"/>
        </w:rPr>
      </w:r>
      <w:r>
        <w:rPr>
          <w:rFonts w:ascii="Times New Roman" w:hAnsi="Times New Roman" w:cs="Times New Roman"/>
          <w:szCs w:val="24"/>
          <w:highlight w:val="white"/>
        </w:rPr>
      </w:r>
    </w:p>
    <w:p>
      <w:pPr>
        <w:pStyle w:val="1030"/>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Style w:val="103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2"/>
        <w:gridCol w:w="2042"/>
        <w:gridCol w:w="2361"/>
        <w:gridCol w:w="2794"/>
      </w:tblGrid>
      <w:tr>
        <w:trPr>
          <w:trHeight w:val="144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170" w:firstLine="0" w:left="142"/>
              <w:jc w:val="both"/>
              <w:rPr>
                <w:highlight w:val="white"/>
              </w:rPr>
            </w:pPr>
            <w:r>
              <w:rPr>
                <w:rFonts w:ascii="Times New Roman" w:hAnsi="Times New Roman" w:eastAsia="Times New Roman" w:cs="Times New Roman"/>
                <w:b/>
                <w:color w:val="000000"/>
                <w:sz w:val="24"/>
                <w:highlight w:val="white"/>
              </w:rPr>
              <w:t xml:space="preserve">Quyền sử dụng đất tại thửa đất số: 656, tờ bản đồ số: 11, có địa chỉ: Thôn Nội Lưu, xã Lưu Hoàng, huyện Ứng Hòa (</w:t>
            </w:r>
            <w:r>
              <w:rPr>
                <w:rFonts w:ascii="Times New Roman" w:hAnsi="Times New Roman" w:eastAsia="Times New Roman" w:cs="Times New Roman"/>
                <w:b/>
                <w:i/>
                <w:iCs/>
                <w:color w:val="000000"/>
                <w:sz w:val="24"/>
                <w:highlight w:val="white"/>
              </w:rPr>
              <w:t xml:space="preserve">nay là xã Hòa Xá)</w:t>
            </w:r>
            <w:r>
              <w:rPr>
                <w:rFonts w:ascii="Times New Roman" w:hAnsi="Times New Roman" w:eastAsia="Times New Roman" w:cs="Times New Roman"/>
                <w:b/>
                <w:color w:val="000000"/>
                <w:sz w:val="24"/>
                <w:highlight w:val="white"/>
              </w:rPr>
              <w:t xml:space="preserve">, thành phố Hà Nội theo Giấy chứng nhận quyền sử dụng đất, quyền sở hữu nhà ở và tài sản khác gắn liền với đất số: BR 880324,</w:t>
            </w:r>
            <w:r>
              <w:rPr>
                <w:rFonts w:ascii="Times New Roman" w:hAnsi="Times New Roman" w:eastAsia="Times New Roman" w:cs="Times New Roman"/>
                <w:b/>
                <w:color w:val="000000"/>
                <w:sz w:val="24"/>
                <w:highlight w:val="white"/>
              </w:rPr>
              <w:t xml:space="preserve"> Số vào sổ cấp GCN: CH04324 do UBND huyện Ứng Hòa cấp ngày 08/5/2014; Chủ sử dụng đất là Ông Đoàn Xuân Hưng.</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b/>
                <w:color w:val="000000"/>
                <w:sz w:val="24"/>
                <w:highlight w:val="white"/>
              </w:rPr>
              <w:t xml:space="preserve">Thửa đất:</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Thửa đất số:</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170" w:firstLine="0" w:left="142"/>
              <w:jc w:val="center"/>
              <w:rPr>
                <w:highlight w:val="white"/>
              </w:rPr>
            </w:pPr>
            <w:r>
              <w:rPr>
                <w:rFonts w:ascii="Times New Roman" w:hAnsi="Times New Roman" w:eastAsia="Times New Roman" w:cs="Times New Roman"/>
                <w:color w:val="000000"/>
                <w:sz w:val="24"/>
                <w:highlight w:val="white"/>
              </w:rPr>
              <w:t xml:space="preserve">656</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170" w:firstLine="0" w:left="142"/>
              <w:jc w:val="center"/>
              <w:rPr>
                <w:highlight w:val="white"/>
              </w:rPr>
            </w:pPr>
            <w:r>
              <w:rPr>
                <w:rFonts w:ascii="Times New Roman" w:hAnsi="Times New Roman" w:eastAsia="Times New Roman" w:cs="Times New Roman"/>
                <w:color w:val="000000"/>
                <w:sz w:val="24"/>
                <w:highlight w:val="white"/>
              </w:rPr>
              <w:t xml:space="preserve">11</w:t>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Địa chỉ:</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197"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Thôn Nội Lưu, xã Lưu Hoàng, huyện Ứng Hòa </w:t>
            </w:r>
            <w:r>
              <w:rPr>
                <w:rFonts w:ascii="Times New Roman" w:hAnsi="Times New Roman" w:eastAsia="Times New Roman" w:cs="Times New Roman"/>
                <w:i/>
                <w:color w:val="000000"/>
                <w:sz w:val="24"/>
                <w:highlight w:val="white"/>
              </w:rPr>
              <w:t xml:space="preserve">(nay là xã Hòa Xá</w:t>
            </w:r>
            <w:r>
              <w:rPr>
                <w:rFonts w:ascii="Times New Roman" w:hAnsi="Times New Roman" w:eastAsia="Times New Roman" w:cs="Times New Roman"/>
                <w:color w:val="000000"/>
                <w:sz w:val="24"/>
                <w:highlight w:val="white"/>
              </w:rPr>
              <w:t xml:space="preserve">), thành phố Hà Nội</w:t>
            </w:r>
            <w:r>
              <w:rPr>
                <w:rFonts w:ascii="Times New Roman" w:hAnsi="Times New Roman" w:eastAsia="Times New Roman" w:cs="Times New Roman"/>
                <w:color w:val="000000"/>
                <w:sz w:val="24"/>
                <w:highlight w:val="none"/>
              </w:rPr>
              <w:t xml:space="preserve">.</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Diện tích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170" w:firstLine="0" w:left="142"/>
              <w:jc w:val="center"/>
              <w:rPr>
                <w:highlight w:val="white"/>
              </w:rPr>
            </w:pPr>
            <w:r>
              <w:rPr>
                <w:rFonts w:ascii="Times New Roman" w:hAnsi="Times New Roman" w:eastAsia="Times New Roman" w:cs="Times New Roman"/>
                <w:color w:val="000000"/>
                <w:sz w:val="24"/>
                <w:highlight w:val="white"/>
              </w:rPr>
              <w:t xml:space="preserve">90,0</w:t>
            </w:r>
            <w:r>
              <w:rPr>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170" w:firstLine="0" w:left="142"/>
              <w:jc w:val="center"/>
              <w:rPr>
                <w:highlight w:val="white"/>
              </w:rPr>
            </w:pPr>
            <w:r>
              <w:rPr>
                <w:rFonts w:ascii="Times New Roman" w:hAnsi="Times New Roman" w:eastAsia="Times New Roman" w:cs="Times New Roman"/>
                <w:color w:val="000000"/>
                <w:sz w:val="24"/>
                <w:highlight w:val="white"/>
              </w:rPr>
              <w:t xml:space="preserve">Sử dụng riêng</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170" w:firstLine="0" w:left="142"/>
              <w:jc w:val="center"/>
              <w:rPr>
                <w:sz w:val="24"/>
                <w:szCs w:val="24"/>
                <w:highlight w:val="white"/>
              </w:rPr>
            </w:pPr>
            <w:r>
              <w:rPr>
                <w:rFonts w:ascii="Times New Roman" w:hAnsi="Times New Roman" w:eastAsia="Times New Roman" w:cs="Times New Roman"/>
                <w:color w:val="000000"/>
                <w:sz w:val="24"/>
                <w:szCs w:val="24"/>
                <w:highlight w:val="white"/>
              </w:rPr>
              <w:t xml:space="preserve">Đất ở tại nông thôn</w:t>
            </w:r>
            <w:r>
              <w:rPr>
                <w:sz w:val="24"/>
                <w:szCs w:val="24"/>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170" w:firstLine="0" w:left="142"/>
              <w:jc w:val="center"/>
              <w:rPr>
                <w:highlight w:val="white"/>
              </w:rPr>
            </w:pPr>
            <w:r>
              <w:rPr>
                <w:rFonts w:ascii="Times New Roman" w:hAnsi="Times New Roman" w:eastAsia="Times New Roman" w:cs="Times New Roman"/>
                <w:color w:val="000000"/>
                <w:sz w:val="24"/>
                <w:highlight w:val="white"/>
              </w:rPr>
              <w:t xml:space="preserve">Lâu dài</w:t>
            </w:r>
            <w:r>
              <w:rPr>
                <w:highlight w:val="white"/>
              </w:rPr>
            </w:r>
          </w:p>
        </w:tc>
      </w:tr>
      <w:tr>
        <w:trPr>
          <w:trHeight w:val="2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Nguồn gốc sử dụng đất:</w:t>
            </w:r>
            <w:r>
              <w:rPr>
                <w:highlight w:val="white"/>
              </w:rP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197"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Công nhận QSDĐ như giao đất có thu tiền sử dụng đất</w:t>
            </w:r>
            <w:r>
              <w:rPr>
                <w:rFonts w:ascii="Times New Roman" w:hAnsi="Times New Roman" w:eastAsia="Times New Roman" w:cs="Times New Roman"/>
                <w:color w:val="000000"/>
                <w:sz w:val="24"/>
                <w:highlight w:val="none"/>
              </w:rPr>
              <w:t xml:space="preserve">.</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1.2</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b/>
                <w:color w:val="000000"/>
                <w:sz w:val="24"/>
                <w:highlight w:val="white"/>
              </w:rPr>
              <w:t xml:space="preserve">Ghi chú:</w:t>
            </w:r>
            <w:r>
              <w:rPr>
                <w:rFonts w:ascii="Times New Roman" w:hAnsi="Times New Roman" w:eastAsia="Times New Roman" w:cs="Times New Roman"/>
                <w:b/>
                <w:color w:val="000000"/>
                <w:sz w:val="24"/>
                <w:highlight w:val="none"/>
              </w:rPr>
              <w:t xml:space="preserve"> ./.</w:t>
            </w:r>
            <w:r>
              <w:rPr>
                <w:highlight w:val="white"/>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1.3.</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b/>
                <w:color w:val="000000"/>
                <w:sz w:val="24"/>
                <w:highlight w:val="white"/>
              </w:rPr>
              <w:t xml:space="preserve">Thông tin quy hoạch:</w:t>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w:t>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19" w:type="dxa"/>
            <w:vAlign w:val="center"/>
            <w:textDirection w:val="lrTb"/>
            <w:noWrap w:val="false"/>
          </w:tcPr>
          <w:p>
            <w:pPr>
              <w:pBdr/>
              <w:spacing w:after="0" w:before="0" w:line="240" w:lineRule="auto"/>
              <w:ind w:right="170" w:firstLine="0" w:left="142"/>
              <w:jc w:val="both"/>
              <w:rPr>
                <w:highlight w:val="white"/>
              </w:rPr>
            </w:pPr>
            <w:r>
              <w:rPr>
                <w:rFonts w:ascii="Times New Roman" w:hAnsi="Times New Roman" w:eastAsia="Times New Roman" w:cs="Times New Roman"/>
                <w:color w:val="000000"/>
                <w:sz w:val="24"/>
                <w:highlight w:val="white"/>
              </w:rPr>
              <w:t xml:space="preserve">Tại thời điểm thẩm định giá, Tổ thẩm định không thu thập được bất kỳ thông tin quy hoạch nào của thửa đất.</w:t>
            </w:r>
            <w:r>
              <w:rPr>
                <w:highlight w:val="white"/>
              </w:rPr>
            </w:r>
          </w:p>
        </w:tc>
      </w:tr>
      <w:tr>
        <w:trPr>
          <w:trHeight w:val="34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b/>
                <w:color w:val="000000"/>
                <w:sz w:val="24"/>
                <w:highlight w:val="white"/>
              </w:rPr>
              <w:t xml:space="preserve">Về đất:</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b/>
                <w:color w:val="000000"/>
                <w:sz w:val="24"/>
                <w:highlight w:val="white"/>
              </w:rPr>
              <w:t xml:space="preserve">Vị trí; Giao thông</w:t>
            </w:r>
            <w:r>
              <w:rPr>
                <w:rFonts w:ascii="Times New Roman" w:hAnsi="Times New Roman" w:eastAsia="Times New Roman" w:cs="Times New Roman"/>
                <w:b/>
                <w:color w:val="000000"/>
                <w:sz w:val="24"/>
                <w:highlight w:val="none"/>
              </w:rPr>
              <w:t xml:space="preserve">:</w:t>
            </w:r>
            <w:r>
              <w:rPr>
                <w:highlight w:val="white"/>
              </w:rPr>
            </w:r>
          </w:p>
        </w:tc>
      </w:tr>
      <w:tr>
        <w:trPr>
          <w:trHeight w:val="3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Địa chỉ thực tế: </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197"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Xã Hòa Xá, Thành phố Hà Nội</w:t>
            </w:r>
            <w:r>
              <w:rPr>
                <w:highlight w:val="white"/>
              </w:rPr>
            </w:r>
          </w:p>
        </w:tc>
      </w:tr>
      <w:tr>
        <w:trPr>
          <w:trHeight w:val="624"/>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p>
        </w:tc>
        <w:tc>
          <w:tcPr>
            <w:tcBorders>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170" w:firstLine="0" w:left="142"/>
              <w:jc w:val="center"/>
              <w:rPr>
                <w:highlight w:val="white"/>
              </w:rPr>
            </w:pPr>
            <w:r>
              <w:rPr>
                <w:rFonts w:ascii="Times New Roman" w:hAnsi="Times New Roman" w:eastAsia="Times New Roman" w:cs="Times New Roman"/>
                <w:color w:val="000000"/>
                <w:sz w:val="24"/>
                <w:highlight w:val="white"/>
              </w:rPr>
              <w:t xml:space="preserve">Tiếp giáp đường QL21B</w:t>
            </w:r>
            <w:r>
              <w:rPr>
                <w:highlight w:val="white"/>
              </w:rP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Số mặt tiền:</w:t>
            </w:r>
            <w:r>
              <w:rPr>
                <w:highlight w:val="white"/>
              </w:rPr>
            </w:r>
          </w:p>
        </w:tc>
        <w:tc>
          <w:tcPr>
            <w:tcBorders>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170" w:firstLine="0" w:left="142"/>
              <w:jc w:val="center"/>
              <w:rPr>
                <w:highlight w:val="white"/>
              </w:rPr>
            </w:pPr>
            <w:r>
              <w:rPr>
                <w:rFonts w:ascii="Times New Roman" w:hAnsi="Times New Roman" w:eastAsia="Times New Roman" w:cs="Times New Roman"/>
                <w:color w:val="000000"/>
                <w:sz w:val="24"/>
                <w:highlight w:val="none"/>
              </w:rPr>
              <w:t xml:space="preserve">0</w:t>
            </w:r>
            <w:r>
              <w:rPr>
                <w:rFonts w:ascii="Times New Roman" w:hAnsi="Times New Roman" w:eastAsia="Times New Roman" w:cs="Times New Roman"/>
                <w:color w:val="000000"/>
                <w:sz w:val="24"/>
                <w:highlight w:val="white"/>
              </w:rPr>
              <w:t xml:space="preserve">1 mặt tiền</w:t>
            </w:r>
            <w:r>
              <w:rPr>
                <w:highlight w:val="white"/>
              </w:rPr>
            </w:r>
          </w:p>
        </w:tc>
      </w:tr>
      <w:tr>
        <w:trPr>
          <w:trHeight w:val="1189"/>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jc w:val="both"/>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170" w:firstLine="0" w:left="142"/>
              <w:jc w:val="center"/>
              <w:rPr>
                <w:highlight w:val="white"/>
              </w:rPr>
            </w:pPr>
            <w:r>
              <w:rPr>
                <w:rFonts w:ascii="Times New Roman" w:hAnsi="Times New Roman" w:eastAsia="Times New Roman" w:cs="Times New Roman"/>
                <w:color w:val="000000"/>
                <w:sz w:val="24"/>
                <w:highlight w:val="white"/>
              </w:rPr>
              <w:t xml:space="preserve">8</w:t>
            </w:r>
            <w:r>
              <w:rPr>
                <w:rFonts w:ascii="Times New Roman" w:hAnsi="Times New Roman" w:eastAsia="Times New Roman" w:cs="Times New Roman"/>
                <w:color w:val="000000"/>
                <w:sz w:val="24"/>
                <w:highlight w:val="none"/>
              </w:rPr>
              <w:t xml:space="preserve">,0</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170" w:firstLine="0" w:left="142"/>
              <w:jc w:val="both"/>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170" w:firstLine="0" w:left="142"/>
              <w:jc w:val="center"/>
              <w:rPr>
                <w:highlight w:val="white"/>
              </w:rPr>
            </w:pPr>
            <w:r>
              <w:rPr>
                <w:rFonts w:ascii="Times New Roman" w:hAnsi="Times New Roman" w:eastAsia="Times New Roman" w:cs="Times New Roman"/>
                <w:color w:val="000000"/>
                <w:sz w:val="24"/>
                <w:highlight w:val="white"/>
              </w:rPr>
              <w:t xml:space="preserve">8</w:t>
            </w:r>
            <w:r>
              <w:rPr>
                <w:rFonts w:ascii="Times New Roman" w:hAnsi="Times New Roman" w:eastAsia="Times New Roman" w:cs="Times New Roman"/>
                <w:color w:val="000000"/>
                <w:sz w:val="24"/>
                <w:highlight w:val="none"/>
              </w:rPr>
              <w:t xml:space="preserve">,0</w:t>
            </w:r>
            <w:r>
              <w:rPr>
                <w:highlight w:val="white"/>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Khoảng cách đến trục đường chính:</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197"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Tiếp giáp đường QL21B</w:t>
            </w:r>
            <w:r>
              <w:rPr>
                <w:rFonts w:ascii="Times New Roman" w:hAnsi="Times New Roman" w:eastAsia="Times New Roman" w:cs="Times New Roman"/>
                <w:color w:val="000000"/>
                <w:sz w:val="24"/>
                <w:highlight w:val="none"/>
              </w:rPr>
              <w:t xml:space="preserve">.</w:t>
            </w:r>
            <w:r>
              <w:rPr>
                <w:highlight w:val="white"/>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white"/>
              </w:rPr>
              <w:t xml:space="preserve">Các hướng tiếp giáp:</w:t>
            </w:r>
            <w:r>
              <w:rPr>
                <w:highlight w:val="white"/>
              </w:rP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197" w:type="dxa"/>
            <w:vAlign w:val="center"/>
            <w:textDirection w:val="lrTb"/>
            <w:noWrap w:val="false"/>
          </w:tcPr>
          <w:p>
            <w:pPr>
              <w:pBdr/>
              <w:spacing w:after="0" w:before="0" w:line="240" w:lineRule="auto"/>
              <w:ind w:right="170" w:firstLine="0" w:left="142"/>
              <w:rPr>
                <w:highlight w:val="white"/>
              </w:rPr>
            </w:pP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white"/>
              </w:rPr>
              <w:t xml:space="preserve">Hướng Tây Nam: tiếp giáp đường giao thông 8m;</w:t>
              <w:br/>
              <w:t xml:space="preserve">+ Các hường còn lại: tiếp giáp thửa đất khác.</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19"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Vị trí trên bản đồ vệ tinh: </w:t>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19"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 </w:t>
            </w:r>
            <w:r>
              <w:rPr>
                <w:color w:val="000000"/>
                <w:highlight w:val="white"/>
              </w:rPr>
              <mc:AlternateContent>
                <mc:Choice Requires="wpg">
                  <w:drawing>
                    <wp:inline xmlns:wp="http://schemas.openxmlformats.org/drawingml/2006/wordprocessingDrawing" distT="0" distB="0" distL="0" distR="0">
                      <wp:extent cx="550814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184417900" name="" descr=""/>
                              <pic:cNvPicPr/>
                              <pic:nvPr/>
                            </pic:nvPicPr>
                            <pic:blipFill rotWithShape="1">
                              <a:blip r:embed="rId17"/>
                              <a:stretch/>
                            </pic:blipFill>
                            <pic:spPr bwMode="auto">
                              <a:xfrm rot="0" flipH="0" flipV="0">
                                <a:off x="0" y="0"/>
                                <a:ext cx="550814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3.71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highlight w:val="white"/>
              </w:rPr>
            </w:r>
            <w:r>
              <w:rPr>
                <w:highlight w:val="white"/>
              </w:rP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2.2.</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p>
        </w:tc>
      </w:tr>
      <w:tr>
        <w:trPr>
          <w:trHeight w:val="5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90,0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0,0</w:t>
            </w:r>
            <w:r>
              <w:rPr>
                <w:highlight w:val="white"/>
              </w:rPr>
            </w:r>
          </w:p>
        </w:tc>
      </w:tr>
      <w:tr>
        <w:trPr>
          <w:trHeight w:val="3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KT mặt tiền (m):</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4,65</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Chiều sâu (m): </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20,0</w:t>
            </w:r>
            <w:r>
              <w:rPr>
                <w:highlight w:val="white"/>
              </w:rP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Hình dáng</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none"/>
              </w:rPr>
              <w:t xml:space="preserve">Hình c</w:t>
            </w:r>
            <w:r>
              <w:rPr>
                <w:rFonts w:ascii="Times New Roman" w:hAnsi="Times New Roman" w:eastAsia="Times New Roman" w:cs="Times New Roman"/>
                <w:color w:val="000000"/>
                <w:sz w:val="24"/>
                <w:highlight w:val="white"/>
              </w:rPr>
              <w:t xml:space="preserve">hữ nhật</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Hướng chính</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Tây Nam</w:t>
            </w:r>
            <w:r>
              <w:rPr>
                <w:highlight w:val="white"/>
              </w:rP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2.3.</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Mật độ dân cư:</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Đông đúc</w:t>
            </w:r>
            <w:r>
              <w:rPr>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Ổn định</w:t>
            </w:r>
            <w:r>
              <w:rPr>
                <w:highlight w:val="white"/>
              </w:rPr>
            </w:r>
          </w:p>
        </w:tc>
      </w:tr>
      <w:tr>
        <w:trPr>
          <w:trHeight w:val="5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Trung bình</w:t>
            </w:r>
            <w:r>
              <w:rPr>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p>
        </w:tc>
        <w:tc>
          <w:tcPr>
            <w:tcBorders>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Tốt </w:t>
            </w:r>
            <w:r>
              <w:rPr>
                <w:highlight w:val="white"/>
              </w:rP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Điều kiện cơ sở hạ tầng kỹ thuật:</w:t>
            </w:r>
            <w:r>
              <w:rPr>
                <w:highlight w:val="white"/>
              </w:rP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Hạ tầng khu dân cư thông thường: hệ thống cấp điện, cấp thoát nước đầy đủ</w:t>
            </w:r>
            <w:r>
              <w:rPr>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Điều kiện môi trường an ninh:</w:t>
            </w:r>
            <w:r>
              <w:rPr>
                <w:highlight w:val="white"/>
              </w:rPr>
            </w:r>
          </w:p>
        </w:tc>
        <w:tc>
          <w:tcPr>
            <w:tcBorders>
              <w:bottom w:val="single" w:color="000000" w:sz="6" w:space="0"/>
              <w:right w:val="single" w:color="000000" w:sz="6" w:space="0"/>
            </w:tcBorders>
            <w:tcMar>
              <w:left w:w="0" w:type="dxa"/>
              <w:top w:w="0" w:type="dxa"/>
              <w:right w:w="0" w:type="dxa"/>
              <w:bottom w:w="0" w:type="dxa"/>
            </w:tcMar>
            <w:tcW w:w="279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Tốt </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b/>
                <w:color w:val="000000"/>
                <w:sz w:val="24"/>
                <w:highlight w:val="white"/>
              </w:rPr>
              <w:t xml:space="preserve"> Tài sản gắn liền với đất: </w:t>
            </w:r>
            <w:r>
              <w:rPr>
                <w:highlight w:val="white"/>
              </w:rPr>
            </w:r>
          </w:p>
        </w:tc>
      </w:tr>
      <w:tr>
        <w:trPr>
          <w:trHeight w:val="674"/>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19" w:type="dxa"/>
            <w:vAlign w:val="center"/>
            <w:textDirection w:val="lrTb"/>
            <w:noWrap w:val="false"/>
          </w:tcPr>
          <w:p>
            <w:pPr>
              <w:pBdr/>
              <w:spacing w:after="0" w:before="0" w:line="240" w:lineRule="auto"/>
              <w:ind w:right="107" w:firstLine="0" w:left="142"/>
              <w:jc w:val="both"/>
              <w:rPr>
                <w:highlight w:val="white"/>
              </w:rPr>
            </w:pPr>
            <w:r>
              <w:rPr>
                <w:rFonts w:ascii="Times New Roman" w:hAnsi="Times New Roman" w:eastAsia="Times New Roman" w:cs="Times New Roman"/>
                <w:color w:val="000000"/>
                <w:sz w:val="24"/>
                <w:highlight w:val="white"/>
              </w:rPr>
              <w:t xml:space="preserve">T</w:t>
            </w:r>
            <w:r>
              <w:rPr>
                <w:rFonts w:ascii="Times New Roman" w:hAnsi="Times New Roman" w:eastAsia="Times New Roman" w:cs="Times New Roman"/>
                <w:color w:val="000000"/>
                <w:sz w:val="24"/>
                <w:highlight w:val="white"/>
              </w:rPr>
              <w:t xml:space="preserve">ại thời đi</w:t>
            </w:r>
            <w:r>
              <w:rPr>
                <w:rFonts w:ascii="Times New Roman" w:hAnsi="Times New Roman" w:eastAsia="Times New Roman" w:cs="Times New Roman"/>
                <w:color w:val="000000"/>
                <w:sz w:val="24"/>
                <w:highlight w:val="white"/>
              </w:rPr>
              <w:t xml:space="preserve">ểm khảo sát, dưới sự hướng dẫn của chủ tài sản, phần lưu không của thửa đất có công trình xây dựng nhà cấp 4, </w:t>
            </w:r>
            <w:r>
              <w:rPr>
                <w:rFonts w:ascii="Times New Roman" w:hAnsi="Times New Roman" w:eastAsia="Times New Roman" w:cs="Times New Roman"/>
                <w:color w:val="000000"/>
                <w:sz w:val="24"/>
                <w:highlight w:val="white"/>
              </w:rPr>
              <w:t xml:space="preserve">ngoại quan đã cũ, hiện không sử dụng. Công trình chưa được công nhận trên GCN QSDĐ số: </w:t>
            </w:r>
            <w:r>
              <w:rPr>
                <w:rFonts w:ascii="Times New Roman" w:hAnsi="Times New Roman" w:eastAsia="Times New Roman" w:cs="Times New Roman"/>
                <w:b w:val="0"/>
                <w:bCs w:val="0"/>
                <w:color w:val="000000"/>
                <w:sz w:val="24"/>
                <w:highlight w:val="white"/>
              </w:rPr>
              <w:t xml:space="preserve">BR 880324</w:t>
            </w:r>
            <w:r>
              <w:rPr>
                <w:rFonts w:ascii="Times New Roman" w:hAnsi="Times New Roman" w:eastAsia="Times New Roman" w:cs="Times New Roman"/>
                <w:b w:val="0"/>
                <w:bCs w:val="0"/>
                <w:color w:val="000000"/>
                <w:sz w:val="24"/>
                <w:highlight w:val="white"/>
              </w:rPr>
              <w:t xml:space="preserve">.</w:t>
            </w:r>
            <w:r>
              <w:rPr>
                <w:rFonts w:ascii="Times New Roman" w:hAnsi="Times New Roman" w:eastAsia="Times New Roman" w:cs="Times New Roman"/>
                <w:color w:val="000000"/>
                <w:sz w:val="24"/>
                <w:highlight w:val="white"/>
              </w:rPr>
            </w:r>
            <w:r>
              <w:rPr>
                <w:highlight w:val="white"/>
              </w:rPr>
            </w:r>
          </w:p>
        </w:tc>
      </w:tr>
    </w:tbl>
    <w:p>
      <w:pPr>
        <w:pBdr/>
        <w:spacing w:line="235" w:lineRule="auto"/>
        <w:ind w:left="0"/>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Đất/Tài sản bám biển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bám hồ (Diện tích &gt;=5ha thì được coi là hồ)</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view công viên, vườn hoa, khu thể thao, bể bơi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sát khu mộ phần hoặc liền kề mộ phần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 đất/ Công trình có điện thờ, nhà thợ họ dòng tộc</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sát hoặc liền kề nhà thờ họ</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gia tộc anh em, họ hàng sống xung quanh chung ngõ đi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Mặt tiền bị che chắn (có cột điện, trạm biến áp…)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đường sắt&lt;=50m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Style w:val="1030"/>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30"/>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rPr>
      </w:r>
    </w:p>
    <w:p>
      <w:pPr>
        <w:pStyle w:val="1030"/>
        <w:numPr>
          <w:ilvl w:val="0"/>
          <w:numId w:val="3"/>
        </w:numPr>
        <w:pBdr/>
        <w:spacing w:after="0" w:before="0" w:line="240" w:lineRule="auto"/>
        <w:ind w:right="0"/>
        <w:jc w:val="both"/>
        <w:rPr>
          <w:highlight w:val="white"/>
        </w:rPr>
      </w:pPr>
      <w:r>
        <w:rPr>
          <w:rFonts w:ascii="Times New Roman" w:hAnsi="Times New Roman" w:eastAsia="Times New Roman" w:cs="Times New Roman"/>
          <w:color w:val="000000"/>
          <w:sz w:val="24"/>
          <w:highlight w:val="white"/>
        </w:rPr>
        <w:t xml:space="preserve">Tại thờ</w:t>
      </w:r>
      <w:r>
        <w:rPr>
          <w:rFonts w:ascii="Times New Roman" w:hAnsi="Times New Roman" w:eastAsia="Times New Roman" w:cs="Times New Roman"/>
          <w:color w:val="000000"/>
          <w:sz w:val="24"/>
          <w:highlight w:val="white"/>
        </w:rPr>
        <w:t xml:space="preserve">i đi</w:t>
      </w:r>
      <w:r>
        <w:rPr>
          <w:rFonts w:ascii="Times New Roman" w:hAnsi="Times New Roman" w:eastAsia="Times New Roman" w:cs="Times New Roman"/>
          <w:color w:val="000000"/>
          <w:sz w:val="24"/>
          <w:highlight w:val="white"/>
        </w:rPr>
        <w:t xml:space="preserve">ểm khảo sát, dưới sự hướng dẫn của chủ tài sản, phần lưu không của thửa đất có công trình xây dựng nhà cấp 4, </w:t>
      </w:r>
      <w:r>
        <w:rPr>
          <w:rFonts w:ascii="Times New Roman" w:hAnsi="Times New Roman" w:eastAsia="Times New Roman" w:cs="Times New Roman"/>
          <w:color w:val="000000"/>
          <w:sz w:val="24"/>
          <w:highlight w:val="white"/>
        </w:rPr>
        <w:t xml:space="preserve">ngoại quan đã cũ. Công trình chưa được công nhận trên GCN QSDĐ số: </w:t>
      </w:r>
      <w:r>
        <w:rPr>
          <w:rFonts w:ascii="Times New Roman" w:hAnsi="Times New Roman" w:eastAsia="Times New Roman" w:cs="Times New Roman"/>
          <w:b w:val="0"/>
          <w:bCs w:val="0"/>
          <w:color w:val="000000"/>
          <w:sz w:val="24"/>
          <w:highlight w:val="white"/>
        </w:rPr>
        <w:t xml:space="preserve">BR 880324</w:t>
      </w:r>
      <w:r>
        <w:rPr>
          <w:spacing w:val="-2"/>
          <w:highlight w:val="white"/>
          <w:lang w:val="pt-BR"/>
        </w:rPr>
        <w:t xml:space="preserve">. Đồng thời, Tổ thẩm định cũ</w:t>
      </w:r>
      <w:r>
        <w:rPr>
          <w:spacing w:val="-2"/>
          <w:highlight w:val="none"/>
          <w:lang w:val="pt-BR"/>
        </w:rPr>
        <w:t xml:space="preserve">ng không nhận được bất kỳ giấy tờ pháp lý nào liên quan đến CTXD trên. Theo đề nghị của Khách hàng/ Ngân hàng, Tổ thẩm định không xác định giá trị CTXD nhưng vẫn coi đó là phần không thể thiếu của Tài sản thẩm định.</w:t>
      </w:r>
      <w:r>
        <w:rPr>
          <w:highlight w:val="white"/>
        </w:rPr>
      </w:r>
    </w:p>
    <w:p>
      <w:pPr>
        <w:pStyle w:val="1030"/>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lang w:val="pt-BR"/>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30"/>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30"/>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lang w:val="pt-BR"/>
        </w:rPr>
      </w:r>
    </w:p>
    <w:p>
      <w:pPr>
        <w:pStyle w:val="1030"/>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lang w:val="pt-BR"/>
        </w:rPr>
      </w:r>
    </w:p>
    <w:p>
      <w:pPr>
        <w:pStyle w:val="1030"/>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lang w:val="pt-BR"/>
        </w:rPr>
      </w:r>
    </w:p>
    <w:p>
      <w:pPr>
        <w:pStyle w:val="1030"/>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lang w:val="pt-BR"/>
        </w:rPr>
      </w:r>
    </w:p>
    <w:p>
      <w:pPr>
        <w:pStyle w:val="1030"/>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lang w:val="pt-BR"/>
        </w:rPr>
      </w:r>
    </w:p>
    <w:p>
      <w:pPr>
        <w:pStyle w:val="1030"/>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30"/>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pPr>
        <w:pStyle w:val="1030"/>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lang w:val="pt-BR"/>
        </w:rPr>
      </w:r>
      <w:r>
        <w:rPr>
          <w:bCs/>
          <w:highlight w:val="white"/>
          <w:lang w:val="pt-BR"/>
        </w:rPr>
      </w:r>
    </w:p>
    <w:p>
      <w:pPr>
        <w:pStyle w:val="1030"/>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96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Quốc lộ 21B, Xã Hòa Xá,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Quốc lộ 21B, Xã Hòa Xá,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Quốc lộ 21B, Xã Hòa Xá,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Quốc lộ 21B, Xã Hòa Xá, Thành phố Hà Nội</w:t>
            </w:r>
            <w:r>
              <w:rPr>
                <w:sz w:val="22"/>
                <w:szCs w:val="22"/>
                <w:highlight w:val="white"/>
              </w:rPr>
            </w:r>
            <w:r>
              <w:rPr>
                <w:sz w:val="22"/>
                <w:szCs w:val="22"/>
                <w:highlight w:val="white"/>
              </w:rPr>
            </w:r>
          </w:p>
        </w:tc>
      </w:tr>
      <w:tr>
        <w:trPr>
          <w:trHeight w:val="9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https://www.facebook.com/share/p/1GaGJ1YKg7/</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https://www.facebook.com/share/p/193zbFwc2w/</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https://www.facebook.com/share/p/17uwvBNvB1/</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Khánh Ngân</w:t>
            </w:r>
            <w:r>
              <w:rPr>
                <w:sz w:val="22"/>
                <w:szCs w:val="22"/>
                <w:highlight w:val="white"/>
              </w:rPr>
              <w:t xml:space="preserve"> </w:t>
            </w:r>
            <w:r>
              <w:rPr>
                <w:sz w:val="22"/>
                <w:szCs w:val="22"/>
                <w:highlight w:val="white"/>
              </w:rPr>
              <w:br/>
              <w:t xml:space="preserve">(</w:t>
            </w:r>
            <w:r>
              <w:rPr>
                <w:sz w:val="22"/>
                <w:szCs w:val="22"/>
                <w:highlight w:val="white"/>
              </w:rPr>
              <w:t xml:space="preserve">038.636.9866</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0962.794789</w:t>
            </w:r>
            <w:r>
              <w:rPr>
                <w:sz w:val="22"/>
                <w:szCs w:val="22"/>
                <w:highlight w:val="white"/>
              </w:rPr>
              <w:br/>
            </w:r>
            <w:r>
              <w:rPr>
                <w:sz w:val="22"/>
                <w:szCs w:val="22"/>
                <w:highlight w:val="white"/>
              </w:rPr>
              <w:t xml:space="preserve">(</w:t>
            </w:r>
            <w:r>
              <w:rPr>
                <w:sz w:val="22"/>
                <w:szCs w:val="22"/>
                <w:highlight w:val="white"/>
              </w:rPr>
              <w:t xml:space="preserve">A Việt</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0385.056555</w:t>
            </w:r>
            <w:r>
              <w:rPr>
                <w:sz w:val="22"/>
                <w:szCs w:val="22"/>
                <w:highlight w:val="white"/>
              </w:rPr>
              <w:br/>
            </w:r>
            <w:r>
              <w:rPr>
                <w:sz w:val="22"/>
                <w:szCs w:val="22"/>
                <w:highlight w:val="white"/>
              </w:rPr>
              <w:t xml:space="preserve">(</w:t>
            </w:r>
            <w:r>
              <w:rPr>
                <w:sz w:val="22"/>
                <w:szCs w:val="22"/>
                <w:highlight w:val="white"/>
              </w:rPr>
              <w:t xml:space="preserve">A Chiến</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7/2026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7/2026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7/2026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QL21B, xa Hòa Xá, thành phố Hà Nội</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QL21B, xa Hòa Xá, thành phố Hà Nội</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QL21B, xa Hòa Xá, thành phố Hà Nội</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QL21B, xa Hòa Xá, thành phố Hà Nội</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13,0</w:t>
            </w: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13,0</w:t>
            </w: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42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67,6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102,8</w:t>
            </w:r>
            <w:r>
              <w:rPr>
                <w:color w:val="000000"/>
                <w:sz w:val="22"/>
                <w:szCs w:val="22"/>
                <w:highlight w:val="white"/>
              </w:rPr>
            </w:r>
            <w:r>
              <w:rPr>
                <w:color w:val="000000"/>
                <w:sz w:val="22"/>
                <w:szCs w:val="22"/>
                <w:highlight w:val="white"/>
              </w:rPr>
            </w:r>
          </w:p>
        </w:tc>
      </w:tr>
      <w:tr>
        <w:trPr>
          <w:trHeight w:val="4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4,65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5,34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3,95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Trung bình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Khá</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Khá</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Nhà 03 tầng, diện tích sàn khoảng 202,8 </w:t>
            </w:r>
            <w:r>
              <w:rPr>
                <w:color w:val="000000"/>
                <w:sz w:val="22"/>
                <w:szCs w:val="22"/>
                <w:highlight w:val="white"/>
              </w:rPr>
              <w:t xml:space="preserve">(m²), ngoại quan khá</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Đất trống</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Đất trống</w:t>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4.300.000.000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3.500.000.000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6.000.000.000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3.870.000.000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3.150.000.000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4.800.000.000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highlight w:val="white"/>
                <w14:ligatures w14:val="none"/>
              </w:rPr>
            </w:pPr>
            <w:r>
              <w:rPr>
                <w:b/>
                <w:bCs/>
                <w:color w:val="000000" w:themeColor="text1"/>
                <w:sz w:val="22"/>
                <w:szCs w:val="22"/>
                <w:highlight w:val="white"/>
                <w:lang w:val="undefined"/>
              </w:rPr>
              <w:t xml:space="preserve">Giá trị tài sản trên đất (đồng)</w:t>
            </w:r>
            <w:r>
              <w:rPr>
                <w:b/>
                <w:bCs/>
                <w:color w:val="000000" w:themeColor="text1"/>
                <w:sz w:val="22"/>
                <w:szCs w:val="22"/>
                <w:highlight w:val="white"/>
                <w:lang w:val="undefined" w:bidi="undefined"/>
              </w:rPr>
            </w:r>
            <w:r>
              <w:rPr>
                <w:b/>
                <w:bCs/>
                <w:color w:val="000000" w:themeColor="text1"/>
                <w:sz w:val="22"/>
                <w:szCs w:val="22"/>
                <w:highlight w:val="white"/>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white"/>
                <w14:ligatures w14:val="none"/>
              </w:rPr>
            </w:pPr>
            <w:r>
              <w:rPr>
                <w:b/>
                <w:bCs/>
                <w:color w:val="000000" w:themeColor="text1"/>
                <w:sz w:val="22"/>
                <w:szCs w:val="22"/>
                <w:highlight w:val="white"/>
                <w:lang w:val="undefined"/>
              </w:rPr>
              <w:t xml:space="preserve"> </w:t>
            </w:r>
            <w:r>
              <w:rPr>
                <w:b/>
                <w:bCs/>
                <w:color w:val="000000" w:themeColor="text1"/>
                <w:sz w:val="22"/>
                <w:szCs w:val="22"/>
                <w:highlight w:val="white"/>
                <w:lang w:val="undefined" w:bidi="undefined"/>
              </w:rPr>
            </w:r>
            <w:r>
              <w:rPr>
                <w:b/>
                <w:bCs/>
                <w:color w:val="000000" w:themeColor="text1"/>
                <w:sz w:val="22"/>
                <w:szCs w:val="22"/>
                <w:highlight w:val="white"/>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themeColor="text1"/>
                <w:sz w:val="22"/>
                <w:szCs w:val="22"/>
                <w:highlight w:val="white"/>
                <w14:ligatures w14:val="none"/>
              </w:rPr>
            </w:pPr>
            <w:r>
              <w:rPr>
                <w:b/>
                <w:bCs/>
                <w:color w:val="000000" w:themeColor="text1"/>
                <w:sz w:val="22"/>
                <w:szCs w:val="22"/>
                <w:highlight w:val="white"/>
                <w:lang w:val="undefined" w:bidi="undefined"/>
              </w:rPr>
            </w:r>
            <w:r>
              <w:rPr>
                <w:b/>
                <w:bCs/>
                <w:i/>
                <w:iCs/>
                <w:color w:val="000000" w:themeColor="text1"/>
                <w:sz w:val="22"/>
                <w:szCs w:val="22"/>
                <w:highlight w:val="white"/>
                <w:lang w:val="undefined"/>
              </w:rPr>
              <w:t xml:space="preserve">1.325.086.439</w:t>
            </w:r>
            <w:r>
              <w:rPr>
                <w:b/>
                <w:bCs/>
                <w:i/>
                <w:iCs/>
                <w:color w:val="000000" w:themeColor="text1"/>
                <w:sz w:val="22"/>
                <w:szCs w:val="22"/>
                <w:highlight w:val="white"/>
                <w:lang w:val="undefined" w:bidi="undefined"/>
              </w:rPr>
            </w:r>
            <w:r>
              <w:rPr>
                <w:b/>
                <w:bCs/>
                <w:i/>
                <w:iCs/>
                <w:color w:val="000000" w:themeColor="text1"/>
                <w:sz w:val="22"/>
                <w:szCs w:val="22"/>
                <w:highlight w:val="white"/>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white"/>
                <w14:ligatures w14:val="none"/>
              </w:rPr>
            </w:pPr>
            <w:r>
              <w:rPr>
                <w:b/>
                <w:bCs/>
                <w:color w:val="000000" w:themeColor="text1"/>
                <w:sz w:val="22"/>
                <w:szCs w:val="22"/>
                <w:highlight w:val="none"/>
                <w:lang w:val="undefined" w:bidi="undefined"/>
              </w:rPr>
              <w:t xml:space="preserve">-</w:t>
            </w:r>
            <w:r>
              <w:rPr>
                <w:b/>
                <w:bCs/>
                <w:color w:val="000000" w:themeColor="text1"/>
                <w:sz w:val="22"/>
                <w:szCs w:val="22"/>
                <w:highlight w:val="white"/>
                <w:lang w:val="undefined" w:bidi="undefined"/>
              </w:rPr>
            </w:r>
            <w:r>
              <w:rPr>
                <w:b/>
                <w:bCs/>
                <w:color w:val="000000" w:themeColor="text1"/>
                <w:sz w:val="22"/>
                <w:szCs w:val="22"/>
                <w:highlight w:val="white"/>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none"/>
              </w:rPr>
              <w:t xml:space="preserve">-</w:t>
            </w:r>
            <w:r>
              <w:rPr>
                <w:b/>
                <w:bCs/>
                <w:color w:val="000000"/>
                <w:sz w:val="22"/>
                <w:szCs w:val="22"/>
                <w:highlight w:val="white"/>
              </w:rPr>
            </w:r>
            <w:r>
              <w:rPr>
                <w:b/>
                <w:bCs/>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i/>
                <w:color w:val="000000"/>
                <w:sz w:val="22"/>
                <w:szCs w:val="22"/>
                <w:highlight w:val="white"/>
              </w:rPr>
            </w:pPr>
            <w:r>
              <w:rPr>
                <w:b w:val="0"/>
                <w:bCs w:val="0"/>
                <w:i/>
                <w:iCs/>
                <w:color w:val="000000"/>
                <w:sz w:val="22"/>
                <w:szCs w:val="22"/>
                <w:highlight w:val="white"/>
              </w:rPr>
              <w:t xml:space="preserve">-</w:t>
            </w:r>
            <w:r>
              <w:rPr>
                <w:b w:val="0"/>
                <w:bCs w:val="0"/>
                <w:i/>
                <w:i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b w:val="0"/>
                <w:bCs/>
                <w:i/>
                <w:color w:val="000000" w:themeColor="text1"/>
                <w:sz w:val="22"/>
                <w:szCs w:val="22"/>
                <w:highlight w:val="white"/>
                <w14:ligatures w14:val="none"/>
              </w:rPr>
            </w:pPr>
            <w:r>
              <w:rPr>
                <w:b w:val="0"/>
                <w:bCs w:val="0"/>
                <w:i/>
                <w:iCs/>
                <w:color w:val="000000" w:themeColor="text1"/>
                <w:sz w:val="22"/>
                <w:szCs w:val="22"/>
                <w:highlight w:val="white"/>
                <w:lang w:val="undefined" w:bidi="undefined"/>
              </w:rPr>
            </w:r>
            <w:r>
              <w:rPr>
                <w:b w:val="0"/>
                <w:bCs w:val="0"/>
                <w:i/>
                <w:iCs/>
                <w:color w:val="000000" w:themeColor="text1"/>
                <w:sz w:val="22"/>
                <w:szCs w:val="22"/>
                <w:highlight w:val="white"/>
                <w:lang w:val="undefined"/>
              </w:rPr>
              <w:t xml:space="preserve">Đơn giá xây dựng theo Quyết định số 425/QĐ-BXD ngày 30/3/2026 của Bộ Xây Dựng (đồng/m²)</w:t>
            </w:r>
            <w:r>
              <w:rPr>
                <w:b w:val="0"/>
                <w:bCs w:val="0"/>
                <w:i/>
                <w:iCs/>
                <w:color w:val="000000" w:themeColor="text1"/>
                <w:sz w:val="22"/>
                <w:szCs w:val="22"/>
                <w:highlight w:val="white"/>
                <w:lang w:val="undefined" w:bidi="undefined"/>
              </w:rPr>
            </w:r>
            <w:r>
              <w:rPr>
                <w:b w:val="0"/>
                <w:bCs w:val="0"/>
                <w:i/>
                <w:iCs/>
                <w:color w:val="000000" w:themeColor="text1"/>
                <w:sz w:val="22"/>
                <w:szCs w:val="22"/>
                <w:highlight w:val="white"/>
                <w:lang w:val="undefined"/>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i/>
                <w:color w:val="000000" w:themeColor="text1"/>
                <w:sz w:val="22"/>
                <w:szCs w:val="22"/>
                <w:highlight w:val="white"/>
                <w14:ligatures w14:val="none"/>
              </w:rPr>
            </w:pPr>
            <w:r>
              <w:rPr>
                <w:b w:val="0"/>
                <w:bCs w:val="0"/>
                <w:i/>
                <w:iCs/>
                <w:color w:val="000000" w:themeColor="text1"/>
                <w:sz w:val="22"/>
                <w:szCs w:val="22"/>
                <w:highlight w:val="white"/>
                <w:lang w:val="undefined" w:bidi="undefined"/>
              </w:rPr>
            </w:r>
            <w:r>
              <w:rPr>
                <w:b w:val="0"/>
                <w:bCs w:val="0"/>
                <w:i/>
                <w:iCs/>
                <w:color w:val="000000" w:themeColor="text1"/>
                <w:sz w:val="22"/>
                <w:szCs w:val="22"/>
                <w:highlight w:val="white"/>
                <w:lang w:val="undefined"/>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i/>
                <w:color w:val="000000" w:themeColor="text1"/>
                <w:sz w:val="22"/>
                <w:szCs w:val="22"/>
                <w:highlight w:val="white"/>
                <w14:ligatures w14:val="none"/>
              </w:rPr>
            </w:pPr>
            <w:r>
              <w:rPr>
                <w:b w:val="0"/>
                <w:bCs w:val="0"/>
                <w:i/>
                <w:iCs/>
                <w:color w:val="000000" w:themeColor="text1"/>
                <w:sz w:val="22"/>
                <w:szCs w:val="22"/>
                <w:highlight w:val="white"/>
                <w:lang w:val="undefined"/>
              </w:rPr>
              <w:t xml:space="preserve">8.370.000</w:t>
            </w:r>
            <w:r>
              <w:rPr>
                <w:b w:val="0"/>
                <w:bCs w:val="0"/>
                <w:i/>
                <w:iCs/>
                <w:color w:val="000000" w:themeColor="text1"/>
                <w:sz w:val="22"/>
                <w:szCs w:val="22"/>
                <w:highlight w:val="white"/>
                <w:lang w:val="undefined"/>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i/>
                <w:color w:val="000000" w:themeColor="text1"/>
                <w:sz w:val="22"/>
                <w:szCs w:val="22"/>
                <w:highlight w:val="white"/>
                <w14:ligatures w14:val="none"/>
              </w:rPr>
            </w:pPr>
            <w:r>
              <w:rPr>
                <w:b w:val="0"/>
                <w:bCs w:val="0"/>
                <w:i/>
                <w:iCs/>
                <w:color w:val="000000" w:themeColor="text1"/>
                <w:sz w:val="22"/>
                <w:szCs w:val="22"/>
                <w:highlight w:val="white"/>
                <w:lang w:val="undefined" w:bidi="undefined"/>
              </w:rPr>
              <w:t xml:space="preserve">-</w:t>
            </w:r>
            <w:r>
              <w:rPr>
                <w:b w:val="0"/>
                <w:bCs w:val="0"/>
                <w:i/>
                <w:iCs/>
                <w:color w:val="000000" w:themeColor="text1"/>
                <w:sz w:val="22"/>
                <w:szCs w:val="22"/>
                <w:highlight w:val="white"/>
                <w:lang w:val="undefined"/>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w:t>
            </w:r>
            <w:r>
              <w:rPr>
                <w:b/>
                <w:bCs/>
                <w:color w:val="000000"/>
                <w:sz w:val="22"/>
                <w:szCs w:val="22"/>
                <w:highlight w:val="white"/>
              </w:rPr>
            </w:r>
          </w:p>
        </w:tc>
      </w:tr>
      <w:tr>
        <w:trPr>
          <w:trHeight w:val="318"/>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i/>
                <w:color w:val="000000"/>
                <w:sz w:val="22"/>
                <w:szCs w:val="22"/>
                <w:highlight w:val="white"/>
              </w:rPr>
            </w:pPr>
            <w:r>
              <w:rPr>
                <w:b w:val="0"/>
                <w:bCs w:val="0"/>
                <w:i/>
                <w:iCs/>
                <w:color w:val="000000"/>
                <w:sz w:val="22"/>
                <w:szCs w:val="22"/>
                <w:highlight w:val="white"/>
              </w:rPr>
              <w:t xml:space="preserve">-</w:t>
            </w:r>
            <w:r>
              <w:rPr>
                <w:b w:val="0"/>
                <w:bCs w:val="0"/>
                <w:i/>
                <w:i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b w:val="0"/>
                <w:bCs/>
                <w:i/>
                <w:color w:val="000000" w:themeColor="text1"/>
                <w:sz w:val="22"/>
                <w:szCs w:val="22"/>
                <w:highlight w:val="white"/>
                <w14:ligatures w14:val="none"/>
              </w:rPr>
            </w:pPr>
            <w:r>
              <w:rPr>
                <w:b w:val="0"/>
                <w:bCs w:val="0"/>
                <w:i/>
                <w:iCs/>
                <w:color w:val="000000" w:themeColor="text1"/>
                <w:sz w:val="22"/>
                <w:szCs w:val="22"/>
                <w:highlight w:val="white"/>
                <w:lang w:val="undefined" w:bidi="undefined"/>
              </w:rPr>
            </w:r>
            <w:r>
              <w:rPr>
                <w:b w:val="0"/>
                <w:bCs w:val="0"/>
                <w:i/>
                <w:iCs/>
                <w:color w:val="000000" w:themeColor="text1"/>
                <w:sz w:val="22"/>
                <w:szCs w:val="22"/>
                <w:highlight w:val="white"/>
                <w:lang w:val="undefined"/>
              </w:rPr>
              <w:t xml:space="preserve">Tỷ lệ hao mòn:</w:t>
            </w:r>
            <w:r>
              <w:rPr>
                <w:b w:val="0"/>
                <w:bCs w:val="0"/>
                <w:i/>
                <w:iCs/>
                <w:color w:val="000000" w:themeColor="text1"/>
                <w:sz w:val="22"/>
                <w:szCs w:val="22"/>
                <w:highlight w:val="white"/>
                <w:lang w:val="undefined" w:bidi="undefined"/>
              </w:rPr>
            </w:r>
            <w:r>
              <w:rPr>
                <w:b w:val="0"/>
                <w:bCs w:val="0"/>
                <w:i/>
                <w:iCs/>
                <w:color w:val="000000" w:themeColor="text1"/>
                <w:sz w:val="22"/>
                <w:szCs w:val="22"/>
                <w:highlight w:val="white"/>
                <w:lang w:val="undefined"/>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i/>
                <w:color w:val="000000" w:themeColor="text1"/>
                <w:sz w:val="22"/>
                <w:szCs w:val="22"/>
                <w:highlight w:val="white"/>
                <w14:ligatures w14:val="none"/>
              </w:rPr>
            </w:pPr>
            <w:r>
              <w:rPr>
                <w:b w:val="0"/>
                <w:bCs w:val="0"/>
                <w:i/>
                <w:iCs/>
                <w:color w:val="000000" w:themeColor="text1"/>
                <w:sz w:val="22"/>
                <w:szCs w:val="22"/>
                <w:highlight w:val="white"/>
                <w:lang w:val="undefined" w:bidi="undefined"/>
              </w:rPr>
            </w:r>
            <w:r>
              <w:rPr>
                <w:b w:val="0"/>
                <w:bCs w:val="0"/>
                <w:i/>
                <w:iCs/>
                <w:color w:val="000000" w:themeColor="text1"/>
                <w:sz w:val="22"/>
                <w:szCs w:val="22"/>
                <w:highlight w:val="white"/>
                <w:lang w:val="undefined"/>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i/>
                <w:color w:val="000000" w:themeColor="text1"/>
                <w:sz w:val="22"/>
                <w:szCs w:val="22"/>
                <w:highlight w:val="white"/>
                <w14:ligatures w14:val="none"/>
              </w:rPr>
            </w:pPr>
            <w:r>
              <w:rPr>
                <w:b w:val="0"/>
                <w:bCs w:val="0"/>
                <w:i/>
                <w:iCs/>
                <w:color w:val="000000" w:themeColor="text1"/>
                <w:sz w:val="22"/>
                <w:szCs w:val="22"/>
                <w:highlight w:val="white"/>
                <w:lang w:val="undefined" w:bidi="undefined"/>
              </w:rPr>
            </w:r>
            <w:r>
              <w:rPr>
                <w:b w:val="0"/>
                <w:bCs w:val="0"/>
                <w:i/>
                <w:iCs/>
                <w:color w:val="000000" w:themeColor="text1"/>
                <w:sz w:val="22"/>
                <w:szCs w:val="22"/>
                <w:highlight w:val="white"/>
                <w:lang w:val="undefined"/>
              </w:rPr>
              <w:t xml:space="preserve">18%</w:t>
            </w:r>
            <w:r>
              <w:rPr>
                <w:b w:val="0"/>
                <w:bCs w:val="0"/>
                <w:i/>
                <w:iCs/>
                <w:color w:val="000000" w:themeColor="text1"/>
                <w:sz w:val="22"/>
                <w:szCs w:val="22"/>
                <w:highlight w:val="white"/>
                <w:lang w:val="undefined" w:bidi="undefined"/>
              </w:rPr>
            </w:r>
            <w:r>
              <w:rPr>
                <w:b w:val="0"/>
                <w:bCs w:val="0"/>
                <w:i/>
                <w:iCs/>
                <w:color w:val="000000" w:themeColor="text1"/>
                <w:sz w:val="22"/>
                <w:szCs w:val="22"/>
                <w:highlight w:val="white"/>
                <w:lang w:val="undefined"/>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i/>
                <w:color w:val="000000" w:themeColor="text1"/>
                <w:sz w:val="22"/>
                <w:szCs w:val="22"/>
                <w:highlight w:val="white"/>
                <w14:ligatures w14:val="none"/>
              </w:rPr>
            </w:pPr>
            <w:r>
              <w:rPr>
                <w:b w:val="0"/>
                <w:bCs w:val="0"/>
                <w:i/>
                <w:iCs/>
                <w:color w:val="000000" w:themeColor="text1"/>
                <w:sz w:val="22"/>
                <w:szCs w:val="22"/>
                <w:highlight w:val="white"/>
                <w:lang w:val="undefined" w:bidi="undefined"/>
              </w:rPr>
              <w:t xml:space="preserve">-</w:t>
            </w:r>
            <w:r>
              <w:rPr>
                <w:b w:val="0"/>
                <w:bCs w:val="0"/>
                <w:i/>
                <w:iCs/>
                <w:color w:val="000000" w:themeColor="text1"/>
                <w:sz w:val="22"/>
                <w:szCs w:val="22"/>
                <w:highlight w:val="white"/>
                <w:lang w:val="undefined"/>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w:t>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 </w:t>
            </w:r>
            <w:r>
              <w:rPr>
                <w:color w:val="000000" w:themeColor="text1"/>
                <w:sz w:val="22"/>
                <w:szCs w:val="22"/>
                <w:highlight w:val="white"/>
                <w:lang w:val="undefined" w:bidi="undefined"/>
              </w:rPr>
            </w:r>
            <w:r>
              <w:rPr>
                <w:color w:val="000000" w:themeColor="text1"/>
                <w:sz w:val="22"/>
                <w:szCs w:val="22"/>
                <w:highlight w:val="white"/>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white"/>
                <w14:ligatures w14:val="none"/>
              </w:rPr>
            </w:pPr>
            <w:r>
              <w:rPr>
                <w:b/>
                <w:bCs/>
                <w:color w:val="000000" w:themeColor="text1"/>
                <w:sz w:val="22"/>
                <w:szCs w:val="22"/>
                <w:highlight w:val="white"/>
                <w:lang w:val="undefined" w:bidi="undefined"/>
              </w:rPr>
            </w:r>
            <w:r>
              <w:rPr>
                <w:b/>
                <w:bCs/>
                <w:color w:val="000000" w:themeColor="text1"/>
                <w:sz w:val="22"/>
                <w:szCs w:val="22"/>
                <w:highlight w:val="white"/>
                <w:lang w:val="undefined"/>
              </w:rPr>
              <w:t xml:space="preserve">2.5</w:t>
            </w:r>
            <w:r>
              <w:rPr>
                <w:b/>
                <w:bCs/>
                <w:color w:val="000000" w:themeColor="text1"/>
                <w:sz w:val="22"/>
                <w:szCs w:val="22"/>
                <w:highlight w:val="white"/>
                <w:lang w:val="undefined"/>
              </w:rPr>
              <w:t xml:space="preserve">44.913.56</w:t>
            </w:r>
            <w:r>
              <w:rPr>
                <w:b/>
                <w:bCs/>
                <w:color w:val="000000" w:themeColor="text1"/>
                <w:sz w:val="22"/>
                <w:szCs w:val="22"/>
                <w:highlight w:val="white"/>
                <w:lang w:val="undefined"/>
              </w:rPr>
              <w:t xml:space="preserve">1</w:t>
            </w:r>
            <w:r>
              <w:rPr>
                <w:b/>
                <w:bCs/>
                <w:color w:val="000000" w:themeColor="text1"/>
                <w:sz w:val="22"/>
                <w:szCs w:val="22"/>
                <w:highlight w:val="white"/>
                <w:lang w:val="undefined" w:bidi="undefined"/>
              </w:rPr>
            </w:r>
            <w:r>
              <w:rPr>
                <w:b/>
                <w:bCs/>
                <w:color w:val="000000" w:themeColor="text1"/>
                <w:sz w:val="22"/>
                <w:szCs w:val="22"/>
                <w:highlight w:val="white"/>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3.150.000.000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4.800.000.000</w:t>
            </w:r>
            <w:r>
              <w:rPr>
                <w:b/>
                <w:bCs/>
                <w:color w:val="000000"/>
                <w:sz w:val="22"/>
                <w:szCs w:val="22"/>
                <w:highlight w:val="white"/>
              </w:rPr>
            </w:r>
            <w:r>
              <w:rPr>
                <w:b/>
                <w:bCs/>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37.646.650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40.384.615</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46.692.607</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non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non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lang w:val="de-D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lang w:val="it-IT"/>
        </w:rPr>
      </w:r>
    </w:p>
    <w:p>
      <w:pPr>
        <w:pStyle w:val="1030"/>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2.544.913.561</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3.150.000.000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4.800.000.000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37.646.650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40.384.615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46.692.607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37.646.650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38.141.026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52.529.183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QL21B, xa Hòa Xá, thành phố Hà Nội</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QL21B, xa Hòa Xá, thành phố Hà Nội</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QL21B, xa Hòa Xá, thành phố Hà Nội</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đường QL21B, xa Hòa Xá, thành phố Hà Nội</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37.646.650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40.384.615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46.692.607</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Đường nhựa không có vỉa hè</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0%</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0</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37.646.650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40.384.615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46.692.607</w:t>
            </w:r>
            <w:r>
              <w:rPr>
                <w:color w:val="000000" w:themeColor="text1"/>
                <w:sz w:val="22"/>
                <w:szCs w:val="22"/>
                <w:highlight w:val="white"/>
                <w:lang w:val="undefined" w:bidi="undefined"/>
              </w:rPr>
            </w:r>
            <w:r>
              <w:rPr>
                <w:color w:val="000000" w:themeColor="text1"/>
                <w:sz w:val="22"/>
                <w:szCs w:val="22"/>
                <w:highlight w:val="white"/>
                <w:lang w:val="undefined" w:bidi="undefined"/>
              </w:rPr>
            </w:r>
            <w:r>
              <w:rPr>
                <w:color w:val="000000" w:themeColor="text1"/>
                <w:sz w:val="22"/>
                <w:szCs w:val="22"/>
                <w:highlight w:val="white"/>
                <w:lang w:val="undefined" w:bidi="undefined"/>
              </w:rPr>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(m)</w:t>
            </w:r>
            <w: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13,0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13,0</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-5%</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-1.907.051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-2.480.545</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37.646.650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38.477.564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44.357.977</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(m²)</w:t>
            </w:r>
            <w:r/>
            <w:r>
              <w:rPr>
                <w:b/>
                <w:bCs/>
                <w:color w:val="000000" w:themeColor="text1"/>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90,0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67,6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78,0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102,8</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2%</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-1.882.333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-762.821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1.050.584</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35.764.317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37.714.743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45.408.561</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w:t>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themeColor="text1"/>
                <w:sz w:val="22"/>
                <w:szCs w:val="22"/>
                <w:highlight w:val="white"/>
              </w:rPr>
              <w:t xml:space="preserve">(m)</w:t>
            </w:r>
            <w: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4,65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5,34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3,95</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2%</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-752.933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-1.615.385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992.218</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35.011.384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36.099.358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46.400.779</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Tiếp giáp 1 mặt tiền</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0%</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0</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35.011.384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36.099.358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46.400.779</w:t>
            </w:r>
            <w:r>
              <w:rPr>
                <w:color w:val="000000" w:themeColor="text1"/>
                <w:sz w:val="22"/>
                <w:szCs w:val="22"/>
                <w:highlight w:val="white"/>
                <w:lang w:val="undefined" w:bidi="undefined"/>
              </w:rPr>
            </w:r>
            <w:r>
              <w:rPr>
                <w:color w:val="000000" w:themeColor="text1"/>
                <w:sz w:val="22"/>
                <w:szCs w:val="22"/>
                <w:highlight w:val="white"/>
                <w:lang w:val="undefined" w:bidi="undefined"/>
              </w:rPr>
            </w:r>
            <w:r>
              <w:rPr>
                <w:color w:val="000000" w:themeColor="text1"/>
                <w:sz w:val="22"/>
                <w:szCs w:val="22"/>
                <w:highlight w:val="white"/>
                <w:lang w:val="undefined" w:bidi="undefined"/>
              </w:rPr>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Hình chữ nhật</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0%</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0</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35.011.384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36.099.358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46.400.779</w:t>
            </w:r>
            <w:r>
              <w:rPr>
                <w:color w:val="000000" w:themeColor="text1"/>
                <w:sz w:val="22"/>
                <w:szCs w:val="22"/>
                <w:highlight w:val="white"/>
                <w:lang w:val="undefined" w:bidi="undefined"/>
              </w:rPr>
            </w:r>
            <w:r>
              <w:rPr>
                <w:color w:val="000000" w:themeColor="text1"/>
                <w:sz w:val="22"/>
                <w:szCs w:val="22"/>
                <w:highlight w:val="white"/>
                <w:lang w:val="undefined" w:bidi="undefined"/>
              </w:rPr>
            </w:r>
            <w:r>
              <w:rPr>
                <w:color w:val="000000" w:themeColor="text1"/>
                <w:sz w:val="22"/>
                <w:szCs w:val="22"/>
                <w:highlight w:val="white"/>
                <w:lang w:val="undefined" w:bidi="undefined"/>
              </w:rPr>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Lợi thế kinh doanh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Trung bình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Khá</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Khá</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Tốt</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-25%</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65"/>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-1.882.333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-1.907.051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-11.673.152</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33.129.051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34.192.307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34.727.627</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14:ligatures w14:val="none"/>
              </w:rPr>
            </w:pPr>
            <w:r>
              <w:rPr>
                <w:b/>
                <w:bCs/>
                <w:color w:val="000000" w:themeColor="text1"/>
                <w:sz w:val="22"/>
                <w:szCs w:val="22"/>
                <w:highlight w:val="white"/>
                <w:lang w:val="undefined"/>
              </w:rPr>
              <w:t xml:space="preserve">33.129.051</w:t>
            </w:r>
            <w:r>
              <w:rPr>
                <w:b/>
                <w:bCs/>
                <w:color w:val="000000" w:themeColor="text1"/>
                <w:sz w:val="22"/>
                <w:szCs w:val="22"/>
                <w:highlight w:val="white"/>
                <w:lang w:val="undefined" w:bidi="undefined"/>
              </w:rPr>
            </w:r>
            <w:r>
              <w:rPr>
                <w:b/>
                <w:bCs/>
                <w:color w:val="000000" w:themeColor="text1"/>
                <w:sz w:val="22"/>
                <w:szCs w:val="22"/>
                <w:highlight w:val="white"/>
                <w:lang w:val="undefined"/>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14:ligatures w14:val="none"/>
              </w:rPr>
            </w:pPr>
            <w:r>
              <w:rPr>
                <w:b/>
                <w:bCs/>
                <w:color w:val="000000" w:themeColor="text1"/>
                <w:sz w:val="22"/>
                <w:szCs w:val="22"/>
                <w:highlight w:val="white"/>
                <w:lang w:val="undefined"/>
              </w:rPr>
              <w:t xml:space="preserve">34.192.307</w:t>
            </w:r>
            <w:r>
              <w:rPr>
                <w:b/>
                <w:bCs/>
                <w:color w:val="000000" w:themeColor="text1"/>
                <w:sz w:val="22"/>
                <w:szCs w:val="22"/>
                <w:highlight w:val="white"/>
                <w:lang w:val="undefined" w:bidi="undefined"/>
              </w:rPr>
            </w:r>
            <w:r>
              <w:rPr>
                <w:b/>
                <w:bCs/>
                <w:color w:val="000000" w:themeColor="text1"/>
                <w:sz w:val="22"/>
                <w:szCs w:val="22"/>
                <w:highlight w:val="white"/>
                <w:lang w:val="undefined"/>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14:ligatures w14:val="none"/>
              </w:rPr>
            </w:pPr>
            <w:r>
              <w:rPr>
                <w:b/>
                <w:bCs/>
                <w:color w:val="000000" w:themeColor="text1"/>
                <w:sz w:val="22"/>
                <w:szCs w:val="22"/>
                <w:highlight w:val="white"/>
                <w:lang w:val="undefined" w:bidi="undefined"/>
              </w:rPr>
            </w:r>
            <w:r>
              <w:rPr>
                <w:b/>
                <w:bCs/>
                <w:color w:val="000000" w:themeColor="text1"/>
                <w:sz w:val="22"/>
                <w:szCs w:val="22"/>
                <w:highlight w:val="white"/>
                <w:lang w:val="undefined"/>
              </w:rPr>
              <w:t xml:space="preserve">34.727.627</w:t>
            </w:r>
            <w:r>
              <w:rPr>
                <w:b/>
                <w:bCs/>
                <w:color w:val="000000" w:themeColor="text1"/>
                <w:sz w:val="22"/>
                <w:szCs w:val="22"/>
                <w:highlight w:val="white"/>
                <w:lang w:val="undefined" w:bidi="undefined"/>
              </w:rPr>
            </w:r>
            <w:r>
              <w:rPr>
                <w:b/>
                <w:bCs/>
                <w:color w:val="000000" w:themeColor="text1"/>
                <w:sz w:val="22"/>
                <w:szCs w:val="22"/>
                <w:highlight w:val="white"/>
                <w:lang w:val="undefined"/>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highlight w:val="white"/>
                <w14:ligatures w14:val="none"/>
              </w:rPr>
            </w:pPr>
            <w:r>
              <w:rPr>
                <w:b/>
                <w:bCs/>
                <w:color w:val="000000" w:themeColor="text1"/>
                <w:sz w:val="22"/>
                <w:szCs w:val="22"/>
                <w:highlight w:val="white"/>
                <w:lang w:val="undefined" w:bidi="undefined"/>
              </w:rPr>
            </w:r>
            <w:r>
              <w:rPr>
                <w:b/>
                <w:bCs/>
                <w:color w:val="000000" w:themeColor="text1"/>
                <w:sz w:val="22"/>
                <w:szCs w:val="22"/>
                <w:highlight w:val="white"/>
                <w:lang w:val="undefined"/>
              </w:rPr>
              <w:t xml:space="preserve">34.016.328</w:t>
            </w:r>
            <w:r>
              <w:rPr>
                <w:b/>
                <w:bCs/>
                <w:color w:val="000000" w:themeColor="text1"/>
                <w:sz w:val="22"/>
                <w:szCs w:val="22"/>
                <w:highlight w:val="white"/>
                <w:lang w:val="undefined" w:bidi="undefined"/>
              </w:rPr>
            </w:r>
            <w:r>
              <w:rPr>
                <w:b/>
                <w:bCs/>
                <w:color w:val="000000" w:themeColor="text1"/>
                <w:sz w:val="22"/>
                <w:szCs w:val="22"/>
                <w:highlight w:val="white"/>
                <w:lang w:val="undefined"/>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-2,61%</w:t>
            </w:r>
            <w:r>
              <w:rPr>
                <w:color w:val="000000" w:themeColor="text1"/>
                <w:sz w:val="22"/>
                <w:szCs w:val="22"/>
                <w:highlight w:val="white"/>
                <w:lang w:val="undefined" w:bidi="undefined"/>
              </w:rPr>
            </w:r>
            <w:r>
              <w:rPr>
                <w:color w:val="000000" w:themeColor="text1"/>
                <w:sz w:val="22"/>
                <w:szCs w:val="22"/>
                <w:highlight w:val="white"/>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0,52%</w:t>
            </w:r>
            <w:r>
              <w:rPr>
                <w:color w:val="000000" w:themeColor="text1"/>
                <w:sz w:val="22"/>
                <w:szCs w:val="22"/>
                <w:highlight w:val="white"/>
                <w:lang w:val="undefined" w:bidi="undefined"/>
              </w:rPr>
            </w:r>
            <w:r>
              <w:rPr>
                <w:color w:val="000000" w:themeColor="text1"/>
                <w:sz w:val="22"/>
                <w:szCs w:val="22"/>
                <w:highlight w:val="white"/>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lang w:val="undefined" w:bidi="undefined"/>
              </w:rPr>
            </w:r>
            <w:r>
              <w:rPr>
                <w:color w:val="000000" w:themeColor="text1"/>
                <w:sz w:val="22"/>
                <w:szCs w:val="22"/>
                <w:highlight w:val="white"/>
                <w:lang w:val="undefined"/>
              </w:rPr>
              <w:t xml:space="preserve">2,09%</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4.517.599</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6.192.308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lang w:val="undefined"/>
              </w:rPr>
              <w:t xml:space="preserve">16.050.584</w:t>
            </w:r>
            <w:r>
              <w:rPr>
                <w:color w:val="000000" w:themeColor="text1"/>
                <w:sz w:val="22"/>
                <w:szCs w:val="22"/>
                <w:highlight w:val="white"/>
                <w:lang w:val="undefined" w:bidi="undefined"/>
              </w:rPr>
            </w:r>
            <w:r>
              <w:rPr>
                <w:color w:val="000000" w:themeColor="text1"/>
                <w:sz w:val="22"/>
                <w:szCs w:val="22"/>
                <w:highlight w:val="white"/>
                <w:lang w:val="undefined"/>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sz w:val="22"/>
                <w:szCs w:val="22"/>
                <w:highlight w:val="white"/>
              </w:rPr>
              <w:t xml:space="preserve">4</w:t>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 - 5%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 - 5%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 - 25%</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4.517.599</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6.192.308</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12.110.894</w:t>
            </w:r>
            <w:r>
              <w:rPr>
                <w:sz w:val="22"/>
                <w:szCs w:val="22"/>
                <w:highlight w:val="white"/>
              </w:rPr>
            </w:r>
            <w:r>
              <w:rPr>
                <w:sz w:val="22"/>
                <w:szCs w:val="22"/>
                <w:highlight w:val="white"/>
              </w:rPr>
            </w:r>
          </w:p>
        </w:tc>
      </w:tr>
    </w:tbl>
    <w:p>
      <w:pPr>
        <w:pBdr/>
        <w:spacing w:after="120" w:before="120" w:line="348"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348"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w:t>
      </w:r>
      <w:r>
        <w:rPr>
          <w:color w:val="ff0000"/>
          <w:highlight w:val="white"/>
        </w:rPr>
        <w:t xml:space="preserve"> </w:t>
      </w:r>
      <w:r>
        <w:rPr>
          <w:color w:val="ff0000"/>
          <w:highlight w:val="white"/>
        </w:rPr>
        <w:t xml:space="preserve">-2,61</w:t>
      </w:r>
      <w:r>
        <w:rPr>
          <w:color w:val="ff0000"/>
          <w:highlight w:val="white"/>
        </w:rPr>
        <w:t xml:space="preserve">% đến</w:t>
      </w:r>
      <w:r>
        <w:rPr>
          <w:color w:val="ff0000"/>
          <w:highlight w:val="white"/>
        </w:rPr>
        <w:t xml:space="preserve"> </w:t>
      </w:r>
      <w:r>
        <w:rPr>
          <w:color w:val="ff0000"/>
          <w:highlight w:val="white"/>
        </w:rPr>
        <w:t xml:space="preserve">2,09%, đảm </w:t>
      </w:r>
      <w:r>
        <w:rPr>
          <w:highlight w:val="white"/>
        </w:rPr>
        <w:t xml:space="preserve">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348"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bCs/>
          <w:i/>
          <w:highlight w:val="none"/>
        </w:rPr>
      </w:pPr>
      <w:r>
        <w:rPr>
          <w:i/>
          <w:iCs/>
          <w:highlight w:val="none"/>
        </w:rPr>
      </w:r>
      <w:r>
        <w:rPr>
          <w:i/>
          <w:iCs/>
          <w:highlight w:val="none"/>
        </w:rPr>
      </w:r>
      <w:r>
        <w:rPr>
          <w:i/>
          <w:iCs/>
          <w:highlight w:val="none"/>
        </w:rPr>
      </w:r>
    </w:p>
    <w:p>
      <w:pPr>
        <w:pBdr/>
        <w:spacing/>
        <w:ind/>
        <w:jc w:val="right"/>
        <w:rPr>
          <w:bCs/>
          <w:i/>
          <w:highlight w:val="none"/>
        </w:rPr>
      </w:pPr>
      <w:r>
        <w:rPr>
          <w:i/>
          <w:iCs/>
          <w:highlight w:val="none"/>
        </w:rPr>
      </w:r>
      <w:r>
        <w:rPr>
          <w:i/>
          <w:iCs/>
          <w:highlight w:val="none"/>
        </w:rPr>
      </w:r>
      <w:r>
        <w:rPr>
          <w:i/>
          <w:iCs/>
          <w:highlight w:val="none"/>
        </w:rPr>
      </w:r>
    </w:p>
    <w:p>
      <w:pPr>
        <w:pBdr/>
        <w:spacing/>
        <w:ind/>
        <w:jc w:val="right"/>
        <w:rPr>
          <w:i/>
          <w:iCs/>
          <w:highlight w:val="non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33.129.051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11.045.226</w:t>
            </w:r>
            <w:r>
              <w:rPr>
                <w:color w:val="000000"/>
                <w:highlight w:val="white"/>
              </w:rPr>
            </w:r>
            <w:r>
              <w:rPr>
                <w:color w:val="000000"/>
                <w:highlight w:val="white"/>
              </w:rPr>
            </w:r>
          </w:p>
        </w:tc>
      </w:tr>
      <w:tr>
        <w:trPr>
          <w:trHeight w:val="341"/>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34.192.307</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11.396.296</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14:ligatures w14:val="none"/>
              </w:rPr>
            </w:pPr>
            <w:r>
              <w:rPr>
                <w:color w:val="000000"/>
                <w:highlight w:val="white"/>
                <w:lang w:val="undefined" w:bidi="undefined"/>
              </w:rPr>
            </w:r>
            <w:r>
              <w:rPr>
                <w:color w:val="000000"/>
                <w:highlight w:val="white"/>
                <w:lang w:val="undefined"/>
              </w:rPr>
              <w:t xml:space="preserve">34.727.627</w:t>
            </w:r>
            <w:r>
              <w:rPr>
                <w:color w:val="000000"/>
                <w:highlight w:val="white"/>
                <w:lang w:val="undefined" w:bidi="undefined"/>
              </w:rPr>
            </w:r>
            <w:r>
              <w:rPr>
                <w:color w:val="000000"/>
                <w:highlight w:val="white"/>
                <w:lang w:val="undefined"/>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14:ligatures w14:val="none"/>
              </w:rPr>
            </w:pPr>
            <w:r>
              <w:rPr>
                <w:color w:val="000000"/>
                <w:highlight w:val="white"/>
                <w:lang w:val="undefined"/>
              </w:rPr>
              <w:t xml:space="preserve">33,33</w:t>
            </w:r>
            <w:r>
              <w:rPr>
                <w:color w:val="000000"/>
                <w:highlight w:val="white"/>
                <w:lang w:val="undefined"/>
              </w:rPr>
              <w:t xml:space="preserve">%</w:t>
            </w:r>
            <w:r>
              <w:rPr>
                <w:color w:val="000000"/>
                <w:highlight w:val="white"/>
                <w:lang w:val="undefined" w:bidi="undefined"/>
              </w:rPr>
            </w:r>
            <w:r>
              <w:rPr>
                <w:color w:val="000000"/>
                <w:highlight w:val="white"/>
                <w:lang w:val="undefined"/>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14:ligatures w14:val="none"/>
              </w:rPr>
            </w:pPr>
            <w:r>
              <w:rPr>
                <w:color w:val="000000"/>
                <w:highlight w:val="white"/>
                <w:lang w:val="undefined" w:bidi="undefined"/>
              </w:rPr>
            </w:r>
            <w:r>
              <w:rPr>
                <w:color w:val="000000"/>
                <w:highlight w:val="white"/>
                <w:lang w:val="undefined"/>
              </w:rPr>
              <w:t xml:space="preserve">11.574.718</w:t>
            </w:r>
            <w:r>
              <w:rPr>
                <w:color w:val="000000"/>
                <w:highlight w:val="white"/>
                <w:lang w:val="undefined" w:bidi="undefined"/>
              </w:rPr>
            </w:r>
            <w:r>
              <w:rPr>
                <w:color w:val="000000"/>
                <w:highlight w:val="white"/>
                <w:lang w:val="undefined"/>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14:ligatures w14:val="none"/>
              </w:rPr>
            </w:pPr>
            <w:r>
              <w:rPr>
                <w:b/>
                <w:bCs/>
                <w:color w:val="000000" w:themeColor="text1"/>
                <w:highlight w:val="white"/>
                <w:lang w:val="vi-VN"/>
              </w:rPr>
            </w:r>
            <w:r>
              <w:rPr>
                <w:color w:val="000000"/>
                <w:highlight w:val="white"/>
                <w:lang w:val="undefined"/>
              </w:rPr>
              <w:t xml:space="preserve">34.016.240</w:t>
            </w:r>
            <w:r>
              <w:rPr>
                <w:color w:val="000000"/>
                <w:highlight w:val="white"/>
                <w:lang w:val="undefined" w:bidi="undefined"/>
              </w:rPr>
            </w:r>
            <w:r>
              <w:rPr>
                <w:color w:val="000000"/>
                <w:highlight w:val="white"/>
                <w:lang w:val="undefined"/>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34.000.000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34.000.000</w:t>
      </w:r>
      <w:r>
        <w:rPr>
          <w:b/>
          <w:bCs/>
          <w:color w:val="000000" w:themeColor="text1"/>
          <w:highlight w:val="white"/>
        </w:rPr>
        <w:t xml:space="preserve"> </w:t>
      </w:r>
      <w:r>
        <w:rPr>
          <w:b/>
          <w:bCs/>
          <w:highlight w:val="white"/>
        </w:rPr>
        <w:t xml:space="preserve">đồng/m².</w:t>
      </w:r>
      <w:r>
        <w:rPr>
          <w:b/>
          <w:highlight w:val="white"/>
          <w:lang w:val="pt-BR"/>
        </w:rPr>
      </w:r>
      <w:r>
        <w:rPr>
          <w:b/>
          <w:bCs/>
          <w:highlight w:val="white"/>
        </w:rPr>
      </w:r>
    </w:p>
    <w:p>
      <w:pPr>
        <w:pStyle w:val="1030"/>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lang w:val="pt-BR"/>
        </w:rPr>
      </w:r>
      <w:r>
        <w:rPr>
          <w:b/>
          <w:highlight w:val="white"/>
          <w:lang w:val="pt-BR"/>
        </w:rPr>
      </w:r>
    </w:p>
    <w:p>
      <w:pPr>
        <w:pStyle w:val="1030"/>
        <w:pBdr/>
        <w:tabs>
          <w:tab w:val="left" w:leader="none" w:pos="993"/>
        </w:tabs>
        <w:spacing w:after="120" w:before="120" w:line="276" w:lineRule="auto"/>
        <w:ind w:left="0"/>
        <w:jc w:val="both"/>
        <w:rPr>
          <w:highlight w:val="non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7/2026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W w:w="503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02"/>
        <w:gridCol w:w="2582"/>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376"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2"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760" w:type="dxa"/>
            <w:vAlign w:val="center"/>
            <w:textDirection w:val="lrTb"/>
            <w:noWrap w:val="false"/>
          </w:tcPr>
          <w:p>
            <w:pPr>
              <w:pBdr/>
              <w:spacing w:after="40" w:before="40" w:line="288" w:lineRule="auto"/>
              <w:ind/>
              <w:jc w:val="both"/>
              <w:rPr>
                <w:b/>
                <w:bCs/>
                <w:highlight w:val="white"/>
              </w:rPr>
            </w:pPr>
            <w:r>
              <w:rPr>
                <w:b/>
                <w:bCs/>
                <w:color w:val="000000"/>
                <w:highlight w:val="white"/>
              </w:rPr>
              <w:t xml:space="preserve">Quyền sử dụng đất tại thửa đất số: 656, tờ bản đồ số: 11, có địa chỉ: Thôn Nội Lưu, xã Lưu Hoàng, huyện Ứng</w:t>
            </w:r>
            <w:r>
              <w:rPr>
                <w:b/>
                <w:bCs/>
                <w:color w:val="000000"/>
                <w:highlight w:val="white"/>
              </w:rPr>
              <w:t xml:space="preserve"> Hòa (</w:t>
            </w:r>
            <w:r>
              <w:rPr>
                <w:b/>
                <w:bCs/>
                <w:i/>
                <w:iCs/>
                <w:color w:val="000000"/>
                <w:highlight w:val="white"/>
              </w:rPr>
              <w:t xml:space="preserve">nay là xã Hòa Xá),</w:t>
            </w:r>
            <w:r>
              <w:rPr>
                <w:b/>
                <w:bCs/>
                <w:color w:val="000000"/>
                <w:highlight w:val="white"/>
              </w:rPr>
              <w:t xml:space="preserve"> thành phố Hà Nội theo Giấy chứng nhận quyền sử dụng đất, quyền sở hữu nhà ở và tài sản khác gắn liền với đất số: BR 880324, Số vào sổ cấp GCN: CH04324 do UBND huyện Ứng Hòa cấp ngày 08/5/2014; Chủ sử dụng đất là Ông Đoàn Xuân Hưng</w:t>
            </w:r>
            <w:r>
              <w:rPr>
                <w:b/>
                <w:b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highlight w:val="white"/>
              </w:rPr>
            </w:pPr>
            <w:r>
              <w:rPr>
                <w:b w:val="0"/>
                <w:bCs w:val="0"/>
                <w:highlight w:val="none"/>
              </w:rPr>
              <w:t xml:space="preserve">-</w:t>
            </w:r>
            <w:r>
              <w:rPr>
                <w:b w:val="0"/>
                <w:bCs w:val="0"/>
                <w:highlight w:val="white"/>
              </w:rPr>
            </w:r>
            <w:r>
              <w:rPr>
                <w:b w:val="0"/>
                <w:bCs w:val="0"/>
                <w:highlight w:val="white"/>
              </w:rPr>
            </w:r>
          </w:p>
        </w:tc>
        <w:tc>
          <w:tcPr>
            <w:shd w:val="clear" w:color="000000" w:fill="ffffff"/>
            <w:tcBorders/>
            <w:tcW w:w="2376"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nông thôn</w:t>
            </w:r>
            <w:r>
              <w:rPr>
                <w:b w:val="0"/>
                <w:bCs w:val="0"/>
                <w:highlight w:val="white"/>
              </w:rPr>
            </w:r>
            <w:r>
              <w:rPr>
                <w:b w:val="0"/>
                <w:bCs w:val="0"/>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90,0</w:t>
            </w:r>
            <w:r>
              <w:rPr>
                <w:color w:val="000000"/>
                <w:highlight w:val="white"/>
              </w:rPr>
            </w:r>
            <w:r>
              <w:rPr>
                <w:color w:val="000000"/>
                <w:highlight w:val="white"/>
              </w:rPr>
            </w:r>
          </w:p>
        </w:tc>
        <w:tc>
          <w:tcPr>
            <w:shd w:val="clear" w:color="000000" w:fill="ffffff"/>
            <w:tcBorders/>
            <w:tcW w:w="2582"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34.000.000</w:t>
            </w:r>
            <w:r>
              <w:rPr>
                <w:highlight w:val="white"/>
              </w:rPr>
            </w:r>
            <w:r>
              <w:rPr>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3.060.000.000</w:t>
            </w:r>
            <w:r>
              <w:rPr>
                <w:highlight w:val="white"/>
              </w:rPr>
            </w:r>
            <w:r>
              <w:rPr>
                <w:highlight w:val="white"/>
              </w:rPr>
            </w:r>
          </w:p>
        </w:tc>
      </w:tr>
      <w:tr>
        <w:trPr>
          <w:trHeight w:val="20"/>
        </w:trPr>
        <w:tc>
          <w:tcPr>
            <w:gridSpan w:val="4"/>
            <w:tcBorders/>
            <w:tcW w:w="7435"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highlight w:val="white"/>
              </w:rPr>
              <w:t xml:space="preserve">3.060.000.000</w:t>
            </w:r>
            <w:r>
              <w:rPr>
                <w:b/>
                <w:bCs/>
                <w:color w:val="000000"/>
                <w:highlight w:val="white"/>
              </w:rPr>
            </w:r>
            <w:r>
              <w:rPr>
                <w:b/>
                <w:bCs/>
                <w:color w:val="000000"/>
                <w:highlight w:val="white"/>
              </w:rPr>
            </w:r>
          </w:p>
        </w:tc>
      </w:tr>
      <w:tr>
        <w:trPr>
          <w:trHeight w:val="20"/>
        </w:trPr>
        <w:tc>
          <w:tcPr>
            <w:gridSpan w:val="5"/>
            <w:tcBorders/>
            <w:tcW w:w="9599"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Ba tỷ, sáu mươi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Style w:val="1030"/>
        <w:pBdr/>
        <w:tabs>
          <w:tab w:val="left" w:leader="none" w:pos="993"/>
        </w:tabs>
        <w:spacing w:after="120" w:before="120" w:line="259"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30"/>
        <w:numPr>
          <w:ilvl w:val="0"/>
          <w:numId w:val="4"/>
        </w:numPr>
        <w:pBdr/>
        <w:tabs>
          <w:tab w:val="left" w:leader="none" w:pos="993"/>
        </w:tabs>
        <w:spacing w:after="120" w:before="120" w:line="259"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lang w:val="pt-BR"/>
        </w:rPr>
      </w:r>
    </w:p>
    <w:p>
      <w:pPr>
        <w:pStyle w:val="1030"/>
        <w:pBdr/>
        <w:tabs>
          <w:tab w:val="left" w:leader="none" w:pos="993"/>
        </w:tabs>
        <w:spacing w:after="120" w:before="120" w:line="259"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pPr>
        <w:pStyle w:val="1030"/>
        <w:numPr>
          <w:ilvl w:val="0"/>
          <w:numId w:val="5"/>
        </w:numPr>
        <w:pBdr/>
        <w:tabs>
          <w:tab w:val="left" w:leader="none" w:pos="993"/>
        </w:tabs>
        <w:spacing w:after="120" w:before="120" w:line="259"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lang w:val="pt-BR"/>
        </w:rPr>
      </w:r>
    </w:p>
    <w:p>
      <w:pPr>
        <w:pStyle w:val="1030"/>
        <w:numPr>
          <w:ilvl w:val="0"/>
          <w:numId w:val="5"/>
        </w:numPr>
        <w:pBdr/>
        <w:tabs>
          <w:tab w:val="left" w:leader="none" w:pos="993"/>
        </w:tabs>
        <w:spacing w:after="120" w:before="120" w:line="259"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lang w:val="pt-BR"/>
        </w:rPr>
      </w:r>
    </w:p>
    <w:p>
      <w:pPr>
        <w:pStyle w:val="1030"/>
        <w:numPr>
          <w:ilvl w:val="0"/>
          <w:numId w:val="5"/>
        </w:numPr>
        <w:pBdr/>
        <w:tabs>
          <w:tab w:val="left" w:leader="none" w:pos="993"/>
        </w:tabs>
        <w:spacing w:after="120" w:before="120" w:line="259"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lang w:val="pt-BR"/>
        </w:rPr>
      </w:r>
    </w:p>
    <w:p>
      <w:pPr>
        <w:pStyle w:val="1030"/>
        <w:numPr>
          <w:ilvl w:val="0"/>
          <w:numId w:val="5"/>
        </w:numPr>
        <w:pBdr/>
        <w:tabs>
          <w:tab w:val="left" w:leader="none" w:pos="993"/>
        </w:tabs>
        <w:spacing w:after="120" w:before="120" w:line="259"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lang w:val="pt-BR"/>
        </w:rPr>
      </w:r>
    </w:p>
    <w:p>
      <w:pPr>
        <w:pStyle w:val="1030"/>
        <w:numPr>
          <w:ilvl w:val="0"/>
          <w:numId w:val="10"/>
        </w:numPr>
        <w:pBdr/>
        <w:spacing w:after="120" w:before="120" w:line="259"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lang w:val="pt-BR"/>
        </w:rPr>
      </w:r>
    </w:p>
    <w:p>
      <w:pPr>
        <w:pStyle w:val="1030"/>
        <w:numPr>
          <w:ilvl w:val="0"/>
          <w:numId w:val="10"/>
        </w:numPr>
        <w:pBdr/>
        <w:spacing w:after="120" w:before="120" w:line="259"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lang w:val="pt-BR"/>
        </w:rPr>
      </w:r>
    </w:p>
    <w:p>
      <w:pPr>
        <w:pStyle w:val="1030"/>
        <w:numPr>
          <w:ilvl w:val="0"/>
          <w:numId w:val="10"/>
        </w:numPr>
        <w:pBdr/>
        <w:spacing w:after="120" w:before="120" w:line="259"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lang w:val="pt-BR"/>
        </w:rPr>
      </w:r>
    </w:p>
    <w:p>
      <w:pPr>
        <w:pStyle w:val="1030"/>
        <w:pBdr/>
        <w:tabs>
          <w:tab w:val="left" w:leader="none" w:pos="993"/>
        </w:tabs>
        <w:spacing w:after="120" w:before="120" w:line="259"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30"/>
        <w:numPr>
          <w:ilvl w:val="0"/>
          <w:numId w:val="5"/>
        </w:numPr>
        <w:pBdr/>
        <w:tabs>
          <w:tab w:val="left" w:leader="none" w:pos="993"/>
        </w:tabs>
        <w:spacing w:after="120" w:before="120" w:line="259"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lang w:val="pt-BR"/>
        </w:rPr>
      </w:r>
    </w:p>
    <w:p>
      <w:pPr>
        <w:pStyle w:val="1030"/>
        <w:numPr>
          <w:ilvl w:val="0"/>
          <w:numId w:val="5"/>
        </w:numPr>
        <w:pBdr/>
        <w:tabs>
          <w:tab w:val="left" w:leader="none" w:pos="993"/>
        </w:tabs>
        <w:spacing w:after="120" w:before="120" w:line="259"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lang w:val="pt-BR"/>
        </w:rPr>
      </w:r>
    </w:p>
    <w:p>
      <w:pPr>
        <w:pStyle w:val="1030"/>
        <w:numPr>
          <w:ilvl w:val="0"/>
          <w:numId w:val="5"/>
        </w:numPr>
        <w:pBdr/>
        <w:tabs>
          <w:tab w:val="left" w:leader="none" w:pos="993"/>
        </w:tabs>
        <w:spacing w:after="120" w:before="120" w:line="259"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lang w:val="pt-BR"/>
        </w:rPr>
      </w:r>
    </w:p>
    <w:p>
      <w:pPr>
        <w:pStyle w:val="1030"/>
        <w:numPr>
          <w:ilvl w:val="0"/>
          <w:numId w:val="5"/>
        </w:numPr>
        <w:pBdr/>
        <w:tabs>
          <w:tab w:val="left" w:leader="none" w:pos="993"/>
        </w:tabs>
        <w:spacing w:after="120" w:before="120" w:line="259"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lang w:val="pt-BR"/>
        </w:rPr>
      </w:r>
    </w:p>
    <w:p>
      <w:pPr>
        <w:pStyle w:val="1030"/>
        <w:numPr>
          <w:ilvl w:val="0"/>
          <w:numId w:val="5"/>
        </w:numPr>
        <w:pBdr/>
        <w:tabs>
          <w:tab w:val="left" w:leader="none" w:pos="993"/>
        </w:tabs>
        <w:spacing w:after="120" w:before="120" w:line="259"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lang w:val="pt-BR"/>
        </w:rPr>
      </w:r>
    </w:p>
    <w:p>
      <w:pPr>
        <w:pStyle w:val="1030"/>
        <w:numPr>
          <w:ilvl w:val="0"/>
          <w:numId w:val="5"/>
        </w:numPr>
        <w:pBdr/>
        <w:tabs>
          <w:tab w:val="left" w:leader="none" w:pos="993"/>
        </w:tabs>
        <w:spacing w:after="120" w:before="120" w:line="259"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lang w:val="pt-BR"/>
        </w:rPr>
      </w:r>
    </w:p>
    <w:p>
      <w:pPr>
        <w:pStyle w:val="1030"/>
        <w:numPr>
          <w:ilvl w:val="0"/>
          <w:numId w:val="5"/>
        </w:numPr>
        <w:pBdr/>
        <w:spacing w:after="120" w:before="120" w:line="259"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lang w:val="pt-BR"/>
        </w:rPr>
      </w:r>
    </w:p>
    <w:p>
      <w:pPr>
        <w:pStyle w:val="1030"/>
        <w:numPr>
          <w:ilvl w:val="0"/>
          <w:numId w:val="5"/>
        </w:numPr>
        <w:pBdr/>
        <w:tabs>
          <w:tab w:val="left" w:leader="none" w:pos="993"/>
        </w:tabs>
        <w:spacing w:after="120" w:before="120" w:line="259" w:lineRule="auto"/>
        <w:ind/>
        <w:jc w:val="both"/>
        <w:rPr>
          <w:highlight w:val="white"/>
          <w:shd w:val="clear" w:color="auto" w:fill="ffffff"/>
        </w:rPr>
      </w:pPr>
      <w:r>
        <w:rPr>
          <w:highlight w:val="white"/>
          <w:shd w:val="clear" w:color="auto" w:fill="ffffff"/>
          <w:lang w:val="pt-BR"/>
        </w:rPr>
      </w:r>
      <w:r>
        <w:rPr>
          <w:rFonts w:ascii="Times New Roman" w:hAnsi="Times New Roman" w:eastAsia="Times New Roman" w:cs="Times New Roman"/>
          <w:color w:val="000000"/>
          <w:sz w:val="24"/>
          <w:highlight w:val="white"/>
        </w:rPr>
        <w:t xml:space="preserve">Tại th</w:t>
      </w:r>
      <w:r>
        <w:rPr>
          <w:rFonts w:ascii="Times New Roman" w:hAnsi="Times New Roman" w:eastAsia="Times New Roman" w:cs="Times New Roman"/>
          <w:color w:val="000000"/>
          <w:sz w:val="24"/>
          <w:highlight w:val="white"/>
        </w:rPr>
        <w:t xml:space="preserve">ời đi</w:t>
      </w:r>
      <w:r>
        <w:rPr>
          <w:rFonts w:ascii="Times New Roman" w:hAnsi="Times New Roman" w:eastAsia="Times New Roman" w:cs="Times New Roman"/>
          <w:color w:val="000000"/>
          <w:sz w:val="24"/>
          <w:highlight w:val="white"/>
        </w:rPr>
        <w:t xml:space="preserve">ểm khảo sát, dưới sự hướng dẫn của chủ tài sản, phần lưu không của thửa đất có công trình xây dựng nhà cấp 4, </w:t>
      </w:r>
      <w:r>
        <w:rPr>
          <w:rFonts w:ascii="Times New Roman" w:hAnsi="Times New Roman" w:eastAsia="Times New Roman" w:cs="Times New Roman"/>
          <w:color w:val="000000"/>
          <w:sz w:val="24"/>
          <w:highlight w:val="white"/>
        </w:rPr>
        <w:t xml:space="preserve">ngoại quan đã cũ. Công trình chưa được công nhận trên GCN QSDĐ số: </w:t>
      </w:r>
      <w:r>
        <w:rPr>
          <w:rFonts w:ascii="Times New Roman" w:hAnsi="Times New Roman" w:eastAsia="Times New Roman" w:cs="Times New Roman"/>
          <w:b w:val="0"/>
          <w:bCs w:val="0"/>
          <w:color w:val="000000"/>
          <w:sz w:val="24"/>
          <w:highlight w:val="white"/>
        </w:rPr>
        <w:t xml:space="preserve">BR 880324</w:t>
      </w:r>
      <w:r>
        <w:rPr>
          <w:spacing w:val="-2"/>
          <w:highlight w:val="white"/>
          <w:lang w:val="pt-BR"/>
        </w:rPr>
        <w:t xml:space="preserve">. Đồng thời, Tổ thẩm định cũ</w:t>
      </w:r>
      <w:r>
        <w:rPr>
          <w:spacing w:val="-2"/>
          <w:highlight w:val="none"/>
          <w:lang w:val="pt-BR"/>
        </w:rPr>
        <w:t xml:space="preserve">ng không nhận được bất kỳ giấy tờ pháp lý nào liên quan đến CTXD trên. Theo đề nghị của Khách hàng/ Ngân hàng, Tổ thẩm định không xác định giá trị CTXD nhưng vẫn coi đó là phần không thể thiếu của Tài sản thẩm định</w:t>
      </w:r>
      <w:r>
        <w:rPr>
          <w:highlight w:val="white"/>
          <w:shd w:val="clear" w:color="auto" w:fill="ffffff"/>
          <w:lang w:val="pt-BR"/>
        </w:rPr>
      </w:r>
      <w:r>
        <w:rPr>
          <w:highlight w:val="white"/>
          <w:shd w:val="clear" w:color="auto" w:fill="ffffff"/>
          <w:lang w:val="pt-BR"/>
        </w:rPr>
        <w:t xml:space="preserve">.</w:t>
      </w:r>
      <w:r>
        <w:rPr>
          <w:highlight w:val="white"/>
          <w:shd w:val="clear" w:color="auto" w:fill="ffffff"/>
          <w:lang w:val="pt-BR"/>
        </w:rPr>
      </w:r>
    </w:p>
    <w:p>
      <w:pPr>
        <w:pStyle w:val="1030"/>
        <w:numPr>
          <w:ilvl w:val="0"/>
          <w:numId w:val="5"/>
        </w:numPr>
        <w:pBdr/>
        <w:spacing w:after="120" w:before="120" w:line="259"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30"/>
        <w:numPr>
          <w:ilvl w:val="0"/>
          <w:numId w:val="3"/>
        </w:numPr>
        <w:pBdr/>
        <w:tabs>
          <w:tab w:val="left" w:leader="none" w:pos="993"/>
        </w:tabs>
        <w:spacing w:after="120" w:before="120" w:line="259"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30"/>
        <w:numPr>
          <w:ilvl w:val="0"/>
          <w:numId w:val="5"/>
        </w:numPr>
        <w:pBdr/>
        <w:tabs>
          <w:tab w:val="left" w:leader="none" w:pos="993"/>
        </w:tabs>
        <w:spacing w:after="120" w:before="120" w:line="259"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lang w:val="pt-BR"/>
        </w:rPr>
      </w:r>
    </w:p>
    <w:p>
      <w:pPr>
        <w:pStyle w:val="1030"/>
        <w:numPr>
          <w:ilvl w:val="0"/>
          <w:numId w:val="5"/>
        </w:numPr>
        <w:pBdr/>
        <w:tabs>
          <w:tab w:val="left" w:leader="none" w:pos="993"/>
        </w:tabs>
        <w:spacing w:after="120" w:before="120" w:line="259"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lang w:val="pt-BR"/>
        </w:rPr>
      </w:r>
      <w:r>
        <w:rPr>
          <w:highlight w:val="white"/>
          <w:lang w:val="pt-BR"/>
        </w:rPr>
      </w:r>
    </w:p>
    <w:p>
      <w:pPr>
        <w:pBdr/>
        <w:spacing w:after="120" w:before="120" w:line="259"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30"/>
        <w:pBdr/>
        <w:tabs>
          <w:tab w:val="left" w:leader="none" w:pos="993"/>
        </w:tabs>
        <w:spacing w:after="120" w:before="120" w:line="259"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lang w:val="pt-BR"/>
        </w:rPr>
      </w:r>
    </w:p>
    <w:p>
      <w:pPr>
        <w:pStyle w:val="1030"/>
        <w:pBdr/>
        <w:tabs>
          <w:tab w:val="left" w:leader="none" w:pos="993"/>
        </w:tabs>
        <w:spacing w:after="120" w:before="120" w:line="259"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lang w:val="pt-BR"/>
        </w:rPr>
      </w:r>
    </w:p>
    <w:p>
      <w:pPr>
        <w:pStyle w:val="1030"/>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275/2026/1108/VFI-CT.44.A</w:t>
      </w:r>
      <w:r>
        <w:rPr>
          <w:color w:val="ff0000"/>
          <w:highlight w:val="white"/>
          <w:lang w:val="vi-VN"/>
        </w:rPr>
        <w:t xml:space="preserve"> </w:t>
      </w:r>
      <w:r>
        <w:rPr>
          <w:color w:val="000000" w:themeColor="text1"/>
          <w:highlight w:val="white"/>
        </w:rPr>
        <w:t xml:space="preserve">ngày 22 tháng 7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Thị Thịnh</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VIII13.990</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Đình Duy</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lang w:val="pt-BR"/>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275/2026/1108/VFI-BC.44.A</w:t>
      </w:r>
      <w:r>
        <w:rPr>
          <w:i/>
          <w:highlight w:val="white"/>
          <w:lang w:val="pt-BR"/>
        </w:rPr>
        <w:t xml:space="preserve"> </w:t>
      </w:r>
      <w:r>
        <w:rPr>
          <w:i/>
          <w:highlight w:val="white"/>
          <w:lang w:val="pt-BR"/>
        </w:rPr>
        <w:t xml:space="preserve">ngày 22 tháng 7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3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348425" cy="292658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90132" name=""/>
                              <pic:cNvPicPr>
                                <a:picLocks noChangeAspect="1"/>
                              </pic:cNvPicPr>
                              <pic:nvPr/>
                            </pic:nvPicPr>
                            <pic:blipFill rotWithShape="1">
                              <a:blip r:embed="rId18"/>
                              <a:stretch/>
                            </pic:blipFill>
                            <pic:spPr bwMode="auto">
                              <a:xfrm flipH="0" flipV="0">
                                <a:off x="0" y="0"/>
                                <a:ext cx="1348425" cy="29265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6.18pt;height:230.44pt;mso-wrap-distance-left:0.00pt;mso-wrap-distance-top:0.00pt;mso-wrap-distance-right:0.00pt;mso-wrap-distance-bottom:0.00pt;z-index:1;" stroked="false">
                      <v:imagedata r:id="rId18" o:title=""/>
                      <o:lock v:ext="edit" rotation="t"/>
                    </v:shape>
                  </w:pict>
                </mc:Fallback>
              </mc:AlternateContent>
            </w:r>
            <w:r>
              <w:rPr>
                <w:i/>
                <w:highlight w:val="white"/>
                <w:lang w:val="pt-BR"/>
              </w:rPr>
            </w:r>
            <w:r>
              <w:rPr>
                <w:highlight w:val="white"/>
              </w:rPr>
            </w:r>
            <w:r>
              <w:rPr>
                <w:i/>
                <w:highlight w:val="white"/>
                <w:lang w:val="pt-BR"/>
              </w:rPr>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59109" cy="20693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52477" name=""/>
                              <pic:cNvPicPr>
                                <a:picLocks noChangeAspect="1"/>
                              </pic:cNvPicPr>
                              <pic:nvPr/>
                            </pic:nvPicPr>
                            <pic:blipFill rotWithShape="1">
                              <a:blip r:embed="rId19"/>
                              <a:stretch/>
                            </pic:blipFill>
                            <pic:spPr bwMode="auto">
                              <a:xfrm flipH="0" flipV="0">
                                <a:off x="0" y="0"/>
                                <a:ext cx="2759108" cy="2069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7.25pt;height:162.94pt;mso-wrap-distance-left:0.00pt;mso-wrap-distance-top:0.00pt;mso-wrap-distance-right:0.00pt;mso-wrap-distance-bottom:0.00pt;z-index:1;" stroked="false">
                      <v:imagedata r:id="rId19" o:title=""/>
                      <o:lock v:ext="edit" rotation="t"/>
                    </v:shape>
                  </w:pict>
                </mc:Fallback>
              </mc:AlternateContent>
            </w:r>
            <w:r>
              <w:rPr>
                <w:i/>
                <w:highlight w:val="white"/>
                <w:lang w:val="pt-BR"/>
              </w:rPr>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308305" cy="201599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25726" name=""/>
                              <pic:cNvPicPr>
                                <a:picLocks noChangeAspect="1"/>
                              </pic:cNvPicPr>
                              <pic:nvPr/>
                            </pic:nvPicPr>
                            <pic:blipFill rotWithShape="1">
                              <a:blip r:embed="rId20"/>
                              <a:stretch/>
                            </pic:blipFill>
                            <pic:spPr bwMode="auto">
                              <a:xfrm flipH="0" flipV="0">
                                <a:off x="0" y="0"/>
                                <a:ext cx="3308304" cy="20159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0.50pt;height:158.74pt;mso-wrap-distance-left:0.00pt;mso-wrap-distance-top:0.00pt;mso-wrap-distance-right:0.00pt;mso-wrap-distance-bottom:0.00pt;z-index:1;" stroked="false">
                      <v:imagedata r:id="rId20" o:title=""/>
                      <o:lock v:ext="edit" rotation="t"/>
                    </v:shape>
                  </w:pict>
                </mc:Fallback>
              </mc:AlternateContent>
            </w:r>
            <w:r>
              <w:rPr>
                <w:i/>
                <w:highlight w:val="white"/>
                <w:lang w:val="pt-BR"/>
              </w:rPr>
            </w:r>
            <w:r>
              <w:rPr>
                <w:highlight w:val="white"/>
              </w:rPr>
            </w:r>
            <w:r>
              <w:rPr>
                <w:i/>
                <w:highlight w:val="white"/>
                <w:lang w:val="pt-BR"/>
              </w:rPr>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86208" cy="21646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73774" name=""/>
                              <pic:cNvPicPr>
                                <a:picLocks noChangeAspect="1"/>
                              </pic:cNvPicPr>
                              <pic:nvPr/>
                            </pic:nvPicPr>
                            <pic:blipFill rotWithShape="1">
                              <a:blip r:embed="rId21"/>
                              <a:stretch/>
                            </pic:blipFill>
                            <pic:spPr bwMode="auto">
                              <a:xfrm flipH="0" flipV="0">
                                <a:off x="0" y="0"/>
                                <a:ext cx="2886208" cy="21646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26pt;height:170.45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lang w:val="pt-BR"/>
              </w:rPr>
            </w:r>
            <w:r>
              <w:rPr>
                <w:i/>
                <w:highlight w:val="white"/>
                <w:lang w:val="pt-BR"/>
              </w:rPr>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136180" cy="235213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57570" name=""/>
                              <pic:cNvPicPr>
                                <a:picLocks noChangeAspect="1"/>
                              </pic:cNvPicPr>
                              <pic:nvPr/>
                            </pic:nvPicPr>
                            <pic:blipFill rotWithShape="1">
                              <a:blip r:embed="rId22"/>
                              <a:stretch/>
                            </pic:blipFill>
                            <pic:spPr bwMode="auto">
                              <a:xfrm flipH="0" flipV="0">
                                <a:off x="0" y="0"/>
                                <a:ext cx="3136179" cy="2352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6.94pt;height:185.21pt;mso-wrap-distance-left:0.00pt;mso-wrap-distance-top:0.00pt;mso-wrap-distance-right:0.00pt;mso-wrap-distance-bottom:0.00pt;z-index:1;" stroked="false">
                      <v:imagedata r:id="rId22" o:title=""/>
                      <o:lock v:ext="edit" rotation="t"/>
                    </v:shape>
                  </w:pict>
                </mc:Fallback>
              </mc:AlternateContent>
            </w:r>
            <w:r>
              <w:rPr>
                <w:i/>
                <w:highlight w:val="white"/>
                <w:lang w:val="pt-BR"/>
              </w:rPr>
            </w:r>
            <w:r>
              <w:rPr>
                <w:highlight w:val="white"/>
              </w:rPr>
            </w:r>
            <w:r>
              <w:rPr>
                <w:i/>
                <w:highlight w:val="white"/>
                <w:lang w:val="pt-BR"/>
              </w:rPr>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86841" cy="216513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18204" name=""/>
                              <pic:cNvPicPr>
                                <a:picLocks noChangeAspect="1"/>
                              </pic:cNvPicPr>
                              <pic:nvPr/>
                            </pic:nvPicPr>
                            <pic:blipFill rotWithShape="1">
                              <a:blip r:embed="rId23"/>
                              <a:stretch/>
                            </pic:blipFill>
                            <pic:spPr bwMode="auto">
                              <a:xfrm flipH="0" flipV="0">
                                <a:off x="0" y="0"/>
                                <a:ext cx="2886841" cy="21651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31pt;height:170.48pt;mso-wrap-distance-left:0.00pt;mso-wrap-distance-top:0.00pt;mso-wrap-distance-right:0.00pt;mso-wrap-distance-bottom:0.00pt;z-index:1;" stroked="false">
                      <v:imagedata r:id="rId23" o:title=""/>
                      <o:lock v:ext="edit" rotation="t"/>
                    </v:shape>
                  </w:pict>
                </mc:Fallback>
              </mc:AlternateContent>
            </w:r>
            <w:r>
              <w:rPr>
                <w:i/>
                <w:highlight w:val="white"/>
                <w:lang w:val="pt-BR"/>
              </w:rPr>
            </w:r>
            <w:r>
              <w:rPr>
                <w:b/>
                <w:bCs/>
                <w:i/>
                <w:highlight w:val="white"/>
                <w:lang w:val="pt-BR"/>
              </w:rPr>
            </w:r>
            <w:r>
              <w:rPr>
                <w:b/>
                <w:bCs/>
                <w:i/>
                <w:highlight w:val="white"/>
                <w:lang w:val="pt-BR"/>
              </w:rPr>
            </w:r>
          </w:p>
        </w:tc>
      </w:tr>
    </w:tbl>
    <w:p>
      <w:pPr>
        <w:pBdr/>
        <w:spacing w:after="200" w:line="276" w:lineRule="auto"/>
        <w:ind/>
        <w:rPr>
          <w:highlight w:val="white"/>
        </w:rPr>
      </w:pPr>
      <w:r>
        <w:rPr>
          <w:highlight w:val="white"/>
        </w:rPr>
        <w:br w:type="page" w:clear="all"/>
      </w:r>
      <w:r>
        <w:rPr>
          <w:highlight w:val="white"/>
        </w:rPr>
        <mc:AlternateContent>
          <mc:Choice Requires="wpg">
            <w:drawing>
              <wp:inline xmlns:wp="http://schemas.openxmlformats.org/drawingml/2006/wordprocessingDrawing" distT="0" distB="0" distL="0" distR="0">
                <wp:extent cx="6048375" cy="444404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3597" name=""/>
                        <pic:cNvPicPr>
                          <a:picLocks noChangeAspect="1"/>
                        </pic:cNvPicPr>
                        <pic:nvPr/>
                      </pic:nvPicPr>
                      <pic:blipFill rotWithShape="1">
                        <a:blip r:embed="rId24"/>
                        <a:stretch/>
                      </pic:blipFill>
                      <pic:spPr bwMode="auto">
                        <a:xfrm>
                          <a:off x="0" y="0"/>
                          <a:ext cx="6048374" cy="4444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49.92pt;mso-wrap-distance-left:0.00pt;mso-wrap-distance-top:0.00pt;mso-wrap-distance-right:0.00pt;mso-wrap-distance-bottom:0.00pt;z-index:1;" stroked="false">
                <v:imagedata r:id="rId24" o:title=""/>
                <o:lock v:ext="edit" rotation="t"/>
              </v:shape>
            </w:pict>
          </mc:Fallback>
        </mc:AlternateContent>
      </w:r>
      <w:r>
        <w:rPr>
          <w:highlight w:val="white"/>
        </w:rPr>
      </w:r>
      <w:r>
        <w:rPr>
          <w:highlight w:val="white"/>
        </w:rPr>
      </w:r>
    </w:p>
    <w:p>
      <w:pPr>
        <w:pBdr/>
        <w:spacing w:after="200" w:line="276" w:lineRule="auto"/>
        <w:ind/>
        <w:rPr>
          <w:highlight w:val="white"/>
        </w:rPr>
      </w:pPr>
      <w:r>
        <w:rPr>
          <w:highlight w:val="white"/>
        </w:rPr>
      </w:r>
      <w:r>
        <w:rPr>
          <w:highlight w:val="white"/>
        </w:rPr>
        <mc:AlternateContent>
          <mc:Choice Requires="wpg">
            <w:drawing>
              <wp:inline xmlns:wp="http://schemas.openxmlformats.org/drawingml/2006/wordprocessingDrawing" distT="0" distB="0" distL="0" distR="0">
                <wp:extent cx="6048375" cy="439581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10008" name=""/>
                        <pic:cNvPicPr>
                          <a:picLocks noChangeAspect="1"/>
                        </pic:cNvPicPr>
                        <pic:nvPr/>
                      </pic:nvPicPr>
                      <pic:blipFill rotWithShape="1">
                        <a:blip r:embed="rId25"/>
                        <a:stretch/>
                      </pic:blipFill>
                      <pic:spPr bwMode="auto">
                        <a:xfrm>
                          <a:off x="0" y="0"/>
                          <a:ext cx="6048374" cy="4395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46.13pt;mso-wrap-distance-left:0.00pt;mso-wrap-distance-top:0.00pt;mso-wrap-distance-right:0.00pt;mso-wrap-distance-bottom:0.00pt;z-index:1;" stroked="false">
                <v:imagedata r:id="rId25" o:title=""/>
                <o:lock v:ext="edit" rotation="t"/>
              </v:shape>
            </w:pict>
          </mc:Fallback>
        </mc:AlternateContent>
      </w:r>
      <w:r>
        <w:rPr>
          <w:highlight w:val="white"/>
        </w:rPr>
      </w:r>
      <w:r>
        <w:rPr>
          <w:highlight w:val="white"/>
        </w:rPr>
      </w:r>
    </w:p>
    <w:p>
      <w:pPr>
        <w:pBdr/>
        <w:spacing w:after="200" w:line="276" w:lineRule="auto"/>
        <w:ind/>
        <w:rPr>
          <w:highlight w:val="white"/>
        </w:rPr>
      </w:pPr>
      <w:r>
        <w:rPr>
          <w:highlight w:val="white"/>
        </w:rP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22745"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6" o:title=""/>
                <o:lock v:ext="edit" rotation="t"/>
              </v:shape>
            </w:pict>
          </mc:Fallback>
        </mc:AlternateContent>
      </w:r>
      <w:r>
        <w:rPr>
          <w:highlight w:val="white"/>
        </w:rPr>
      </w:r>
      <w:r>
        <w:rPr>
          <w:highlight w:val="white"/>
        </w:rPr>
      </w:r>
    </w:p>
    <w:p>
      <w:pPr>
        <w:pBdr/>
        <w:shd w:val="nil"/>
        <w:spacing/>
        <w:ind/>
        <w:rPr>
          <w:bCs/>
          <w:i/>
          <w:highlight w:val="white"/>
        </w:rPr>
      </w:pPr>
      <w:r>
        <w:rPr>
          <w:b/>
          <w:highlight w:val="white"/>
        </w:rPr>
        <w:br w:type="page" w:clear="all"/>
      </w:r>
      <w:r>
        <w:rPr>
          <w:b/>
          <w:highlight w:val="white"/>
        </w:rPr>
      </w:r>
      <w:r>
        <w:rPr>
          <w:b/>
          <w:highlight w:val="white"/>
        </w:rPr>
      </w:r>
    </w:p>
    <w:p>
      <w:pPr>
        <w:pBdr/>
        <w:spacing w:after="200" w:line="276" w:lineRule="auto"/>
        <w:ind/>
        <w:jc w:val="center"/>
        <w:rPr>
          <w:b/>
          <w:bCs/>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i/>
          <w:highlight w:val="white"/>
          <w:lang w:val="pt-BR"/>
        </w:rPr>
      </w:r>
    </w:p>
    <w:p>
      <w:pPr>
        <w:pBdr/>
        <w:spacing/>
        <w:ind/>
        <w:jc w:val="center"/>
        <w:rPr>
          <w:i/>
          <w:highlight w:val="white"/>
        </w:rPr>
      </w:pPr>
      <w:r>
        <w:rPr>
          <w:i/>
          <w:highlight w:val="white"/>
          <w:lang w:val="pt-BR"/>
        </w:rPr>
        <w:t xml:space="preserve">(Kèm theo Báo cáo thẩm định số </w:t>
      </w:r>
      <w:r>
        <w:rPr>
          <w:i/>
          <w:highlight w:val="white"/>
        </w:rPr>
        <w:t xml:space="preserve">275/2026/1108/VFI-BC.44.A</w:t>
      </w:r>
      <w:r>
        <w:rPr>
          <w:i/>
          <w:highlight w:val="white"/>
          <w:lang w:val="pt-BR"/>
        </w:rPr>
        <w:t xml:space="preserve"> </w:t>
      </w:r>
      <w:r>
        <w:rPr>
          <w:i/>
          <w:highlight w:val="white"/>
          <w:lang w:val="pt-BR"/>
        </w:rPr>
        <w:t xml:space="preserve">22 tháng 7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https://www.facebook.com/share/p/1GaGJ1YKg7/</w:t>
            </w:r>
            <w:r>
              <w:rPr>
                <w:color w:val="000000" w:themeColor="text1"/>
                <w:sz w:val="22"/>
                <w:szCs w:val="22"/>
                <w:highlight w:val="white"/>
              </w:rPr>
              <w:br/>
              <w:t xml:space="preserve">Khánh Ngân</w:t>
            </w:r>
            <w:r>
              <w:rPr>
                <w:sz w:val="22"/>
                <w:szCs w:val="22"/>
                <w:highlight w:val="white"/>
              </w:rPr>
              <w:t xml:space="preserve"> </w:t>
            </w:r>
            <w:r>
              <w:rPr>
                <w:sz w:val="22"/>
                <w:szCs w:val="22"/>
                <w:highlight w:val="white"/>
              </w:rPr>
              <w:br/>
              <w:t xml:space="preserve">(038.636.9866</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4.300.000.000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3.870.000.000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(67,6m²)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Tiếp giáp đường QL21B, xã Hòa Xá, huyện Ứng Hòa</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67,6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5,34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Khá</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63088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6308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4.6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27202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2720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5.1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highlight w:val="white"/>
              </w:rPr>
            </w:r>
          </w:p>
        </w:tc>
      </w:tr>
    </w:tbl>
    <w:p>
      <w:pPr>
        <w:pBdr/>
        <w:spacing w:after="120"/>
        <w:ind/>
        <w:jc w:val="center"/>
        <w:rPr>
          <w:i/>
          <w:highlight w:val="white"/>
        </w:rPr>
      </w:pPr>
      <w:r>
        <w:rPr>
          <w:i/>
          <w:highlight w:val="white"/>
          <w:lang w:val="pt-BR"/>
        </w:rPr>
      </w:r>
      <w:r>
        <w:rPr>
          <w:i/>
          <w:highlight w:val="white"/>
          <w:lang w:val="pt-BR"/>
        </w:rPr>
      </w:r>
      <w:r>
        <w:rPr>
          <w:i/>
          <w:highlight w:val="white"/>
          <w:lang w:val="pt-BR"/>
        </w:rPr>
      </w:r>
    </w:p>
    <w:p>
      <w:pPr>
        <w:pBdr/>
        <w:spacing w:after="200" w:line="276" w:lineRule="auto"/>
        <w:ind/>
        <w:jc w:val="center"/>
        <w:rPr>
          <w:b/>
          <w:bCs/>
          <w:iCs/>
          <w:highlight w:val="white"/>
        </w:rPr>
      </w:pPr>
      <w:r>
        <w:rPr>
          <w:b/>
          <w:bCs/>
          <w:iCs/>
          <w:highlight w:val="white"/>
          <w:lang w:val="pt-BR"/>
        </w:rPr>
      </w:r>
      <w:r>
        <w:rPr>
          <w:b/>
          <w:bCs/>
          <w:iCs/>
          <w:highlight w:val="white"/>
          <w:lang w:val="pt-BR"/>
        </w:rPr>
        <w:t xml:space="preserve">TSSS2</w:t>
      </w:r>
      <w:r>
        <w:rPr>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https://www.facebook.com/share/p/193zbFwc2w/</w:t>
            </w:r>
            <w:r>
              <w:rPr>
                <w:color w:val="000000" w:themeColor="text1"/>
                <w:sz w:val="22"/>
                <w:szCs w:val="22"/>
                <w:highlight w:val="white"/>
              </w:rPr>
              <w:br/>
              <w:t xml:space="preserve">0962.794789</w:t>
            </w:r>
            <w:r>
              <w:rPr>
                <w:sz w:val="22"/>
                <w:szCs w:val="22"/>
                <w:highlight w:val="white"/>
              </w:rPr>
              <w:t xml:space="preserve"> </w:t>
            </w:r>
            <w:r>
              <w:rPr>
                <w:sz w:val="22"/>
                <w:szCs w:val="22"/>
                <w:highlight w:val="white"/>
              </w:rPr>
              <w:br/>
              <w:t xml:space="preserve">(A Việt</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3.500.000.000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3.150.000.000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(78m²)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Tiếp giáp đường QL21B, xã Hòa Xá, huyện Ứng Hòa</w:t>
            </w:r>
            <w:r>
              <w:rPr>
                <w:sz w:val="22"/>
                <w:szCs w:val="22"/>
                <w:highlight w:val="white"/>
              </w:rPr>
            </w:r>
            <w:r>
              <w:rPr>
                <w:sz w:val="22"/>
                <w:szCs w:val="22"/>
                <w:highlight w:val="white"/>
              </w:rPr>
            </w: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78,0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Khá</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51395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5139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5.4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879860" cy="2461938"/>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879859" cy="246193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8.02pt;height:193.85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238526" cy="2461938"/>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rcRect l="0" t="10291" r="0" b="20208"/>
                              <a:stretch/>
                            </pic:blipFill>
                            <pic:spPr bwMode="auto">
                              <a:xfrm flipH="0" flipV="0">
                                <a:off x="0" y="0"/>
                                <a:ext cx="2238526" cy="246193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6.26pt;height:193.85pt;mso-wrap-distance-left:0.00pt;mso-wrap-distance-top:0.00pt;mso-wrap-distance-right:0.00pt;mso-wrap-distance-bottom:0.00pt;z-index:1;" stroked="false">
                      <v:imagedata r:id="rId31" o:title="" croptop="6744f" cropleft="0f" cropbottom="13244f" cropright="0f"/>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pacing w:after="200" w:line="276" w:lineRule="auto"/>
        <w:ind/>
        <w:jc w:val="center"/>
        <w:rPr>
          <w:highlight w:val="white"/>
        </w:rPr>
      </w:pPr>
      <w:r>
        <w:rPr>
          <w:iCs/>
          <w:highlight w:val="white"/>
        </w:rPr>
      </w:r>
      <w:r>
        <w:rPr>
          <w:iCs/>
          <w:highlight w:val="white"/>
        </w:rPr>
      </w:r>
      <w:r>
        <w:rPr>
          <w:iCs/>
          <w:highlight w:val="white"/>
        </w:rPr>
      </w:r>
    </w:p>
    <w:p>
      <w:pPr>
        <w:pBdr/>
        <w:spacing w:after="200" w:line="276" w:lineRule="auto"/>
        <w:ind/>
        <w:jc w:val="center"/>
        <w:rPr>
          <w:highlight w:val="white"/>
        </w:rPr>
      </w:pPr>
      <w:r>
        <w:rPr>
          <w:iCs/>
          <w:highlight w:val="white"/>
        </w:rPr>
      </w:r>
      <w:r>
        <w:rPr>
          <w:iCs/>
          <w:highlight w:val="white"/>
        </w:rPr>
      </w:r>
      <w:r>
        <w:rPr>
          <w:iCs/>
          <w:highlight w:val="white"/>
        </w:rPr>
      </w:r>
    </w:p>
    <w:p>
      <w:pPr>
        <w:pBdr/>
        <w:spacing w:after="200" w:line="276" w:lineRule="auto"/>
        <w:ind/>
        <w:jc w:val="center"/>
        <w:rPr>
          <w:highlight w:val="white"/>
        </w:rPr>
      </w:pPr>
      <w:r>
        <w:rPr>
          <w:iCs/>
          <w:highlight w:val="white"/>
        </w:rPr>
      </w:r>
      <w:r>
        <w:rPr>
          <w:iCs/>
          <w:highlight w:val="white"/>
        </w:rPr>
      </w:r>
      <w:r>
        <w:rPr>
          <w:iCs/>
          <w:highlight w:val="white"/>
        </w:rPr>
      </w:r>
    </w:p>
    <w:p>
      <w:pPr>
        <w:pBdr/>
        <w:spacing w:after="200" w:line="276" w:lineRule="auto"/>
        <w:ind/>
        <w:jc w:val="center"/>
        <w:rPr>
          <w:highlight w:val="white"/>
        </w:rPr>
      </w:pPr>
      <w:r>
        <w:rPr>
          <w:iCs/>
          <w:highlight w:val="white"/>
        </w:rPr>
      </w:r>
      <w:r>
        <w:rPr>
          <w:iCs/>
          <w:highlight w:val="white"/>
        </w:rPr>
      </w:r>
      <w:r>
        <w:rPr>
          <w:iCs/>
          <w:highlight w:val="white"/>
        </w:rPr>
      </w:r>
    </w:p>
    <w:p>
      <w:pPr>
        <w:pBdr/>
        <w:spacing w:after="200" w:line="276" w:lineRule="auto"/>
        <w:ind/>
        <w:jc w:val="center"/>
        <w:rPr>
          <w:highlight w:val="white"/>
        </w:rPr>
      </w:pPr>
      <w:r>
        <w:rPr>
          <w:iCs/>
          <w:highlight w:val="white"/>
        </w:rPr>
      </w:r>
      <w:r>
        <w:rPr>
          <w:iCs/>
          <w:highlight w:val="white"/>
        </w:rPr>
      </w:r>
      <w:r>
        <w:rPr>
          <w:iCs/>
          <w:highlight w:val="white"/>
        </w:rPr>
      </w:r>
    </w:p>
    <w:p>
      <w:pPr>
        <w:pBdr/>
        <w:spacing w:after="200" w:line="276" w:lineRule="auto"/>
        <w:ind/>
        <w:jc w:val="center"/>
        <w:rPr>
          <w:highlight w:val="white"/>
        </w:rPr>
      </w:pPr>
      <w:r>
        <w:rPr>
          <w:iCs/>
          <w:highlight w:val="white"/>
        </w:rPr>
      </w:r>
      <w:r>
        <w:rPr>
          <w:iCs/>
          <w:highlight w:val="white"/>
        </w:rPr>
      </w:r>
      <w:r>
        <w:rPr>
          <w:iCs/>
          <w:highlight w:val="white"/>
        </w:rPr>
      </w:r>
    </w:p>
    <w:p>
      <w:pPr>
        <w:pBdr/>
        <w:spacing w:after="200" w:line="276" w:lineRule="auto"/>
        <w:ind/>
        <w:jc w:val="center"/>
        <w:rPr>
          <w:highlight w:val="white"/>
        </w:rPr>
      </w:pPr>
      <w:r>
        <w:rPr>
          <w:iCs/>
          <w:highlight w:val="white"/>
        </w:rPr>
      </w:r>
      <w:r>
        <w:rPr>
          <w:iCs/>
          <w:highlight w:val="white"/>
        </w:rPr>
      </w:r>
      <w:r>
        <w:rPr>
          <w:iCs/>
          <w:highlight w:val="white"/>
        </w:rPr>
      </w:r>
    </w:p>
    <w:p>
      <w:pPr>
        <w:pBdr/>
        <w:spacing w:after="200" w:line="276" w:lineRule="auto"/>
        <w:ind/>
        <w:jc w:val="center"/>
        <w:rPr>
          <w:highlight w:val="white"/>
        </w:rPr>
      </w:pPr>
      <w:r>
        <w:rPr>
          <w:iCs/>
          <w:highlight w:val="white"/>
        </w:rPr>
      </w:r>
      <w:r>
        <w:rPr>
          <w:iCs/>
          <w:highlight w:val="white"/>
        </w:rPr>
      </w:r>
      <w:r>
        <w:rPr>
          <w:iCs/>
          <w:highlight w:val="white"/>
        </w:rPr>
      </w:r>
    </w:p>
    <w:p>
      <w:pPr>
        <w:pBdr/>
        <w:spacing w:after="200" w:line="276" w:lineRule="auto"/>
        <w:ind/>
        <w:jc w:val="center"/>
        <w:rPr>
          <w:iCs/>
          <w:highlight w:val="white"/>
        </w:rPr>
      </w:pPr>
      <w:r>
        <w:rPr>
          <w:iCs/>
          <w:highlight w:val="white"/>
          <w:lang w:val="pt-BR"/>
        </w:rPr>
      </w:r>
      <w:r>
        <w:rPr>
          <w:iCs/>
          <w:highlight w:val="white"/>
          <w:lang w:val="pt-BR"/>
        </w:rPr>
      </w:r>
    </w:p>
    <w:p>
      <w:pPr>
        <w:pBdr/>
        <w:spacing w:after="200" w:line="276" w:lineRule="auto"/>
        <w:ind/>
        <w:jc w:val="center"/>
        <w:rPr>
          <w:iCs/>
          <w:highlight w:val="white"/>
        </w:rPr>
      </w:pPr>
      <w:r>
        <w:rPr>
          <w:iCs/>
          <w:highlight w:val="white"/>
          <w:lang w:val="pt-BR"/>
        </w:rPr>
      </w:r>
      <w:r>
        <w:rPr>
          <w:b/>
          <w:bCs/>
          <w:iCs/>
          <w:highlight w:val="white"/>
          <w:lang w:val="pt-BR"/>
        </w:rPr>
        <w:t xml:space="preserve">TSSS 3</w:t>
      </w:r>
      <w:r>
        <w:rPr>
          <w:b/>
          <w:bCs/>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https://www.facebook.com/share/p/17uwvBNvB1/</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0385.056555</w:t>
            </w:r>
            <w:r>
              <w:rPr>
                <w:sz w:val="22"/>
                <w:szCs w:val="22"/>
                <w:highlight w:val="white"/>
              </w:rPr>
              <w:t xml:space="preserve"> </w:t>
            </w:r>
            <w:r>
              <w:rPr>
                <w:sz w:val="22"/>
                <w:szCs w:val="22"/>
                <w:highlight w:val="white"/>
              </w:rPr>
              <w:br/>
              <w:t xml:space="preserve">(A Chiến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07/2026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(102,8m²)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rPr>
                <w:highlight w:val="white"/>
              </w:rPr>
            </w:pPr>
            <w:r>
              <w:rPr>
                <w:highlight w:val="white"/>
              </w:rPr>
            </w:r>
            <w:r>
              <w:rPr>
                <w:color w:val="000000" w:themeColor="text1"/>
                <w:sz w:val="22"/>
                <w:szCs w:val="22"/>
                <w:highlight w:val="white"/>
              </w:rPr>
              <w:t xml:space="preserve">Tài sản tại: Tiếp giáp đường QL21B, xã Hòa Xá, huyện Ứng Hòa</w:t>
            </w:r>
            <w:r>
              <w:rPr>
                <w:sz w:val="22"/>
                <w:szCs w:val="22"/>
                <w:highlight w:val="white"/>
              </w:rPr>
            </w:r>
            <w:r>
              <w:rPr>
                <w:sz w:val="22"/>
                <w:szCs w:val="22"/>
                <w:highlight w:val="white"/>
              </w:rPr>
            </w:r>
            <w:r>
              <w:rPr>
                <w:sz w:val="22"/>
                <w:szCs w:val="22"/>
                <w:highlight w:val="white"/>
              </w:rPr>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102,8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3,95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16583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1658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49.2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276599"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765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6.74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882500" cy="262803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rcRect l="0" t="0" r="0" b="24208"/>
                              <a:stretch/>
                            </pic:blipFill>
                            <pic:spPr bwMode="auto">
                              <a:xfrm rot="16199969" flipH="0" flipV="0">
                                <a:off x="0" y="0"/>
                                <a:ext cx="1882500" cy="26280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48.23pt;height:206.93pt;mso-wrap-distance-left:0.00pt;mso-wrap-distance-top:0.00pt;mso-wrap-distance-right:0.00pt;mso-wrap-distance-bottom:0.00pt;rotation:269;z-index:1;" stroked="false">
                      <v:imagedata r:id="rId34" o:title="" croptop="0f" cropleft="0f" cropbottom="15865f" cropright="0f"/>
                      <o:lock v:ext="edit" rotation="t"/>
                    </v:shape>
                  </w:pict>
                </mc:Fallback>
              </mc:AlternateContent>
            </w:r>
            <w:r>
              <w:rPr>
                <w:color w:val="000000"/>
                <w:sz w:val="22"/>
                <w:szCs w:val="22"/>
                <w:highlight w:val="white"/>
              </w:rPr>
              <w:t xml:space="preserve"> </w:t>
            </w: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815459" cy="18825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721003157" name="" descr=""/>
                              <pic:cNvPicPr/>
                              <pic:nvPr/>
                            </pic:nvPicPr>
                            <pic:blipFill rotWithShape="1">
                              <a:blip r:embed="rId35"/>
                              <a:stretch/>
                            </pic:blipFill>
                            <pic:spPr bwMode="auto">
                              <a:xfrm flipH="0" flipV="0">
                                <a:off x="0" y="0"/>
                                <a:ext cx="2815459" cy="18825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1.69pt;height:148.23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p>
          <w:p>
            <w:pPr>
              <w:pBdr/>
              <w:spacing/>
              <w:ind/>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Lê Đình Duy</w:t>
            </w:r>
            <w:r>
              <w:rPr>
                <w:highlight w:val="white"/>
              </w:rPr>
            </w:r>
            <w:r>
              <w:rPr>
                <w:highlight w:val="white"/>
              </w:rPr>
            </w:r>
          </w:p>
        </w:tc>
      </w:tr>
    </w:tbl>
    <w:p>
      <w:pPr>
        <w:pBdr/>
        <w:spacing w:after="200" w:line="276" w:lineRule="auto"/>
        <w:ind/>
        <w:rPr>
          <w:iCs/>
          <w:highlight w:val="white"/>
        </w:rPr>
      </w:pPr>
      <w:r>
        <w:rPr>
          <w:iCs/>
          <w:highlight w:val="white"/>
          <w:lang w:val="pt-BR"/>
        </w:rPr>
      </w:r>
      <w:r>
        <w:rPr>
          <w:iCs/>
          <w:highlight w:val="white"/>
          <w:lang w:val="pt-BR"/>
        </w:rPr>
      </w:r>
      <w:r>
        <w:rPr>
          <w:iCs/>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69605B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FA5125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135CE5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1C7F7448"/>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2">
    <w:name w:val="Table Grid Light"/>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1"/>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2"/>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3"/>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4"/>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5"/>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w:basedOn w:val="10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w:basedOn w:val="10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1"/>
    <w:basedOn w:val="10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2"/>
    <w:basedOn w:val="10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3"/>
    <w:basedOn w:val="10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4"/>
    <w:basedOn w:val="10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5"/>
    <w:basedOn w:val="10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6"/>
    <w:basedOn w:val="10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1"/>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2"/>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3"/>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4"/>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5"/>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6"/>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4">
    <w:name w:val="Grid Table 6 Colorful - Accent 1"/>
    <w:basedOn w:val="10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5">
    <w:name w:val="Grid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6">
    <w:name w:val="Grid Table 6 Colorful - Accent 3"/>
    <w:basedOn w:val="10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7">
    <w:name w:val="Grid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8">
    <w:name w:val="Grid Table 6 Colorful - Accent 5"/>
    <w:basedOn w:val="10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6 Colorful - Accent 6"/>
    <w:basedOn w:val="10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7 Colorful"/>
    <w:basedOn w:val="10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1"/>
    <w:basedOn w:val="10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5"/>
    <w:basedOn w:val="10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6"/>
    <w:basedOn w:val="10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1"/>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2"/>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3"/>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4"/>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5"/>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6"/>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w:basedOn w:val="10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1"/>
    <w:basedOn w:val="10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2"/>
    <w:basedOn w:val="10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3"/>
    <w:basedOn w:val="10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4"/>
    <w:basedOn w:val="10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5"/>
    <w:basedOn w:val="10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6"/>
    <w:basedOn w:val="10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1"/>
    <w:basedOn w:val="10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3"/>
    <w:basedOn w:val="10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5"/>
    <w:basedOn w:val="10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6"/>
    <w:basedOn w:val="10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1"/>
    <w:basedOn w:val="10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2"/>
    <w:basedOn w:val="10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3"/>
    <w:basedOn w:val="10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4"/>
    <w:basedOn w:val="10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5"/>
    <w:basedOn w:val="10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6"/>
    <w:basedOn w:val="10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5 Dark"/>
    <w:basedOn w:val="10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1"/>
    <w:basedOn w:val="10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2"/>
    <w:basedOn w:val="10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3"/>
    <w:basedOn w:val="10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4"/>
    <w:basedOn w:val="10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5"/>
    <w:basedOn w:val="10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6"/>
    <w:basedOn w:val="10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1"/>
    <w:basedOn w:val="10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3"/>
    <w:basedOn w:val="10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5"/>
    <w:basedOn w:val="10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6"/>
    <w:basedOn w:val="10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7 Colorful"/>
    <w:basedOn w:val="10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0">
    <w:name w:val="List Table 7 Colorful - Accent 1"/>
    <w:basedOn w:val="10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1">
    <w:name w:val="List Table 7 Colorful - Accent 2"/>
    <w:basedOn w:val="10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2">
    <w:name w:val="List Table 7 Colorful - Accent 3"/>
    <w:basedOn w:val="10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3">
    <w:name w:val="List Table 7 Colorful - Accent 4"/>
    <w:basedOn w:val="10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4">
    <w:name w:val="List Table 7 Colorful - Accent 5"/>
    <w:basedOn w:val="10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5">
    <w:name w:val="List Table 7 Colorful - Accent 6"/>
    <w:basedOn w:val="10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6">
    <w:name w:val="Lined - Accent"/>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1"/>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2"/>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3"/>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4"/>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5"/>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6"/>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w:basedOn w:val="10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1"/>
    <w:basedOn w:val="10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2"/>
    <w:basedOn w:val="10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3"/>
    <w:basedOn w:val="10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4"/>
    <w:basedOn w:val="10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5"/>
    <w:basedOn w:val="10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6"/>
    <w:basedOn w:val="10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w:basedOn w:val="10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7">
    <w:name w:val="Heading 5"/>
    <w:basedOn w:val="1008"/>
    <w:next w:val="1008"/>
    <w:link w:val="97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8">
    <w:name w:val="Heading 6"/>
    <w:basedOn w:val="1008"/>
    <w:next w:val="1008"/>
    <w:link w:val="97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9">
    <w:name w:val="Heading 7"/>
    <w:basedOn w:val="1008"/>
    <w:next w:val="1008"/>
    <w:link w:val="97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0">
    <w:name w:val="Heading 8"/>
    <w:basedOn w:val="1008"/>
    <w:next w:val="1008"/>
    <w:link w:val="97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1">
    <w:name w:val="Heading 9"/>
    <w:basedOn w:val="1008"/>
    <w:next w:val="1008"/>
    <w:link w:val="97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2">
    <w:name w:val="Heading 5 Char"/>
    <w:basedOn w:val="1013"/>
    <w:link w:val="967"/>
    <w:uiPriority w:val="9"/>
    <w:pPr>
      <w:pBdr/>
      <w:spacing/>
      <w:ind/>
    </w:pPr>
    <w:rPr>
      <w:rFonts w:ascii="Arial" w:hAnsi="Arial" w:eastAsia="Arial" w:cs="Arial"/>
      <w:color w:val="0f4761" w:themeColor="accent1" w:themeShade="BF"/>
    </w:rPr>
  </w:style>
  <w:style w:type="character" w:styleId="973">
    <w:name w:val="Heading 6 Char"/>
    <w:basedOn w:val="1013"/>
    <w:link w:val="968"/>
    <w:uiPriority w:val="9"/>
    <w:pPr>
      <w:pBdr/>
      <w:spacing/>
      <w:ind/>
    </w:pPr>
    <w:rPr>
      <w:rFonts w:ascii="Arial" w:hAnsi="Arial" w:eastAsia="Arial" w:cs="Arial"/>
      <w:i/>
      <w:iCs/>
      <w:color w:val="595959" w:themeColor="text1" w:themeTint="A6"/>
    </w:rPr>
  </w:style>
  <w:style w:type="character" w:styleId="974">
    <w:name w:val="Heading 7 Char"/>
    <w:basedOn w:val="1013"/>
    <w:link w:val="969"/>
    <w:uiPriority w:val="9"/>
    <w:pPr>
      <w:pBdr/>
      <w:spacing/>
      <w:ind/>
    </w:pPr>
    <w:rPr>
      <w:rFonts w:ascii="Arial" w:hAnsi="Arial" w:eastAsia="Arial" w:cs="Arial"/>
      <w:color w:val="595959" w:themeColor="text1" w:themeTint="A6"/>
    </w:rPr>
  </w:style>
  <w:style w:type="character" w:styleId="975">
    <w:name w:val="Heading 8 Char"/>
    <w:basedOn w:val="1013"/>
    <w:link w:val="970"/>
    <w:uiPriority w:val="9"/>
    <w:pPr>
      <w:pBdr/>
      <w:spacing/>
      <w:ind/>
    </w:pPr>
    <w:rPr>
      <w:rFonts w:ascii="Arial" w:hAnsi="Arial" w:eastAsia="Arial" w:cs="Arial"/>
      <w:i/>
      <w:iCs/>
      <w:color w:val="272727" w:themeColor="text1" w:themeTint="D8"/>
    </w:rPr>
  </w:style>
  <w:style w:type="character" w:styleId="976">
    <w:name w:val="Heading 9 Char"/>
    <w:basedOn w:val="1013"/>
    <w:link w:val="971"/>
    <w:uiPriority w:val="9"/>
    <w:pPr>
      <w:pBdr/>
      <w:spacing/>
      <w:ind/>
    </w:pPr>
    <w:rPr>
      <w:rFonts w:ascii="Arial" w:hAnsi="Arial" w:eastAsia="Arial" w:cs="Arial"/>
      <w:i/>
      <w:iCs/>
      <w:color w:val="272727" w:themeColor="text1" w:themeTint="D8"/>
    </w:rPr>
  </w:style>
  <w:style w:type="paragraph" w:styleId="977">
    <w:name w:val="Subtitle"/>
    <w:basedOn w:val="1008"/>
    <w:next w:val="1008"/>
    <w:link w:val="978"/>
    <w:uiPriority w:val="11"/>
    <w:qFormat/>
    <w:pPr>
      <w:numPr>
        <w:ilvl w:val="1"/>
      </w:numPr>
      <w:pBdr/>
      <w:spacing/>
      <w:ind/>
    </w:pPr>
    <w:rPr>
      <w:color w:val="595959" w:themeColor="text1" w:themeTint="A6"/>
      <w:spacing w:val="15"/>
      <w:sz w:val="28"/>
      <w:szCs w:val="28"/>
    </w:rPr>
  </w:style>
  <w:style w:type="character" w:styleId="978">
    <w:name w:val="Subtitle Char"/>
    <w:basedOn w:val="1013"/>
    <w:link w:val="977"/>
    <w:uiPriority w:val="11"/>
    <w:pPr>
      <w:pBdr/>
      <w:spacing/>
      <w:ind/>
    </w:pPr>
    <w:rPr>
      <w:color w:val="595959" w:themeColor="text1" w:themeTint="A6"/>
      <w:spacing w:val="15"/>
      <w:sz w:val="28"/>
      <w:szCs w:val="28"/>
    </w:rPr>
  </w:style>
  <w:style w:type="paragraph" w:styleId="979">
    <w:name w:val="Quote"/>
    <w:basedOn w:val="1008"/>
    <w:next w:val="1008"/>
    <w:link w:val="980"/>
    <w:uiPriority w:val="29"/>
    <w:qFormat/>
    <w:pPr>
      <w:pBdr/>
      <w:spacing w:before="160"/>
      <w:ind/>
      <w:jc w:val="center"/>
    </w:pPr>
    <w:rPr>
      <w:i/>
      <w:iCs/>
      <w:color w:val="404040" w:themeColor="text1" w:themeTint="BF"/>
    </w:rPr>
  </w:style>
  <w:style w:type="character" w:styleId="980">
    <w:name w:val="Quote Char"/>
    <w:basedOn w:val="1013"/>
    <w:link w:val="979"/>
    <w:uiPriority w:val="29"/>
    <w:pPr>
      <w:pBdr/>
      <w:spacing/>
      <w:ind/>
    </w:pPr>
    <w:rPr>
      <w:i/>
      <w:iCs/>
      <w:color w:val="404040" w:themeColor="text1" w:themeTint="BF"/>
    </w:rPr>
  </w:style>
  <w:style w:type="character" w:styleId="981">
    <w:name w:val="Intense Emphasis"/>
    <w:basedOn w:val="1013"/>
    <w:uiPriority w:val="21"/>
    <w:qFormat/>
    <w:pPr>
      <w:pBdr/>
      <w:spacing/>
      <w:ind/>
    </w:pPr>
    <w:rPr>
      <w:i/>
      <w:iCs/>
      <w:color w:val="0f4761" w:themeColor="accent1" w:themeShade="BF"/>
    </w:rPr>
  </w:style>
  <w:style w:type="paragraph" w:styleId="982">
    <w:name w:val="Intense Quote"/>
    <w:basedOn w:val="1008"/>
    <w:next w:val="1008"/>
    <w:link w:val="98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3">
    <w:name w:val="Intense Quote Char"/>
    <w:basedOn w:val="1013"/>
    <w:link w:val="982"/>
    <w:uiPriority w:val="30"/>
    <w:pPr>
      <w:pBdr/>
      <w:spacing/>
      <w:ind/>
    </w:pPr>
    <w:rPr>
      <w:i/>
      <w:iCs/>
      <w:color w:val="0f4761" w:themeColor="accent1" w:themeShade="BF"/>
    </w:rPr>
  </w:style>
  <w:style w:type="character" w:styleId="984">
    <w:name w:val="Intense Reference"/>
    <w:basedOn w:val="1013"/>
    <w:uiPriority w:val="32"/>
    <w:qFormat/>
    <w:pPr>
      <w:pBdr/>
      <w:spacing/>
      <w:ind/>
    </w:pPr>
    <w:rPr>
      <w:b/>
      <w:bCs/>
      <w:smallCaps/>
      <w:color w:val="0f4761" w:themeColor="accent1" w:themeShade="BF"/>
      <w:spacing w:val="5"/>
    </w:rPr>
  </w:style>
  <w:style w:type="paragraph" w:styleId="985">
    <w:name w:val="No Spacing"/>
    <w:basedOn w:val="1008"/>
    <w:uiPriority w:val="1"/>
    <w:qFormat/>
    <w:pPr>
      <w:pBdr/>
      <w:spacing w:after="0" w:line="240" w:lineRule="auto"/>
      <w:ind/>
    </w:pPr>
  </w:style>
  <w:style w:type="character" w:styleId="986">
    <w:name w:val="Subtle Emphasis"/>
    <w:basedOn w:val="1013"/>
    <w:uiPriority w:val="19"/>
    <w:qFormat/>
    <w:pPr>
      <w:pBdr/>
      <w:spacing/>
      <w:ind/>
    </w:pPr>
    <w:rPr>
      <w:i/>
      <w:iCs/>
      <w:color w:val="404040" w:themeColor="text1" w:themeTint="BF"/>
    </w:rPr>
  </w:style>
  <w:style w:type="character" w:styleId="987">
    <w:name w:val="Subtle Reference"/>
    <w:basedOn w:val="1013"/>
    <w:uiPriority w:val="31"/>
    <w:qFormat/>
    <w:pPr>
      <w:pBdr/>
      <w:spacing/>
      <w:ind/>
    </w:pPr>
    <w:rPr>
      <w:smallCaps/>
      <w:color w:val="5a5a5a" w:themeColor="text1" w:themeTint="A5"/>
    </w:rPr>
  </w:style>
  <w:style w:type="character" w:styleId="988">
    <w:name w:val="Book Title"/>
    <w:basedOn w:val="1013"/>
    <w:uiPriority w:val="33"/>
    <w:qFormat/>
    <w:pPr>
      <w:pBdr/>
      <w:spacing/>
      <w:ind/>
    </w:pPr>
    <w:rPr>
      <w:b/>
      <w:bCs/>
      <w:i/>
      <w:iCs/>
      <w:spacing w:val="5"/>
    </w:rPr>
  </w:style>
  <w:style w:type="paragraph" w:styleId="989">
    <w:name w:val="Caption"/>
    <w:basedOn w:val="1008"/>
    <w:next w:val="1008"/>
    <w:uiPriority w:val="35"/>
    <w:unhideWhenUsed/>
    <w:qFormat/>
    <w:pPr>
      <w:pBdr/>
      <w:spacing w:after="200" w:line="240" w:lineRule="auto"/>
      <w:ind/>
    </w:pPr>
    <w:rPr>
      <w:i/>
      <w:iCs/>
      <w:color w:val="0e2841" w:themeColor="text2"/>
      <w:sz w:val="18"/>
      <w:szCs w:val="18"/>
    </w:rPr>
  </w:style>
  <w:style w:type="paragraph" w:styleId="990">
    <w:name w:val="footnote text"/>
    <w:basedOn w:val="1008"/>
    <w:link w:val="991"/>
    <w:uiPriority w:val="99"/>
    <w:semiHidden/>
    <w:unhideWhenUsed/>
    <w:pPr>
      <w:pBdr/>
      <w:spacing w:after="0" w:line="240" w:lineRule="auto"/>
      <w:ind/>
    </w:pPr>
    <w:rPr>
      <w:sz w:val="20"/>
      <w:szCs w:val="20"/>
    </w:rPr>
  </w:style>
  <w:style w:type="character" w:styleId="991">
    <w:name w:val="Footnote Text Char"/>
    <w:basedOn w:val="1013"/>
    <w:link w:val="990"/>
    <w:uiPriority w:val="99"/>
    <w:semiHidden/>
    <w:pPr>
      <w:pBdr/>
      <w:spacing/>
      <w:ind/>
    </w:pPr>
    <w:rPr>
      <w:sz w:val="20"/>
      <w:szCs w:val="20"/>
    </w:rPr>
  </w:style>
  <w:style w:type="character" w:styleId="992">
    <w:name w:val="footnote reference"/>
    <w:basedOn w:val="1013"/>
    <w:uiPriority w:val="99"/>
    <w:semiHidden/>
    <w:unhideWhenUsed/>
    <w:pPr>
      <w:pBdr/>
      <w:spacing/>
      <w:ind/>
    </w:pPr>
    <w:rPr>
      <w:vertAlign w:val="superscript"/>
    </w:rPr>
  </w:style>
  <w:style w:type="paragraph" w:styleId="993">
    <w:name w:val="endnote text"/>
    <w:basedOn w:val="1008"/>
    <w:link w:val="994"/>
    <w:uiPriority w:val="99"/>
    <w:semiHidden/>
    <w:unhideWhenUsed/>
    <w:pPr>
      <w:pBdr/>
      <w:spacing w:after="0" w:line="240" w:lineRule="auto"/>
      <w:ind/>
    </w:pPr>
    <w:rPr>
      <w:sz w:val="20"/>
      <w:szCs w:val="20"/>
    </w:rPr>
  </w:style>
  <w:style w:type="character" w:styleId="994">
    <w:name w:val="Endnote Text Char"/>
    <w:basedOn w:val="1013"/>
    <w:link w:val="993"/>
    <w:uiPriority w:val="99"/>
    <w:semiHidden/>
    <w:pPr>
      <w:pBdr/>
      <w:spacing/>
      <w:ind/>
    </w:pPr>
    <w:rPr>
      <w:sz w:val="20"/>
      <w:szCs w:val="20"/>
    </w:rPr>
  </w:style>
  <w:style w:type="character" w:styleId="995">
    <w:name w:val="endnote reference"/>
    <w:basedOn w:val="1013"/>
    <w:uiPriority w:val="99"/>
    <w:semiHidden/>
    <w:unhideWhenUsed/>
    <w:pPr>
      <w:pBdr/>
      <w:spacing/>
      <w:ind/>
    </w:pPr>
    <w:rPr>
      <w:vertAlign w:val="superscript"/>
    </w:rPr>
  </w:style>
  <w:style w:type="paragraph" w:styleId="996">
    <w:name w:val="toc 1"/>
    <w:basedOn w:val="1008"/>
    <w:next w:val="1008"/>
    <w:uiPriority w:val="39"/>
    <w:unhideWhenUsed/>
    <w:pPr>
      <w:pBdr/>
      <w:spacing w:after="100"/>
      <w:ind/>
    </w:pPr>
  </w:style>
  <w:style w:type="paragraph" w:styleId="997">
    <w:name w:val="toc 2"/>
    <w:basedOn w:val="1008"/>
    <w:next w:val="1008"/>
    <w:uiPriority w:val="39"/>
    <w:unhideWhenUsed/>
    <w:pPr>
      <w:pBdr/>
      <w:spacing w:after="100"/>
      <w:ind w:left="220"/>
    </w:pPr>
  </w:style>
  <w:style w:type="paragraph" w:styleId="998">
    <w:name w:val="toc 3"/>
    <w:basedOn w:val="1008"/>
    <w:next w:val="1008"/>
    <w:uiPriority w:val="39"/>
    <w:unhideWhenUsed/>
    <w:pPr>
      <w:pBdr/>
      <w:spacing w:after="100"/>
      <w:ind w:left="440"/>
    </w:pPr>
  </w:style>
  <w:style w:type="paragraph" w:styleId="999">
    <w:name w:val="toc 4"/>
    <w:basedOn w:val="1008"/>
    <w:next w:val="1008"/>
    <w:uiPriority w:val="39"/>
    <w:unhideWhenUsed/>
    <w:pPr>
      <w:pBdr/>
      <w:spacing w:after="100"/>
      <w:ind w:left="660"/>
    </w:pPr>
  </w:style>
  <w:style w:type="paragraph" w:styleId="1000">
    <w:name w:val="toc 5"/>
    <w:basedOn w:val="1008"/>
    <w:next w:val="1008"/>
    <w:uiPriority w:val="39"/>
    <w:unhideWhenUsed/>
    <w:pPr>
      <w:pBdr/>
      <w:spacing w:after="100"/>
      <w:ind w:left="880"/>
    </w:pPr>
  </w:style>
  <w:style w:type="paragraph" w:styleId="1001">
    <w:name w:val="toc 6"/>
    <w:basedOn w:val="1008"/>
    <w:next w:val="1008"/>
    <w:uiPriority w:val="39"/>
    <w:unhideWhenUsed/>
    <w:pPr>
      <w:pBdr/>
      <w:spacing w:after="100"/>
      <w:ind w:left="1100"/>
    </w:pPr>
  </w:style>
  <w:style w:type="paragraph" w:styleId="1002">
    <w:name w:val="toc 7"/>
    <w:basedOn w:val="1008"/>
    <w:next w:val="1008"/>
    <w:uiPriority w:val="39"/>
    <w:unhideWhenUsed/>
    <w:pPr>
      <w:pBdr/>
      <w:spacing w:after="100"/>
      <w:ind w:left="1320"/>
    </w:pPr>
  </w:style>
  <w:style w:type="paragraph" w:styleId="1003">
    <w:name w:val="toc 8"/>
    <w:basedOn w:val="1008"/>
    <w:next w:val="1008"/>
    <w:uiPriority w:val="39"/>
    <w:unhideWhenUsed/>
    <w:pPr>
      <w:pBdr/>
      <w:spacing w:after="100"/>
      <w:ind w:left="1540"/>
    </w:pPr>
  </w:style>
  <w:style w:type="paragraph" w:styleId="1004">
    <w:name w:val="toc 9"/>
    <w:basedOn w:val="1008"/>
    <w:next w:val="1008"/>
    <w:uiPriority w:val="39"/>
    <w:unhideWhenUsed/>
    <w:pPr>
      <w:pBdr/>
      <w:spacing w:after="100"/>
      <w:ind w:left="1760"/>
    </w:pPr>
  </w:style>
  <w:style w:type="character" w:styleId="1005">
    <w:name w:val="Placeholder Text"/>
    <w:basedOn w:val="1013"/>
    <w:uiPriority w:val="99"/>
    <w:semiHidden/>
    <w:pPr>
      <w:pBdr/>
      <w:spacing/>
      <w:ind/>
    </w:pPr>
    <w:rPr>
      <w:color w:val="666666"/>
    </w:rPr>
  </w:style>
  <w:style w:type="paragraph" w:styleId="1006">
    <w:name w:val="TOC Heading"/>
    <w:uiPriority w:val="39"/>
    <w:unhideWhenUsed/>
    <w:pPr>
      <w:pBdr/>
      <w:spacing/>
      <w:ind/>
    </w:pPr>
  </w:style>
  <w:style w:type="paragraph" w:styleId="1007">
    <w:name w:val="table of figures"/>
    <w:basedOn w:val="1008"/>
    <w:next w:val="1008"/>
    <w:uiPriority w:val="99"/>
    <w:unhideWhenUsed/>
    <w:pPr>
      <w:pBdr/>
      <w:spacing w:after="0" w:afterAutospacing="0"/>
      <w:ind/>
    </w:pPr>
  </w:style>
  <w:style w:type="paragraph" w:styleId="1008" w:default="1">
    <w:name w:val="Normal"/>
    <w:qFormat/>
    <w:pPr>
      <w:pBdr/>
      <w:spacing w:after="0" w:line="240" w:lineRule="auto"/>
      <w:ind/>
    </w:pPr>
    <w:rPr>
      <w:rFonts w:ascii="Times New Roman" w:hAnsi="Times New Roman" w:eastAsia="Times New Roman" w:cs="Times New Roman"/>
      <w:sz w:val="24"/>
      <w:szCs w:val="24"/>
    </w:rPr>
  </w:style>
  <w:style w:type="paragraph" w:styleId="1009">
    <w:name w:val="Heading 1"/>
    <w:basedOn w:val="1008"/>
    <w:next w:val="1008"/>
    <w:link w:val="1016"/>
    <w:qFormat/>
    <w:pPr>
      <w:keepNext w:val="true"/>
      <w:pBdr/>
      <w:spacing w:after="120" w:before="120"/>
      <w:ind/>
      <w:jc w:val="center"/>
      <w:outlineLvl w:val="0"/>
    </w:pPr>
    <w:rPr>
      <w:b/>
      <w:bCs/>
      <w:sz w:val="27"/>
      <w:szCs w:val="27"/>
    </w:rPr>
  </w:style>
  <w:style w:type="paragraph" w:styleId="1010">
    <w:name w:val="Heading 2"/>
    <w:basedOn w:val="1008"/>
    <w:next w:val="1008"/>
    <w:link w:val="101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1">
    <w:name w:val="Heading 3"/>
    <w:basedOn w:val="1008"/>
    <w:next w:val="1008"/>
    <w:link w:val="1018"/>
    <w:qFormat/>
    <w:pPr>
      <w:keepNext w:val="true"/>
      <w:pBdr/>
      <w:spacing w:before="60"/>
      <w:ind/>
      <w:outlineLvl w:val="2"/>
    </w:pPr>
    <w:rPr>
      <w:sz w:val="28"/>
      <w:szCs w:val="28"/>
    </w:rPr>
  </w:style>
  <w:style w:type="paragraph" w:styleId="1012">
    <w:name w:val="Heading 4"/>
    <w:basedOn w:val="1008"/>
    <w:next w:val="1008"/>
    <w:link w:val="1019"/>
    <w:qFormat/>
    <w:pPr>
      <w:keepNext w:val="true"/>
      <w:pBdr/>
      <w:spacing/>
      <w:ind/>
      <w:jc w:val="center"/>
      <w:outlineLvl w:val="3"/>
    </w:pPr>
    <w:rPr>
      <w:b/>
      <w:bCs/>
    </w:rPr>
  </w:style>
  <w:style w:type="character" w:styleId="1013" w:default="1">
    <w:name w:val="Default Paragraph Font"/>
    <w:uiPriority w:val="1"/>
    <w:semiHidden/>
    <w:unhideWhenUsed/>
    <w:pPr>
      <w:pBdr/>
      <w:spacing/>
      <w:ind/>
    </w:pPr>
  </w:style>
  <w:style w:type="table" w:styleId="10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5" w:default="1">
    <w:name w:val="No List"/>
    <w:uiPriority w:val="99"/>
    <w:semiHidden/>
    <w:unhideWhenUsed/>
    <w:pPr>
      <w:pBdr/>
      <w:spacing/>
      <w:ind/>
    </w:pPr>
  </w:style>
  <w:style w:type="character" w:styleId="1016" w:customStyle="1">
    <w:name w:val="Heading 1 Char"/>
    <w:basedOn w:val="1013"/>
    <w:link w:val="1009"/>
    <w:pPr>
      <w:pBdr/>
      <w:spacing/>
      <w:ind/>
    </w:pPr>
    <w:rPr>
      <w:rFonts w:ascii="Times New Roman" w:hAnsi="Times New Roman" w:eastAsia="Times New Roman" w:cs="Times New Roman"/>
      <w:b/>
      <w:bCs/>
      <w:sz w:val="27"/>
      <w:szCs w:val="27"/>
    </w:rPr>
  </w:style>
  <w:style w:type="character" w:styleId="1017" w:customStyle="1">
    <w:name w:val="Heading 2 Char"/>
    <w:basedOn w:val="1013"/>
    <w:link w:val="1010"/>
    <w:uiPriority w:val="9"/>
    <w:pPr>
      <w:pBdr/>
      <w:spacing/>
      <w:ind/>
    </w:pPr>
    <w:rPr>
      <w:rFonts w:asciiTheme="majorHAnsi" w:hAnsiTheme="majorHAnsi" w:eastAsiaTheme="majorEastAsia" w:cstheme="majorBidi"/>
      <w:color w:val="365f91" w:themeColor="accent1" w:themeShade="BF"/>
      <w:sz w:val="26"/>
      <w:szCs w:val="26"/>
    </w:rPr>
  </w:style>
  <w:style w:type="character" w:styleId="1018" w:customStyle="1">
    <w:name w:val="Heading 3 Char"/>
    <w:basedOn w:val="1013"/>
    <w:link w:val="1011"/>
    <w:pPr>
      <w:pBdr/>
      <w:spacing/>
      <w:ind/>
    </w:pPr>
    <w:rPr>
      <w:rFonts w:ascii="Times New Roman" w:hAnsi="Times New Roman" w:eastAsia="Times New Roman" w:cs="Times New Roman"/>
      <w:sz w:val="28"/>
      <w:szCs w:val="28"/>
    </w:rPr>
  </w:style>
  <w:style w:type="character" w:styleId="1019" w:customStyle="1">
    <w:name w:val="Heading 4 Char"/>
    <w:basedOn w:val="1013"/>
    <w:link w:val="1012"/>
    <w:pPr>
      <w:pBdr/>
      <w:spacing/>
      <w:ind/>
    </w:pPr>
    <w:rPr>
      <w:rFonts w:ascii="Times New Roman" w:hAnsi="Times New Roman" w:eastAsia="Times New Roman" w:cs="Times New Roman"/>
      <w:b/>
      <w:bCs/>
      <w:sz w:val="24"/>
      <w:szCs w:val="24"/>
    </w:rPr>
  </w:style>
  <w:style w:type="character" w:styleId="1020">
    <w:name w:val="Hyperlink"/>
    <w:uiPriority w:val="99"/>
    <w:pPr>
      <w:pBdr/>
      <w:spacing/>
      <w:ind/>
    </w:pPr>
    <w:rPr>
      <w:color w:val="000000"/>
      <w:u w:val="single"/>
    </w:rPr>
  </w:style>
  <w:style w:type="character" w:styleId="1021">
    <w:name w:val="Strong"/>
    <w:uiPriority w:val="22"/>
    <w:qFormat/>
    <w:pPr>
      <w:pBdr/>
      <w:spacing/>
      <w:ind/>
    </w:pPr>
    <w:rPr>
      <w:b/>
      <w:bCs/>
    </w:rPr>
  </w:style>
  <w:style w:type="paragraph" w:styleId="1022">
    <w:name w:val="Balloon Text"/>
    <w:basedOn w:val="1008"/>
    <w:link w:val="1023"/>
    <w:uiPriority w:val="99"/>
    <w:semiHidden/>
    <w:unhideWhenUsed/>
    <w:pPr>
      <w:pBdr/>
      <w:spacing/>
      <w:ind/>
    </w:pPr>
    <w:rPr>
      <w:rFonts w:ascii="Tahoma" w:hAnsi="Tahoma" w:cs="Tahoma"/>
      <w:sz w:val="16"/>
      <w:szCs w:val="16"/>
    </w:rPr>
  </w:style>
  <w:style w:type="character" w:styleId="1023" w:customStyle="1">
    <w:name w:val="Balloon Text Char"/>
    <w:basedOn w:val="1013"/>
    <w:link w:val="1022"/>
    <w:uiPriority w:val="99"/>
    <w:semiHidden/>
    <w:pPr>
      <w:pBdr/>
      <w:spacing/>
      <w:ind/>
    </w:pPr>
    <w:rPr>
      <w:rFonts w:ascii="Tahoma" w:hAnsi="Tahoma" w:eastAsia="Times New Roman" w:cs="Tahoma"/>
      <w:sz w:val="16"/>
      <w:szCs w:val="16"/>
    </w:rPr>
  </w:style>
  <w:style w:type="paragraph" w:styleId="1024">
    <w:name w:val="Header"/>
    <w:basedOn w:val="1008"/>
    <w:link w:val="1025"/>
    <w:unhideWhenUsed/>
    <w:pPr>
      <w:pBdr/>
      <w:tabs>
        <w:tab w:val="center" w:leader="none" w:pos="4680"/>
        <w:tab w:val="right" w:leader="none" w:pos="9360"/>
      </w:tabs>
      <w:spacing/>
      <w:ind/>
    </w:pPr>
  </w:style>
  <w:style w:type="character" w:styleId="1025" w:customStyle="1">
    <w:name w:val="Header Char"/>
    <w:basedOn w:val="1013"/>
    <w:link w:val="1024"/>
    <w:pPr>
      <w:pBdr/>
      <w:spacing/>
      <w:ind/>
    </w:pPr>
    <w:rPr>
      <w:rFonts w:ascii="Times New Roman" w:hAnsi="Times New Roman" w:eastAsia="Times New Roman" w:cs="Times New Roman"/>
      <w:sz w:val="24"/>
      <w:szCs w:val="24"/>
    </w:rPr>
  </w:style>
  <w:style w:type="paragraph" w:styleId="1026">
    <w:name w:val="Footer"/>
    <w:basedOn w:val="1008"/>
    <w:link w:val="1027"/>
    <w:uiPriority w:val="99"/>
    <w:unhideWhenUsed/>
    <w:pPr>
      <w:pBdr/>
      <w:tabs>
        <w:tab w:val="center" w:leader="none" w:pos="4680"/>
        <w:tab w:val="right" w:leader="none" w:pos="9360"/>
      </w:tabs>
      <w:spacing/>
      <w:ind/>
    </w:pPr>
  </w:style>
  <w:style w:type="character" w:styleId="1027" w:customStyle="1">
    <w:name w:val="Footer Char"/>
    <w:basedOn w:val="1013"/>
    <w:link w:val="1026"/>
    <w:uiPriority w:val="99"/>
    <w:pPr>
      <w:pBdr/>
      <w:spacing/>
      <w:ind/>
    </w:pPr>
    <w:rPr>
      <w:rFonts w:ascii="Times New Roman" w:hAnsi="Times New Roman" w:eastAsia="Times New Roman" w:cs="Times New Roman"/>
      <w:sz w:val="24"/>
      <w:szCs w:val="24"/>
    </w:rPr>
  </w:style>
  <w:style w:type="character" w:styleId="1028" w:customStyle="1">
    <w:name w:val="normal-h1"/>
    <w:pPr>
      <w:pBdr/>
      <w:spacing/>
      <w:ind/>
    </w:pPr>
    <w:rPr>
      <w:rFonts w:hint="default" w:ascii=".VnTime" w:hAnsi=".VnTime"/>
      <w:color w:val="0000ff"/>
      <w:sz w:val="24"/>
      <w:szCs w:val="24"/>
    </w:rPr>
  </w:style>
  <w:style w:type="paragraph" w:styleId="1029" w:customStyle="1">
    <w:name w:val="normal-p"/>
    <w:basedOn w:val="1008"/>
    <w:pPr>
      <w:pBdr/>
      <w:spacing/>
      <w:ind/>
      <w:jc w:val="both"/>
    </w:pPr>
    <w:rPr>
      <w:sz w:val="20"/>
      <w:szCs w:val="20"/>
    </w:rPr>
  </w:style>
  <w:style w:type="paragraph" w:styleId="1030">
    <w:name w:val="List Paragraph"/>
    <w:basedOn w:val="1008"/>
    <w:link w:val="1117"/>
    <w:uiPriority w:val="34"/>
    <w:qFormat/>
    <w:pPr>
      <w:pBdr/>
      <w:spacing/>
      <w:ind w:left="720"/>
    </w:pPr>
  </w:style>
  <w:style w:type="paragraph" w:styleId="1031">
    <w:name w:val="Normal (Web)"/>
    <w:basedOn w:val="1008"/>
    <w:uiPriority w:val="99"/>
    <w:pPr>
      <w:pBdr/>
      <w:spacing w:after="100" w:afterAutospacing="1" w:before="100" w:beforeAutospacing="1"/>
      <w:ind/>
    </w:pPr>
  </w:style>
  <w:style w:type="paragraph" w:styleId="1032">
    <w:name w:val="Body Text"/>
    <w:basedOn w:val="1008"/>
    <w:link w:val="1033"/>
    <w:pPr>
      <w:pBdr/>
      <w:spacing w:after="120"/>
      <w:ind/>
      <w:jc w:val="both"/>
    </w:pPr>
  </w:style>
  <w:style w:type="character" w:styleId="1033" w:customStyle="1">
    <w:name w:val="Body Text Char"/>
    <w:basedOn w:val="1013"/>
    <w:link w:val="1032"/>
    <w:pPr>
      <w:pBdr/>
      <w:spacing/>
      <w:ind/>
    </w:pPr>
    <w:rPr>
      <w:rFonts w:ascii="Times New Roman" w:hAnsi="Times New Roman" w:eastAsia="Times New Roman" w:cs="Times New Roman"/>
      <w:sz w:val="24"/>
      <w:szCs w:val="24"/>
    </w:rPr>
  </w:style>
  <w:style w:type="table" w:styleId="1034">
    <w:name w:val="Table Grid"/>
    <w:basedOn w:val="101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6">
    <w:name w:val="annotation reference"/>
    <w:basedOn w:val="1013"/>
    <w:uiPriority w:val="99"/>
    <w:semiHidden/>
    <w:unhideWhenUsed/>
    <w:pPr>
      <w:pBdr/>
      <w:spacing/>
      <w:ind/>
    </w:pPr>
    <w:rPr>
      <w:sz w:val="16"/>
      <w:szCs w:val="16"/>
    </w:rPr>
  </w:style>
  <w:style w:type="paragraph" w:styleId="1037">
    <w:name w:val="annotation text"/>
    <w:basedOn w:val="1008"/>
    <w:link w:val="1038"/>
    <w:uiPriority w:val="99"/>
    <w:unhideWhenUsed/>
    <w:pPr>
      <w:pBdr/>
      <w:spacing/>
      <w:ind/>
    </w:pPr>
    <w:rPr>
      <w:sz w:val="20"/>
      <w:szCs w:val="20"/>
    </w:rPr>
  </w:style>
  <w:style w:type="character" w:styleId="1038" w:customStyle="1">
    <w:name w:val="Comment Text Char"/>
    <w:basedOn w:val="1013"/>
    <w:link w:val="1037"/>
    <w:uiPriority w:val="99"/>
    <w:pPr>
      <w:pBdr/>
      <w:spacing/>
      <w:ind/>
    </w:pPr>
    <w:rPr>
      <w:rFonts w:ascii="Times New Roman" w:hAnsi="Times New Roman" w:eastAsia="Times New Roman" w:cs="Times New Roman"/>
      <w:sz w:val="20"/>
      <w:szCs w:val="20"/>
    </w:rPr>
  </w:style>
  <w:style w:type="paragraph" w:styleId="1039">
    <w:name w:val="annotation subject"/>
    <w:basedOn w:val="1037"/>
    <w:next w:val="1037"/>
    <w:link w:val="1040"/>
    <w:uiPriority w:val="99"/>
    <w:semiHidden/>
    <w:unhideWhenUsed/>
    <w:pPr>
      <w:pBdr/>
      <w:spacing/>
      <w:ind/>
    </w:pPr>
    <w:rPr>
      <w:b/>
      <w:bCs/>
    </w:rPr>
  </w:style>
  <w:style w:type="character" w:styleId="1040" w:customStyle="1">
    <w:name w:val="Comment Subject Char"/>
    <w:basedOn w:val="1038"/>
    <w:link w:val="1039"/>
    <w:uiPriority w:val="99"/>
    <w:semiHidden/>
    <w:pPr>
      <w:pBdr/>
      <w:spacing/>
      <w:ind/>
    </w:pPr>
    <w:rPr>
      <w:rFonts w:ascii="Times New Roman" w:hAnsi="Times New Roman" w:eastAsia="Times New Roman" w:cs="Times New Roman"/>
      <w:b/>
      <w:bCs/>
      <w:sz w:val="20"/>
      <w:szCs w:val="20"/>
    </w:rPr>
  </w:style>
  <w:style w:type="paragraph" w:styleId="1041" w:customStyle="1">
    <w:name w:val="font5"/>
    <w:basedOn w:val="1008"/>
    <w:pPr>
      <w:pBdr/>
      <w:spacing w:after="100" w:afterAutospacing="1" w:before="100" w:beforeAutospacing="1"/>
      <w:ind/>
    </w:pPr>
    <w:rPr>
      <w:rFonts w:ascii="Tahoma" w:hAnsi="Tahoma" w:cs="Tahoma"/>
      <w:color w:val="000000"/>
      <w:sz w:val="18"/>
      <w:szCs w:val="18"/>
    </w:rPr>
  </w:style>
  <w:style w:type="paragraph" w:styleId="1042" w:customStyle="1">
    <w:name w:val="font6"/>
    <w:basedOn w:val="1008"/>
    <w:pPr>
      <w:pBdr/>
      <w:spacing w:after="100" w:afterAutospacing="1" w:before="100" w:beforeAutospacing="1"/>
      <w:ind/>
    </w:pPr>
    <w:rPr>
      <w:rFonts w:ascii="Tahoma" w:hAnsi="Tahoma" w:cs="Tahoma"/>
      <w:b/>
      <w:bCs/>
      <w:color w:val="000000"/>
      <w:sz w:val="18"/>
      <w:szCs w:val="18"/>
    </w:rPr>
  </w:style>
  <w:style w:type="paragraph" w:styleId="1043" w:customStyle="1">
    <w:name w:val="xl23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34"/>
    <w:basedOn w:val="1008"/>
    <w:pPr>
      <w:pBdr/>
      <w:spacing w:after="100" w:afterAutospacing="1" w:before="100" w:beforeAutospacing="1"/>
      <w:ind/>
      <w:jc w:val="center"/>
    </w:pPr>
  </w:style>
  <w:style w:type="paragraph" w:styleId="1045" w:customStyle="1">
    <w:name w:val="xl235"/>
    <w:basedOn w:val="1008"/>
    <w:pPr>
      <w:pBdr/>
      <w:spacing w:after="100" w:afterAutospacing="1" w:before="100" w:beforeAutospacing="1"/>
      <w:ind/>
      <w:jc w:val="center"/>
    </w:pPr>
    <w:rPr>
      <w:b/>
      <w:bCs/>
    </w:rPr>
  </w:style>
  <w:style w:type="paragraph" w:styleId="1046" w:customStyle="1">
    <w:name w:val="xl236"/>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3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38"/>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3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40"/>
    <w:basedOn w:val="1008"/>
    <w:pPr>
      <w:pBdr/>
      <w:spacing w:after="100" w:afterAutospacing="1" w:before="100" w:beforeAutospacing="1"/>
      <w:ind/>
    </w:pPr>
  </w:style>
  <w:style w:type="paragraph" w:styleId="1051" w:customStyle="1">
    <w:name w:val="xl241"/>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42"/>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3"/>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44"/>
    <w:basedOn w:val="1008"/>
    <w:pPr>
      <w:pBdr/>
      <w:spacing w:after="100" w:afterAutospacing="1" w:before="100" w:beforeAutospacing="1"/>
      <w:ind/>
    </w:pPr>
    <w:rPr>
      <w:b/>
      <w:bCs/>
    </w:rPr>
  </w:style>
  <w:style w:type="paragraph" w:styleId="1055" w:customStyle="1">
    <w:name w:val="xl245"/>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47"/>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4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9" w:customStyle="1">
    <w:name w:val="xl24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5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5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3"/>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4"/>
    <w:basedOn w:val="100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5"/>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8"/>
    <w:basedOn w:val="100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0"/>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1"/>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2"/>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3"/>
    <w:basedOn w:val="1008"/>
    <w:pPr>
      <w:pBdr/>
      <w:shd w:val="clear" w:color="000000" w:fill="ffffff"/>
      <w:spacing w:after="100" w:afterAutospacing="1" w:before="100" w:beforeAutospacing="1"/>
      <w:ind/>
    </w:pPr>
  </w:style>
  <w:style w:type="paragraph" w:styleId="1074" w:customStyle="1">
    <w:name w:val="xl264"/>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5"/>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6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6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68"/>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9"/>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7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1"/>
    <w:basedOn w:val="100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2" w:customStyle="1">
    <w:name w:val="xl27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73"/>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4" w:customStyle="1">
    <w:name w:val="xl274"/>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5"/>
    <w:basedOn w:val="1008"/>
    <w:pPr>
      <w:pBdr/>
      <w:spacing w:after="100" w:afterAutospacing="1" w:before="100" w:beforeAutospacing="1"/>
      <w:ind/>
    </w:pPr>
  </w:style>
  <w:style w:type="paragraph" w:styleId="1086" w:customStyle="1">
    <w:name w:val="xl27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77"/>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7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7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8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8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8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4"/>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5"/>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7"/>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8"/>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89"/>
    <w:basedOn w:val="1008"/>
    <w:pPr>
      <w:pBdr>
        <w:left w:val="single" w:color="000000" w:sz="4" w:space="0"/>
        <w:right w:val="single" w:color="000000" w:sz="4" w:space="0"/>
      </w:pBdr>
      <w:spacing w:after="100" w:afterAutospacing="1" w:before="100" w:beforeAutospacing="1"/>
      <w:ind/>
    </w:pPr>
    <w:rPr>
      <w:b/>
      <w:bCs/>
    </w:rPr>
  </w:style>
  <w:style w:type="paragraph" w:styleId="1100" w:customStyle="1">
    <w:name w:val="xl29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91"/>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92"/>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93"/>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94"/>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name w:val="Title"/>
    <w:basedOn w:val="1008"/>
    <w:link w:val="1106"/>
    <w:qFormat/>
    <w:pPr>
      <w:pBdr/>
      <w:spacing/>
      <w:ind/>
      <w:jc w:val="center"/>
    </w:pPr>
    <w:rPr>
      <w:b/>
      <w:bCs/>
      <w:sz w:val="32"/>
      <w:szCs w:val="26"/>
    </w:rPr>
  </w:style>
  <w:style w:type="character" w:styleId="1106" w:customStyle="1">
    <w:name w:val="Title Char"/>
    <w:basedOn w:val="1013"/>
    <w:link w:val="1105"/>
    <w:pPr>
      <w:pBdr/>
      <w:spacing/>
      <w:ind/>
    </w:pPr>
    <w:rPr>
      <w:rFonts w:ascii="Times New Roman" w:hAnsi="Times New Roman" w:eastAsia="Times New Roman" w:cs="Times New Roman"/>
      <w:b/>
      <w:bCs/>
      <w:sz w:val="32"/>
      <w:szCs w:val="26"/>
    </w:rPr>
  </w:style>
  <w:style w:type="character" w:styleId="1107" w:customStyle="1">
    <w:name w:val="Unresolved Mention1"/>
    <w:basedOn w:val="1013"/>
    <w:uiPriority w:val="99"/>
    <w:semiHidden/>
    <w:unhideWhenUsed/>
    <w:pPr>
      <w:pBdr/>
      <w:spacing/>
      <w:ind/>
    </w:pPr>
    <w:rPr>
      <w:color w:val="605e5c"/>
      <w:shd w:val="clear" w:color="auto" w:fill="e1dfdd"/>
    </w:rPr>
  </w:style>
  <w:style w:type="character" w:styleId="1108" w:customStyle="1">
    <w:name w:val="Body text (3)_"/>
    <w:link w:val="1109"/>
    <w:pPr>
      <w:pBdr/>
      <w:spacing/>
      <w:ind/>
    </w:pPr>
    <w:rPr>
      <w:rFonts w:ascii="Times New Roman" w:hAnsi="Times New Roman" w:cs="Times New Roman"/>
      <w:i/>
      <w:iCs/>
      <w:spacing w:val="4"/>
      <w:shd w:val="clear" w:color="auto" w:fill="ffffff"/>
    </w:rPr>
  </w:style>
  <w:style w:type="paragraph" w:styleId="1109" w:customStyle="1">
    <w:name w:val="Body text (3)1"/>
    <w:basedOn w:val="1008"/>
    <w:link w:val="110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0" w:customStyle="1">
    <w:name w:val="t-j"/>
    <w:basedOn w:val="1008"/>
    <w:pPr>
      <w:pBdr/>
      <w:spacing w:after="100" w:afterAutospacing="1" w:before="100" w:beforeAutospacing="1"/>
      <w:ind/>
    </w:pPr>
  </w:style>
  <w:style w:type="character" w:styleId="1111" w:customStyle="1">
    <w:name w:val="Unresolved Mention2"/>
    <w:basedOn w:val="1013"/>
    <w:uiPriority w:val="99"/>
    <w:semiHidden/>
    <w:unhideWhenUsed/>
    <w:pPr>
      <w:pBdr/>
      <w:spacing/>
      <w:ind/>
    </w:pPr>
    <w:rPr>
      <w:color w:val="605e5c"/>
      <w:shd w:val="clear" w:color="auto" w:fill="e1dfdd"/>
    </w:rPr>
  </w:style>
  <w:style w:type="character" w:styleId="1112">
    <w:name w:val="FollowedHyperlink"/>
    <w:basedOn w:val="1013"/>
    <w:uiPriority w:val="99"/>
    <w:semiHidden/>
    <w:unhideWhenUsed/>
    <w:pPr>
      <w:pBdr/>
      <w:spacing/>
      <w:ind/>
    </w:pPr>
    <w:rPr>
      <w:color w:val="800080" w:themeColor="followedHyperlink"/>
      <w:u w:val="single"/>
    </w:rPr>
  </w:style>
  <w:style w:type="character" w:styleId="1113" w:customStyle="1">
    <w:name w:val="text"/>
    <w:basedOn w:val="1013"/>
    <w:pPr>
      <w:pBdr/>
      <w:spacing/>
      <w:ind/>
    </w:pPr>
  </w:style>
  <w:style w:type="character" w:styleId="1114" w:customStyle="1">
    <w:name w:val="card-send-time__sendtime"/>
    <w:basedOn w:val="1013"/>
    <w:pPr>
      <w:pBdr/>
      <w:spacing/>
      <w:ind/>
    </w:pPr>
  </w:style>
  <w:style w:type="character" w:styleId="1115" w:customStyle="1">
    <w:name w:val="Đề cập Chưa giải quyết1"/>
    <w:basedOn w:val="1013"/>
    <w:uiPriority w:val="99"/>
    <w:semiHidden/>
    <w:unhideWhenUsed/>
    <w:pPr>
      <w:pBdr/>
      <w:spacing/>
      <w:ind/>
    </w:pPr>
    <w:rPr>
      <w:color w:val="605e5c"/>
      <w:shd w:val="clear" w:color="auto" w:fill="e1dfdd"/>
    </w:rPr>
  </w:style>
  <w:style w:type="paragraph" w:styleId="1116" w:customStyle="1">
    <w:name w:val="nqtitle"/>
    <w:basedOn w:val="1008"/>
    <w:pPr>
      <w:pBdr/>
      <w:spacing w:after="100" w:afterAutospacing="1" w:before="100" w:beforeAutospacing="1"/>
      <w:ind/>
    </w:pPr>
    <w:rPr>
      <w:lang w:val="vi-VN" w:eastAsia="vi-VN"/>
    </w:rPr>
  </w:style>
  <w:style w:type="character" w:styleId="1117" w:customStyle="1">
    <w:name w:val="List Paragraph Char"/>
    <w:link w:val="1030"/>
    <w:uiPriority w:val="34"/>
    <w:qFormat/>
    <w:pPr>
      <w:pBdr/>
      <w:spacing/>
      <w:ind/>
    </w:pPr>
    <w:rPr>
      <w:rFonts w:ascii="Times New Roman" w:hAnsi="Times New Roman" w:eastAsia="Times New Roman" w:cs="Times New Roman"/>
      <w:sz w:val="24"/>
      <w:szCs w:val="24"/>
    </w:rPr>
  </w:style>
  <w:style w:type="character" w:styleId="1118" w:customStyle="1">
    <w:name w:val="Đề cập Chưa giải quyết2"/>
    <w:basedOn w:val="1013"/>
    <w:uiPriority w:val="99"/>
    <w:semiHidden/>
    <w:unhideWhenUsed/>
    <w:pPr>
      <w:pBdr/>
      <w:spacing/>
      <w:ind/>
    </w:pPr>
    <w:rPr>
      <w:color w:val="605e5c"/>
      <w:shd w:val="clear" w:color="auto" w:fill="e1dfdd"/>
    </w:rPr>
  </w:style>
  <w:style w:type="character" w:styleId="1119" w:customStyle="1">
    <w:name w:val="Unresolved Mention3"/>
    <w:basedOn w:val="1013"/>
    <w:uiPriority w:val="99"/>
    <w:semiHidden/>
    <w:unhideWhenUsed/>
    <w:pPr>
      <w:pBdr/>
      <w:spacing/>
      <w:ind/>
    </w:pPr>
    <w:rPr>
      <w:color w:val="605e5c"/>
      <w:shd w:val="clear" w:color="auto" w:fill="e1dfdd"/>
    </w:rPr>
  </w:style>
  <w:style w:type="character" w:styleId="1120" w:customStyle="1">
    <w:name w:val="copy"/>
    <w:basedOn w:val="1013"/>
    <w:pPr>
      <w:pBdr/>
      <w:spacing/>
      <w:ind/>
    </w:pPr>
  </w:style>
  <w:style w:type="paragraph" w:styleId="1121" w:customStyle="1">
    <w:name w:val="align-justify"/>
    <w:basedOn w:val="1008"/>
    <w:pPr>
      <w:pBdr/>
      <w:spacing w:after="100" w:afterAutospacing="1" w:before="100" w:beforeAutospacing="1"/>
      <w:ind/>
    </w:pPr>
  </w:style>
  <w:style w:type="character" w:styleId="1122" w:customStyle="1">
    <w:name w:val="btn"/>
    <w:basedOn w:val="1013"/>
    <w:pPr>
      <w:pBdr/>
      <w:spacing/>
      <w:ind/>
    </w:pPr>
  </w:style>
  <w:style w:type="character" w:styleId="1123" w:customStyle="1">
    <w:name w:val="hide_mobile"/>
    <w:basedOn w:val="1013"/>
    <w:pPr>
      <w:pBdr/>
      <w:spacing/>
      <w:ind/>
    </w:pPr>
  </w:style>
  <w:style w:type="character" w:styleId="1124">
    <w:name w:val="Emphasis"/>
    <w:basedOn w:val="1013"/>
    <w:uiPriority w:val="20"/>
    <w:qFormat/>
    <w:pPr>
      <w:pBdr/>
      <w:spacing/>
      <w:ind/>
    </w:pPr>
    <w:rPr>
      <w:i/>
      <w:iCs/>
    </w:rPr>
  </w:style>
  <w:style w:type="character" w:styleId="1125" w:customStyle="1">
    <w:name w:val="t1"/>
    <w:basedOn w:val="1013"/>
    <w:pPr>
      <w:pBdr/>
      <w:spacing/>
      <w:ind/>
    </w:pPr>
  </w:style>
  <w:style w:type="character" w:styleId="1126" w:customStyle="1">
    <w:name w:val="Unresolved Mention4"/>
    <w:basedOn w:val="1013"/>
    <w:uiPriority w:val="99"/>
    <w:semiHidden/>
    <w:unhideWhenUsed/>
    <w:pPr>
      <w:pBdr/>
      <w:spacing/>
      <w:ind/>
    </w:pPr>
    <w:rPr>
      <w:color w:val="605e5c"/>
      <w:shd w:val="clear" w:color="auto" w:fill="e1dfdd"/>
    </w:rPr>
  </w:style>
  <w:style w:type="character" w:styleId="1127">
    <w:name w:val="Unresolved Mention"/>
    <w:basedOn w:val="101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280</cp:revision>
  <dcterms:created xsi:type="dcterms:W3CDTF">2025-09-15T09:58:00Z</dcterms:created>
  <dcterms:modified xsi:type="dcterms:W3CDTF">2026-07-24T05:01:33Z</dcterms:modified>
</cp:coreProperties>
</file>