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bCs/>
          <w:sz w:val="28"/>
          <w:szCs w:val="28"/>
        </w:rPr>
      </w:pPr>
      <w:r>
        <w:rPr>
          <w:b/>
          <w:sz w:val="28"/>
        </w:rPr>
      </w:r>
      <w:r>
        <w:rPr>
          <w:b/>
          <w:sz w:val="28"/>
        </w:rPr>
      </w:r>
      <w:r>
        <w:rPr>
          <w:b/>
          <w:bCs/>
          <w:sz w:val="28"/>
          <w:szCs w:val="28"/>
        </w:rPr>
      </w:r>
    </w:p>
    <w:p>
      <w:pPr>
        <w:pBdr/>
        <w:spacing/>
        <w:ind w:right="-1"/>
        <w:jc w:val="left"/>
        <w:rPr>
          <w:b/>
          <w:bCs/>
          <w:sz w:val="28"/>
          <w:szCs w:val="28"/>
        </w:rPr>
      </w:pPr>
      <w:r>
        <w:rPr>
          <w:b/>
          <w:sz w:val="28"/>
        </w:rPr>
      </w:r>
      <w:r>
        <w:rPr>
          <w:b/>
          <w:sz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-136185</wp:posOffset>
                </wp:positionH>
                <wp:positionV relativeFrom="paragraph">
                  <wp:posOffset>192754</wp:posOffset>
                </wp:positionV>
                <wp:extent cx="6200775" cy="762297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6200775" cy="762297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275/2026/1051/VFI-CT.17.A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CAO SU QUỐC VIỆT</w:t>
                            </w:r>
                            <w:r>
                              <w:rPr>
                                <w:rFonts w:ascii="Times New Roman Bold" w:hAnsi="Times New Roman Bold"/>
                                <w:b/>
                                <w:lang w:val="pt-BR"/>
                              </w:rPr>
                            </w:r>
                            <w:r>
                              <w:rPr>
                                <w:rFonts w:ascii="Times New Roman Bold" w:hAnsi="Times New Roman Bold"/>
                                <w:b/>
                                <w:bCs/>
                                <w:lang w:val="pt-BR"/>
                              </w:rPr>
                            </w:r>
                          </w:p>
                          <w:p>
                            <w:pPr>
                              <w:pBdr/>
                              <w:spacing w:after="120" w:before="120" w:line="360" w:lineRule="auto"/>
                              <w:ind/>
                              <w:jc w:val="center"/>
                              <w:rPr>
                                <w:iCs/>
                                <w:color w:val="000000"/>
                              </w:rPr>
                            </w:pPr>
                            <w:r>
                              <w:rPr>
                                <w:b/>
                              </w:rPr>
                              <w:t xml:space="preserve">Tài sản thẩm </w:t>
                            </w:r>
                            <w:r>
                              <w:rPr>
                                <w:b/>
                              </w:rPr>
                              <w:t xml:space="preserve">định: </w:t>
                            </w:r>
                            <w:r>
                              <w:rPr>
                                <w:bCs/>
                                <w:i/>
                                <w:iCs/>
                              </w:rPr>
                            </w:r>
                            <w:r>
                              <w:rPr>
                                <w:iCs/>
                                <w:color w:val="000000"/>
                              </w:rPr>
                            </w:r>
                          </w:p>
                          <w:p>
                            <w:pPr>
                              <w:pBdr/>
                              <w:spacing w:after="120" w:before="120" w:line="360" w:lineRule="auto"/>
                              <w:ind/>
                              <w:jc w:val="both"/>
                              <w:rPr>
                                <w:color w:val="000000"/>
                              </w:rPr>
                            </w:pPr>
                            <w:r>
                              <w:rPr>
                                <w:b/>
                                <w:bCs/>
                                <w:color w:val="000000"/>
                              </w:rPr>
                              <w:t xml:space="preserve">Tài sản số 01: </w:t>
                            </w:r>
                            <w:r>
                              <w:rPr>
                                <w:color w:val="000000"/>
                              </w:rPr>
                              <w:t xml:space="preserve">Quyền sử dụng đất thuê trả tiền một lần có thời hạn đến ngày 31/12/2065 tại thửa đất số 555, tờ bản đồ số 23 có địa chỉ: </w:t>
                            </w:r>
                            <w:r>
                              <w:rPr>
                                <w:color w:val="000000"/>
                              </w:rPr>
                              <w:t xml:space="preserve">Xã Đồng Tiến, huyện Đồng Phú, tỉnh Bình Phước (nay là xã Đồng Tâm, thành phố Đồng Nai) theo Giấy chứng nhận quyền sử dụng đất quyền sở hữu nhà ở và tài sản khác gắn liền với đất số BX 189979 có số vào sổ cấp GCN: CT 06399 do UBND tỉnh Bình Phước cấp ngày 2</w:t>
                            </w:r>
                            <w:r>
                              <w:rPr>
                                <w:color w:val="000000"/>
                              </w:rPr>
                              <w:t xml:space="preserve">1/03/2016; Chủ sử dụng đất là Công ty TNHH Cao su Quốc Việt.</w:t>
                            </w:r>
                            <w:r>
                              <w:rPr>
                                <w:bCs/>
                                <w:i/>
                              </w:rPr>
                            </w:r>
                            <w:r>
                              <w:rPr>
                                <w:color w:val="000000"/>
                              </w:rPr>
                            </w:r>
                          </w:p>
                          <w:p>
                            <w:pPr>
                              <w:pBdr/>
                              <w:spacing w:after="120" w:before="120" w:line="360" w:lineRule="auto"/>
                              <w:ind/>
                              <w:jc w:val="both"/>
                              <w:rPr>
                                <w:color w:val="000000"/>
                              </w:rPr>
                            </w:pPr>
                            <w:r>
                              <w:rPr>
                                <w:b/>
                                <w:bCs/>
                                <w:color w:val="000000"/>
                              </w:rPr>
                              <w:t xml:space="preserve">Tài sản số 02:</w:t>
                            </w:r>
                            <w:r>
                              <w:rPr>
                                <w:color w:val="000000"/>
                              </w:rPr>
                              <w:t xml:space="preserve"> Quyền sử dụng đất thuê trả tiền một lần có thời hạn đến ngày 31/12/2065 tại thửa đất số 554, tờ bản đồ số 23 có địa chỉ: Xã Đồng Tiến, huyện Đồng Phú, tỉnh Bình Phước (nay là xã </w:t>
                            </w:r>
                            <w:r>
                              <w:rPr>
                                <w:color w:val="000000"/>
                              </w:rPr>
                              <w:t xml:space="preserve">Đồng Tâm, thành phố Đồng Nai) theo Giấy chứng nhận quyền sử dụng đất quyền sở hữu nhà ở và tài sản khác gắn liền với đất số BX 189978 có số vào sổ cấp GCN: CT 06400 do UBND tỉnh Bình Phước cấp ngày 21/03/2016; Chủ sử dụng đất là Công ty TNHH Cao su Quốc Vi</w:t>
                            </w:r>
                            <w:r>
                              <w:rPr>
                                <w:color w:val="000000"/>
                              </w:rPr>
                              <w:t xml:space="preserve">ệt. </w:t>
                            </w:r>
                            <w:r>
                              <w:rPr>
                                <w:bCs/>
                                <w:i/>
                              </w:rPr>
                            </w:r>
                            <w:r>
                              <w:rPr>
                                <w:color w:val="000000"/>
                              </w:rPr>
                            </w:r>
                          </w:p>
                          <w:p>
                            <w:pPr>
                              <w:pBdr/>
                              <w:spacing w:after="120" w:before="120" w:line="360" w:lineRule="auto"/>
                              <w:ind/>
                              <w:jc w:val="both"/>
                              <w:rPr>
                                <w:bCs/>
                                <w:i/>
                              </w:rPr>
                            </w:pPr>
                            <w:r>
                              <w:rPr>
                                <w:b/>
                                <w:bCs/>
                                <w:color w:val="000000"/>
                              </w:rPr>
                              <w:t xml:space="preserve">Tài sản số 03:</w:t>
                            </w:r>
                            <w:r>
                              <w:rPr>
                                <w:color w:val="000000"/>
                              </w:rPr>
                              <w:t xml:space="preserve"> Quyền sử dụng đất thuê trả tiền một lần có thời hạn đến ngày 26/01/2061 và tài sản gắn liền với đất tại thửa đất số 63, tờ bản đồ số 24 có địa chỉ: Ấp 1, xã Đồng Tiến, huyện Đồng Phú, tỉnh Bình Phước (nay là xã Đồng Tâm, thành phố Đồng N</w:t>
                            </w:r>
                            <w:r>
                              <w:rPr>
                                <w:color w:val="000000"/>
                              </w:rPr>
                              <w:t xml:space="preserve">ai) theo Giấy chứng nhận quyền sử dụng đất quyền sở hữu nhà ở và tài sản khác gắn liền với đất số BN 971526 có số vào sổ cấp GCN: CT 05916 do Sở Tài nguyên và Môi trường tỉnh Bình Phước cấp ngày 20/05/2015; Chủ sử dụng đất là Công ty TNHH Cao su Quốc Việt.</w:t>
                            </w:r>
                            <w:r>
                              <w:rPr>
                                <w:bCs/>
                                <w:i/>
                              </w:rPr>
                            </w:r>
                          </w:p>
                          <w:p>
                            <w:pPr>
                              <w:pBdr/>
                              <w:spacing w:after="120" w:before="120" w:line="360" w:lineRule="auto"/>
                              <w:ind/>
                              <w:jc w:val="center"/>
                              <w:rPr>
                                <w:bCs/>
                                <w:i/>
                                <w:sz w:val="2"/>
                                <w:szCs w:val="2"/>
                              </w:rPr>
                            </w:pPr>
                            <w:r>
                              <w:rPr>
                                <w:sz w:val="2"/>
                                <w:szCs w:val="2"/>
                                <w:highlight w:val="none"/>
                                <w:lang w:val="pt-BR"/>
                              </w:rPr>
                            </w:r>
                            <w:r>
                              <w:rPr>
                                <w:bCs/>
                                <w:i/>
                                <w:sz w:val="2"/>
                                <w:szCs w:val="2"/>
                              </w:rPr>
                            </w:r>
                            <w:r>
                              <w:rPr>
                                <w:bCs/>
                                <w:i/>
                                <w:sz w:val="2"/>
                                <w:szCs w:val="2"/>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0.72pt;mso-position-horizontal:absolute;mso-position-vertical-relative:text;margin-top:15.18pt;mso-position-vertical:absolute;width:488.25pt;height:600.2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275/2026/1051/VFI-CT.17.A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CAO SU QUỐC VIỆT</w:t>
                      </w:r>
                      <w:r>
                        <w:rPr>
                          <w:rFonts w:ascii="Times New Roman Bold" w:hAnsi="Times New Roman Bold"/>
                          <w:b/>
                          <w:lang w:val="pt-BR"/>
                        </w:rPr>
                      </w:r>
                      <w:r>
                        <w:rPr>
                          <w:rFonts w:ascii="Times New Roman Bold" w:hAnsi="Times New Roman Bold"/>
                          <w:b/>
                          <w:bCs/>
                          <w:lang w:val="pt-BR"/>
                        </w:rPr>
                      </w:r>
                    </w:p>
                    <w:p>
                      <w:pPr>
                        <w:pBdr/>
                        <w:spacing w:after="120" w:before="120" w:line="360" w:lineRule="auto"/>
                        <w:ind/>
                        <w:jc w:val="center"/>
                        <w:rPr>
                          <w:iCs/>
                          <w:color w:val="000000"/>
                        </w:rPr>
                      </w:pPr>
                      <w:r>
                        <w:rPr>
                          <w:b/>
                        </w:rPr>
                        <w:t xml:space="preserve">Tài sản thẩm </w:t>
                      </w:r>
                      <w:r>
                        <w:rPr>
                          <w:b/>
                        </w:rPr>
                        <w:t xml:space="preserve">định: </w:t>
                      </w:r>
                      <w:r>
                        <w:rPr>
                          <w:bCs/>
                          <w:i/>
                          <w:iCs/>
                        </w:rPr>
                      </w:r>
                      <w:r>
                        <w:rPr>
                          <w:iCs/>
                          <w:color w:val="000000"/>
                        </w:rPr>
                      </w:r>
                    </w:p>
                    <w:p>
                      <w:pPr>
                        <w:pBdr/>
                        <w:spacing w:after="120" w:before="120" w:line="360" w:lineRule="auto"/>
                        <w:ind/>
                        <w:jc w:val="both"/>
                        <w:rPr>
                          <w:color w:val="000000"/>
                        </w:rPr>
                      </w:pPr>
                      <w:r>
                        <w:rPr>
                          <w:b/>
                          <w:bCs/>
                          <w:color w:val="000000"/>
                        </w:rPr>
                        <w:t xml:space="preserve">Tài sản số 01: </w:t>
                      </w:r>
                      <w:r>
                        <w:rPr>
                          <w:color w:val="000000"/>
                        </w:rPr>
                        <w:t xml:space="preserve">Quyền sử dụng đất thuê trả tiền một lần có thời hạn đến ngày 31/12/2065 tại thửa đất số 555, tờ bản đồ số 23 có địa chỉ: </w:t>
                      </w:r>
                      <w:r>
                        <w:rPr>
                          <w:color w:val="000000"/>
                        </w:rPr>
                        <w:t xml:space="preserve">Xã Đồng Tiến, huyện Đồng Phú, tỉnh Bình Phước (nay là xã Đồng Tâm, thành phố Đồng Nai) theo Giấy chứng nhận quyền sử dụng đất quyền sở hữu nhà ở và tài sản khác gắn liền với đất số BX 189979 có số vào sổ cấp GCN: CT 06399 do UBND tỉnh Bình Phước cấp ngày 2</w:t>
                      </w:r>
                      <w:r>
                        <w:rPr>
                          <w:color w:val="000000"/>
                        </w:rPr>
                        <w:t xml:space="preserve">1/03/2016; Chủ sử dụng đất là Công ty TNHH Cao su Quốc Việt.</w:t>
                      </w:r>
                      <w:r>
                        <w:rPr>
                          <w:bCs/>
                          <w:i/>
                        </w:rPr>
                      </w:r>
                      <w:r>
                        <w:rPr>
                          <w:color w:val="000000"/>
                        </w:rPr>
                      </w:r>
                    </w:p>
                    <w:p>
                      <w:pPr>
                        <w:pBdr/>
                        <w:spacing w:after="120" w:before="120" w:line="360" w:lineRule="auto"/>
                        <w:ind/>
                        <w:jc w:val="both"/>
                        <w:rPr>
                          <w:color w:val="000000"/>
                        </w:rPr>
                      </w:pPr>
                      <w:r>
                        <w:rPr>
                          <w:b/>
                          <w:bCs/>
                          <w:color w:val="000000"/>
                        </w:rPr>
                        <w:t xml:space="preserve">Tài sản số 02:</w:t>
                      </w:r>
                      <w:r>
                        <w:rPr>
                          <w:color w:val="000000"/>
                        </w:rPr>
                        <w:t xml:space="preserve"> Quyền sử dụng đất thuê trả tiền một lần có thời hạn đến ngày 31/12/2065 tại thửa đất số 554, tờ bản đồ số 23 có địa chỉ: Xã Đồng Tiến, huyện Đồng Phú, tỉnh Bình Phước (nay là xã </w:t>
                      </w:r>
                      <w:r>
                        <w:rPr>
                          <w:color w:val="000000"/>
                        </w:rPr>
                        <w:t xml:space="preserve">Đồng Tâm, thành phố Đồng Nai) theo Giấy chứng nhận quyền sử dụng đất quyền sở hữu nhà ở và tài sản khác gắn liền với đất số BX 189978 có số vào sổ cấp GCN: CT 06400 do UBND tỉnh Bình Phước cấp ngày 21/03/2016; Chủ sử dụng đất là Công ty TNHH Cao su Quốc Vi</w:t>
                      </w:r>
                      <w:r>
                        <w:rPr>
                          <w:color w:val="000000"/>
                        </w:rPr>
                        <w:t xml:space="preserve">ệt. </w:t>
                      </w:r>
                      <w:r>
                        <w:rPr>
                          <w:bCs/>
                          <w:i/>
                        </w:rPr>
                      </w:r>
                      <w:r>
                        <w:rPr>
                          <w:color w:val="000000"/>
                        </w:rPr>
                      </w:r>
                    </w:p>
                    <w:p>
                      <w:pPr>
                        <w:pBdr/>
                        <w:spacing w:after="120" w:before="120" w:line="360" w:lineRule="auto"/>
                        <w:ind/>
                        <w:jc w:val="both"/>
                        <w:rPr>
                          <w:bCs/>
                          <w:i/>
                        </w:rPr>
                      </w:pPr>
                      <w:r>
                        <w:rPr>
                          <w:b/>
                          <w:bCs/>
                          <w:color w:val="000000"/>
                        </w:rPr>
                        <w:t xml:space="preserve">Tài sản số 03:</w:t>
                      </w:r>
                      <w:r>
                        <w:rPr>
                          <w:color w:val="000000"/>
                        </w:rPr>
                        <w:t xml:space="preserve"> Quyền sử dụng đất thuê trả tiền một lần có thời hạn đến ngày 26/01/2061 và tài sản gắn liền với đất tại thửa đất số 63, tờ bản đồ số 24 có địa chỉ: Ấp 1, xã Đồng Tiến, huyện Đồng Phú, tỉnh Bình Phước (nay là xã Đồng Tâm, thành phố Đồng N</w:t>
                      </w:r>
                      <w:r>
                        <w:rPr>
                          <w:color w:val="000000"/>
                        </w:rPr>
                        <w:t xml:space="preserve">ai) theo Giấy chứng nhận quyền sử dụng đất quyền sở hữu nhà ở và tài sản khác gắn liền với đất số BN 971526 có số vào sổ cấp GCN: CT 05916 do Sở Tài nguyên và Môi trường tỉnh Bình Phước cấp ngày 20/05/2015; Chủ sử dụng đất là Công ty TNHH Cao su Quốc Việt.</w:t>
                      </w:r>
                      <w:r>
                        <w:rPr>
                          <w:bCs/>
                          <w:i/>
                        </w:rPr>
                      </w:r>
                    </w:p>
                    <w:p>
                      <w:pPr>
                        <w:pBdr/>
                        <w:spacing w:after="120" w:before="120" w:line="360" w:lineRule="auto"/>
                        <w:ind/>
                        <w:jc w:val="center"/>
                        <w:rPr>
                          <w:bCs/>
                          <w:i/>
                          <w:sz w:val="2"/>
                          <w:szCs w:val="2"/>
                        </w:rPr>
                      </w:pPr>
                      <w:r>
                        <w:rPr>
                          <w:sz w:val="2"/>
                          <w:szCs w:val="2"/>
                          <w:highlight w:val="none"/>
                          <w:lang w:val="pt-BR"/>
                        </w:rPr>
                      </w:r>
                      <w:r>
                        <w:rPr>
                          <w:bCs/>
                          <w:i/>
                          <w:sz w:val="2"/>
                          <w:szCs w:val="2"/>
                        </w:rPr>
                      </w:r>
                      <w:r>
                        <w:rPr>
                          <w:bCs/>
                          <w:i/>
                          <w:sz w:val="2"/>
                          <w:szCs w:val="2"/>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52"/>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52"/>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23 - 31</w:t>
            </w:r>
            <w:r>
              <w:rPr>
                <w:b/>
                <w:bCs/>
              </w:rPr>
            </w:r>
            <w:r>
              <w:rPr>
                <w:b/>
                <w:bCs/>
              </w:rPr>
            </w:r>
          </w:p>
        </w:tc>
      </w:tr>
    </w:tbl>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34" w:type="dxa"/>
        <w:tblBorders/>
        <w:tblLayout w:type="fixed"/>
        <w:tblLook w:val="04A0" w:firstRow="1" w:lastRow="0" w:firstColumn="1" w:lastColumn="0" w:noHBand="0" w:noVBand="1"/>
      </w:tblPr>
      <w:tblGrid>
        <w:gridCol w:w="30"/>
        <w:gridCol w:w="1722"/>
        <w:gridCol w:w="2037"/>
        <w:gridCol w:w="6344"/>
        <w:gridCol/>
      </w:tblGrid>
      <w:tr>
        <w:trPr>
          <w:trHeight w:val="1152"/>
        </w:trPr>
        <w:tc>
          <w:tcPr>
            <w:gridSpan w:val="2"/>
            <w:tcBorders/>
            <w:tcW w:w="175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8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4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94"/>
        </w:trPr>
        <w:tc>
          <w:tcPr>
            <w:gridSpan w:val="2"/>
            <w:shd w:val="clear" w:color="auto" w:fill="auto"/>
            <w:tcBorders/>
            <w:tcMar>
              <w:left w:w="108" w:type="dxa"/>
              <w:top w:w="0" w:type="dxa"/>
              <w:right w:w="108" w:type="dxa"/>
              <w:bottom w:w="0" w:type="dxa"/>
            </w:tcMar>
            <w:tcW w:w="3759" w:type="dxa"/>
            <w:textDirection w:val="lrTb"/>
            <w:noWrap w:val="false"/>
          </w:tcPr>
          <w:p>
            <w:pPr>
              <w:pStyle w:val="1051"/>
              <w:pBdr/>
              <w:spacing w:after="60"/>
              <w:ind/>
              <w:rPr>
                <w:color w:val="000000" w:themeColor="text1"/>
                <w:sz w:val="24"/>
                <w:szCs w:val="24"/>
              </w:rPr>
            </w:pPr>
            <w:r>
              <w:rPr>
                <w:rStyle w:val="1050"/>
                <w:rFonts w:ascii="Times New Roman" w:hAnsi="Times New Roman"/>
                <w:color w:val="000000" w:themeColor="text1"/>
                <w:lang w:val="pt-BR"/>
              </w:rPr>
              <w:t xml:space="preserve">Số: </w:t>
            </w:r>
            <w:r>
              <w:rPr>
                <w:rStyle w:val="1050"/>
                <w:rFonts w:ascii="Times New Roman" w:hAnsi="Times New Roman"/>
                <w:color w:val="000000" w:themeColor="text1"/>
                <w:lang w:val="pt-BR"/>
              </w:rPr>
              <w:t xml:space="preserve">275/2026/1051/VFI-CT.17.A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44" w:type="dxa"/>
            <w:textDirection w:val="lrTb"/>
            <w:noWrap w:val="false"/>
          </w:tcPr>
          <w:p>
            <w:pPr>
              <w:pStyle w:val="1051"/>
              <w:pBdr/>
              <w:spacing w:after="60"/>
              <w:ind w:right="-56"/>
              <w:jc w:val="right"/>
              <w:rPr>
                <w:color w:val="000000" w:themeColor="text1"/>
                <w:sz w:val="24"/>
                <w:szCs w:val="24"/>
                <w:lang w:val="vi-VN"/>
              </w:rPr>
            </w:pPr>
            <w:r>
              <w:rPr>
                <w:rStyle w:val="1050"/>
                <w:rFonts w:ascii="Times New Roman" w:hAnsi="Times New Roman"/>
                <w:i/>
                <w:color w:val="auto"/>
              </w:rPr>
              <w:t xml:space="preserve">TP. Hà Nội</w:t>
            </w:r>
            <w:r>
              <w:rPr>
                <w:rStyle w:val="1050"/>
                <w:rFonts w:ascii="Times New Roman" w:hAnsi="Times New Roman"/>
                <w:i/>
                <w:color w:val="auto"/>
                <w:lang w:val="vi-VN"/>
              </w:rPr>
              <w:t xml:space="preserve">, </w:t>
            </w:r>
            <w:r>
              <w:rPr>
                <w:rStyle w:val="1050"/>
                <w:rFonts w:ascii="Times New Roman" w:hAnsi="Times New Roman"/>
                <w:i/>
                <w:color w:val="000000" w:themeColor="text1"/>
                <w:lang w:val="vi-VN"/>
              </w:rPr>
              <w:t xml:space="preserve">ngày 11 tháng 7 năm 2026</w:t>
            </w:r>
            <w:r>
              <w:rPr>
                <w:color w:val="000000" w:themeColor="text1"/>
                <w:sz w:val="24"/>
                <w:szCs w:val="24"/>
                <w:lang w:val="vi-VN"/>
              </w:rPr>
            </w:r>
            <w:r>
              <w:rPr>
                <w:color w:val="000000" w:themeColor="text1"/>
                <w:sz w:val="24"/>
                <w:szCs w:val="24"/>
                <w:lang w:val="vi-VN"/>
              </w:rPr>
            </w:r>
          </w:p>
        </w:tc>
      </w:tr>
    </w:tbl>
    <w:p>
      <w:pPr>
        <w:pStyle w:val="1051"/>
        <w:pBdr/>
        <w:spacing w:after="120" w:before="200" w:line="288" w:lineRule="auto"/>
        <w:ind/>
        <w:jc w:val="center"/>
        <w:rPr>
          <w:rStyle w:val="1050"/>
          <w:rFonts w:ascii="Times New Roman" w:hAnsi="Times New Roman"/>
          <w:b/>
          <w:bCs/>
          <w:color w:val="auto"/>
          <w:sz w:val="30"/>
          <w:szCs w:val="30"/>
          <w:lang w:val="vi-VN"/>
        </w:rPr>
      </w:pPr>
      <w:r>
        <w:rPr>
          <w:rStyle w:val="1050"/>
          <w:rFonts w:ascii="Times New Roman" w:hAnsi="Times New Roman"/>
          <w:b/>
          <w:bCs/>
          <w:color w:val="auto"/>
          <w:sz w:val="30"/>
          <w:szCs w:val="30"/>
          <w:lang w:val="vi-VN"/>
        </w:rPr>
        <w:t xml:space="preserve">CHỨNG THƯ THẨM ĐỊNH GIÁ</w:t>
      </w:r>
      <w:r>
        <w:rPr>
          <w:rStyle w:val="1050"/>
          <w:rFonts w:ascii="Times New Roman" w:hAnsi="Times New Roman"/>
          <w:b/>
          <w:bCs/>
          <w:color w:val="auto"/>
          <w:sz w:val="30"/>
          <w:szCs w:val="30"/>
          <w:lang w:val="vi-VN"/>
        </w:rPr>
      </w:r>
      <w:r>
        <w:rPr>
          <w:rStyle w:val="1050"/>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CAO SU QUỐC VIỆT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275/2026/1051/VFI-HĐTĐ.17.A</w:t>
      </w:r>
      <w:r>
        <w:rPr>
          <w:spacing w:val="-4"/>
          <w:lang w:val="vi-VN"/>
        </w:rPr>
        <w:t xml:space="preserve"> ký ngày </w:t>
      </w:r>
      <w:r>
        <w:rPr>
          <w:color w:val="000000" w:themeColor="text1"/>
          <w:spacing w:val="-4"/>
        </w:rPr>
        <w:t xml:space="preserve">07 tháng 07 năm 2026</w:t>
      </w:r>
      <w:r>
        <w:rPr>
          <w:spacing w:val="-4"/>
          <w:lang w:val="vi-VN"/>
        </w:rPr>
        <w:t xml:space="preserve"> </w:t>
      </w:r>
      <w:r>
        <w:rPr>
          <w:spacing w:val="-4"/>
          <w:lang w:val="vi-VN"/>
        </w:rPr>
        <w:t xml:space="preserve">giữa </w:t>
      </w:r>
      <w:r>
        <w:rPr>
          <w:color w:val="000000"/>
        </w:rPr>
        <w:t xml:space="preserve">Công ty TNHH Cao su Quốc Việt</w:t>
      </w:r>
      <w:r>
        <w:rPr>
          <w:color w:val="000000" w:themeColor="text1"/>
          <w:spacing w:val="-4"/>
        </w:rPr>
        <w:t xml:space="preserve"> và </w:t>
      </w:r>
      <w:r>
        <w:rPr>
          <w:rFonts w:ascii="Times New Roman" w:hAnsi="Times New Roman" w:eastAsia="Times New Roman" w:cs="Times New Roman"/>
          <w:b w:val="0"/>
          <w:bCs w:val="0"/>
          <w:color w:val="000000"/>
          <w:sz w:val="24"/>
        </w:rPr>
        <w:t xml:space="preserve">Ngân hàng Thương mại Cổ phần Sài Gòn - Hà Nội</w:t>
      </w:r>
      <w:r>
        <w:rPr>
          <w:b w:val="0"/>
          <w:bCs w:val="0"/>
          <w:color w:val="000000" w:themeColor="text1"/>
          <w:spacing w:val="-4"/>
        </w:rPr>
        <w:t xml:space="preserve"> - CN Bình Phước</w:t>
      </w:r>
      <w:r>
        <w:rPr>
          <w:b w:val="0"/>
          <w:bCs w:val="0"/>
        </w:rPr>
        <w:t xml:space="preserve"> </w:t>
      </w:r>
      <w:r>
        <w:rPr>
          <w:b w:val="0"/>
          <w:bCs w:val="0"/>
          <w:spacing w:val="-6"/>
        </w:rPr>
        <w:t xml:space="preserve">v</w:t>
      </w:r>
      <w:r>
        <w:rPr>
          <w:b w:val="0"/>
          <w:bCs w:val="0"/>
          <w:spacing w:val="-6"/>
        </w:rPr>
        <w:t xml:space="preserve">ới</w:t>
      </w:r>
      <w:r>
        <w:rPr>
          <w:b w:val="0"/>
          <w:bCs w:val="0"/>
          <w:spacing w:val="-6"/>
        </w:rPr>
        <w:t xml:space="preserve"> </w:t>
      </w:r>
      <w:r>
        <w:rPr>
          <w:b w:val="0"/>
          <w:bCs w:val="0"/>
          <w:color w:val="000000" w:themeColor="text1"/>
          <w:spacing w:val="-4"/>
          <w:lang w:val="vi-VN"/>
        </w:rPr>
        <w:t xml:space="preserve">Công ty Cổ phần Thẩm địn</w:t>
      </w:r>
      <w:r>
        <w:rPr>
          <w:color w:val="000000" w:themeColor="text1"/>
          <w:spacing w:val="-4"/>
          <w:lang w:val="vi-VN"/>
        </w:rPr>
        <w:t xml:space="preserve">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275/2026/1051/VFI-BC.17.A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4983" w:type="pct"/>
        <w:tblBorders/>
        <w:tblLayout w:type="fixed"/>
        <w:tblLook w:val="04A0" w:firstRow="1" w:lastRow="0" w:firstColumn="1" w:lastColumn="0" w:noHBand="0" w:noVBand="1"/>
      </w:tblPr>
      <w:tblGrid>
        <w:gridCol w:w="1951"/>
        <w:gridCol w:w="492"/>
        <w:gridCol w:w="7445"/>
      </w:tblGrid>
      <w:tr>
        <w:trPr>
          <w:trHeight w:val="20"/>
        </w:trPr>
        <w:tc>
          <w:tcPr>
            <w:shd w:val="clear" w:color="auto" w:fill="auto"/>
            <w:tcBorders/>
            <w:tcW w:w="1951"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9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445" w:type="dxa"/>
            <w:vAlign w:val="center"/>
            <w:textDirection w:val="lrTb"/>
            <w:noWrap w:val="false"/>
          </w:tcPr>
          <w:p>
            <w:pPr>
              <w:pBdr/>
              <w:spacing/>
              <w:ind/>
              <w:rPr/>
            </w:pPr>
            <w:r>
              <w:rPr>
                <w:b/>
                <w:bCs/>
              </w:rPr>
              <w:t xml:space="preserve">CÔNG TY TNHH CAO SU QUỐC VIỆT</w:t>
            </w:r>
            <w:r/>
          </w:p>
        </w:tc>
      </w:tr>
      <w:tr>
        <w:trPr>
          <w:trHeight w:val="20"/>
        </w:trPr>
        <w:tc>
          <w:tcPr>
            <w:shd w:val="clear" w:color="auto" w:fill="auto"/>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64"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4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74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b/>
                <w:color w:val="000000"/>
                <w:sz w:val="24"/>
              </w:rPr>
              <w:t xml:space="preserve">CHEON JU HWAN</w:t>
            </w:r>
            <w:r/>
          </w:p>
        </w:tc>
      </w:tr>
      <w:tr>
        <w:trPr>
          <w:trHeight w:val="20"/>
        </w:trPr>
        <w:tc>
          <w:tcPr>
            <w:shd w:val="clear" w:color="auto" w:fill="auto"/>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4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74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b/>
                <w:color w:val="000000"/>
                <w:sz w:val="24"/>
              </w:rPr>
              <w:t xml:space="preserve">Tổng Giám đốc</w:t>
            </w:r>
            <w:r/>
          </w:p>
        </w:tc>
      </w:tr>
      <w:tr>
        <w:trPr>
          <w:trHeight w:val="20"/>
        </w:trPr>
        <w:tc>
          <w:tcPr>
            <w:shd w:val="clear" w:color="auto" w:fill="auto"/>
            <w:tcBorders/>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Địa chỉ trụ sở</w:t>
            </w:r>
            <w:r/>
          </w:p>
        </w:tc>
        <w:tc>
          <w:tcPr>
            <w:shd w:val="clear" w:color="auto" w:fill="auto"/>
            <w:tcBorders/>
            <w:tcW w:w="49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74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Đội 7, Ấp Đồng Tiến 1, Xã Đồng Tâm, Thành phố Đồng Nai, Việt Nam</w:t>
            </w:r>
            <w:r/>
          </w:p>
        </w:tc>
      </w:tr>
      <w:tr>
        <w:trPr>
          <w:trHeight w:val="20"/>
        </w:trPr>
        <w:tc>
          <w:tcPr>
            <w:shd w:val="clear" w:color="ffffff" w:fill="ffffff"/>
            <w:tcBorders/>
            <w:tcW w:w="19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ffffff" w:fill="ffffff"/>
            <w:tcBorders/>
            <w:tcW w:w="49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74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3801096482</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10001" w:type="dxa"/>
        <w:tblBorders/>
        <w:tblLayout w:type="fixed"/>
        <w:tblLook w:val="04A0" w:firstRow="1" w:lastRow="0" w:firstColumn="1" w:lastColumn="0" w:noHBand="0" w:noVBand="1"/>
      </w:tblPr>
      <w:tblGrid>
        <w:gridCol w:w="2092"/>
        <w:gridCol w:w="289"/>
        <w:gridCol w:w="7620"/>
      </w:tblGrid>
      <w:tr>
        <w:trPr>
          <w:trHeight w:val="20"/>
        </w:trPr>
        <w:tc>
          <w:tcPr>
            <w:tcBorders/>
            <w:tcW w:w="2092"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92"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92"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20"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92"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92"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092"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092"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0"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92"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0" w:type="dxa"/>
            <w:vAlign w:val="center"/>
            <w:textDirection w:val="lrTb"/>
            <w:noWrap w:val="false"/>
          </w:tcPr>
          <w:p>
            <w:pPr>
              <w:pBdr/>
              <w:spacing w:after="40" w:before="40" w:line="276" w:lineRule="auto"/>
              <w:ind/>
              <w:jc w:val="both"/>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bCs/>
        </w:rPr>
      </w:r>
      <w:r>
        <w:rPr>
          <w:color w:val="000000" w:themeColor="text1"/>
        </w:rPr>
      </w:r>
    </w:p>
    <w:p>
      <w:pPr>
        <w:pStyle w:val="1052"/>
        <w:numPr>
          <w:ilvl w:val="0"/>
          <w:numId w:val="40"/>
        </w:numPr>
        <w:pBdr/>
        <w:spacing w:after="120" w:before="120" w:line="312" w:lineRule="auto"/>
        <w:ind w:right="0" w:hanging="283" w:left="283"/>
        <w:jc w:val="both"/>
        <w:rPr>
          <w:color w:val="000000" w:themeColor="text1"/>
        </w:rPr>
      </w:pPr>
      <w:r>
        <w:rPr>
          <w:color w:val="000000" w:themeColor="text1"/>
        </w:rPr>
      </w:r>
      <w:r>
        <w:rPr>
          <w:b/>
          <w:bCs/>
          <w:color w:val="000000" w:themeColor="text1"/>
        </w:rPr>
        <w:t xml:space="preserve">Tài sản số 01:</w:t>
      </w:r>
      <w:r>
        <w:rPr>
          <w:color w:val="000000" w:themeColor="text1"/>
        </w:rPr>
        <w:t xml:space="preserve"> Quyền sử dụng đất thuê trả tiền một lần có thời hạn đến ngày 31/12/2065 tại thửa đất số 555, tờ bản đồ số 23 có địa chỉ: </w:t>
      </w:r>
      <w:r>
        <w:rPr>
          <w:color w:val="000000" w:themeColor="text1"/>
        </w:rPr>
        <w:t xml:space="preserve">Xã Đồng Tiến, huyện Đồng Phú, tỉnh Bình Phước (nay là xã Đồng Tâm, thành phố Đồng Nai) theo Giấy chứng nhận quyền sử dụng đất quyền sở hữu nhà ở và tài sản khác gắn liền với đất số BX 189979 có số vào sổ cấp GCN: CT 06399 do UBND tỉnh Bình Phước cấp ngày 2</w:t>
      </w:r>
      <w:r>
        <w:rPr>
          <w:color w:val="000000" w:themeColor="text1"/>
        </w:rPr>
        <w:t xml:space="preserve">1/03/2016; Chủ sử dụng đất là Công ty TNHH Cao su Quốc Việt.</w:t>
      </w:r>
      <w:r>
        <w:rPr>
          <w:b/>
          <w:bCs/>
        </w:rPr>
      </w:r>
      <w:r>
        <w:rPr>
          <w:color w:val="000000" w:themeColor="text1"/>
        </w:rPr>
      </w:r>
    </w:p>
    <w:p>
      <w:pPr>
        <w:pStyle w:val="1052"/>
        <w:numPr>
          <w:ilvl w:val="0"/>
          <w:numId w:val="40"/>
        </w:numPr>
        <w:pBdr/>
        <w:spacing w:after="120" w:before="120" w:line="312" w:lineRule="auto"/>
        <w:ind w:right="0" w:hanging="283" w:left="283"/>
        <w:jc w:val="both"/>
        <w:rPr>
          <w:color w:val="000000" w:themeColor="text1"/>
        </w:rPr>
      </w:pPr>
      <w:r>
        <w:rPr>
          <w:b/>
          <w:bCs/>
          <w:color w:val="000000" w:themeColor="text1"/>
        </w:rPr>
        <w:t xml:space="preserve">Tài sản số 02:</w:t>
      </w:r>
      <w:r>
        <w:rPr>
          <w:color w:val="000000" w:themeColor="text1"/>
        </w:rPr>
        <w:t xml:space="preserve"> Quyền sử dụng đất thuê trả tiền một lần có thời hạn đến ngày 31/12/2065 tại thửa đất số 554, tờ bản đồ số 23 có địa chỉ: Xã Đồng Tiến, huyện Đồng Phú, tỉnh Bình Phước (nay là xã </w:t>
      </w:r>
      <w:r>
        <w:rPr>
          <w:color w:val="000000" w:themeColor="text1"/>
        </w:rPr>
        <w:t xml:space="preserve">Đồng Tâm, thành phố Đồng Nai) theo Giấy chứng nhận quyền sử dụng đất quyền sở hữu nhà ở và tài sản khác gắn liền với đất số BX 189978 có số vào sổ cấp GCN: CT 06400 do UBND tỉnh Bình Phước cấp ngày 21/03/2016; Chủ sử dụng đất là Công ty TNHH Cao su Quốc Vi</w:t>
      </w:r>
      <w:r>
        <w:rPr>
          <w:color w:val="000000" w:themeColor="text1"/>
        </w:rPr>
        <w:t xml:space="preserve">ệt. </w:t>
      </w:r>
      <w:r>
        <w:rPr>
          <w:b/>
          <w:bCs/>
        </w:rPr>
      </w:r>
      <w:r>
        <w:rPr>
          <w:color w:val="000000" w:themeColor="text1"/>
        </w:rPr>
      </w:r>
    </w:p>
    <w:p>
      <w:pPr>
        <w:pStyle w:val="1052"/>
        <w:numPr>
          <w:ilvl w:val="0"/>
          <w:numId w:val="40"/>
        </w:numPr>
        <w:pBdr/>
        <w:spacing w:after="120" w:before="120" w:line="312" w:lineRule="auto"/>
        <w:ind w:right="0" w:hanging="283" w:left="283"/>
        <w:jc w:val="both"/>
        <w:rPr>
          <w:b/>
          <w:bCs/>
        </w:rPr>
      </w:pPr>
      <w:r>
        <w:rPr>
          <w:b/>
          <w:bCs/>
          <w:color w:val="000000" w:themeColor="text1"/>
        </w:rPr>
        <w:t xml:space="preserve">Tài sản số 03:</w:t>
      </w:r>
      <w:r>
        <w:rPr>
          <w:color w:val="000000" w:themeColor="text1"/>
        </w:rPr>
        <w:t xml:space="preserve"> Quyền sử dụng đất thuê trả tiền một lần có thời hạn đến ngày 26/01/2061 và tài sản gắn liền với đất tại thửa đất số 63, tờ bản đồ số 24 có địa chỉ: Ấp 1, xã Đồng Tiến, huyện Đồng Phú, tỉnh Bình Phước (nay là xã Đồng Tâm, thành phố Đồng N</w:t>
      </w:r>
      <w:r>
        <w:rPr>
          <w:color w:val="000000" w:themeColor="text1"/>
        </w:rPr>
        <w:t xml:space="preserve">ai) theo Giấy chứng nhận quyền sử dụng đất quyền sở hữu nhà ở và tài sản khác gắn liền với đất số BN 971526 có số vào sổ cấp GCN: CT 05916 do Sở Tài nguyên và Môi trường tỉnh Bình Phước cấp ngày 20/05/2015; Chủ sử dụng đất là Công ty TNHH Cao su Quốc Việt.</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Xác định giá trị tài sản để tư vấn cho khách hàng làm cơ sở Để cấp tín dụng tại Ngân hàng TMCP Sài Gòn – Hà Nội – Chi nhánh Bình Phước theo quy định của pháp luật hiện hành.</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rPr>
          <w:highlight w:val="none"/>
          <w:lang w:val="vi-VN"/>
        </w:rPr>
      </w:r>
    </w:p>
    <w:p>
      <w:pPr>
        <w:pBdr/>
        <w:spacing w:after="120" w:before="120" w:line="312" w:lineRule="auto"/>
        <w:ind/>
        <w:jc w:val="both"/>
        <w:rPr/>
      </w:pPr>
      <w:r/>
      <w:r/>
    </w:p>
    <w:p>
      <w:pPr>
        <w:pBdr/>
        <w:spacing w:after="120" w:before="120" w:line="312" w:lineRule="auto"/>
        <w:ind/>
        <w:jc w:val="both"/>
        <w:rPr/>
      </w:pPr>
      <w:r/>
      <w:r/>
    </w:p>
    <w:p>
      <w:pPr>
        <w:pBdr/>
        <w:spacing w:after="120" w:before="120" w:line="312" w:lineRule="auto"/>
        <w:ind/>
        <w:jc w:val="both"/>
        <w:rPr/>
      </w:pPr>
      <w:r/>
      <w:r/>
    </w:p>
    <w:p>
      <w:pPr>
        <w:pBdr/>
        <w:spacing w:after="120" w:before="120" w:line="312" w:lineRule="auto"/>
        <w:ind/>
        <w:jc w:val="both"/>
        <w:rPr/>
      </w:pPr>
      <w:r/>
      <w:r/>
    </w:p>
    <w:p>
      <w:pPr>
        <w:pBdr/>
        <w:spacing w:after="120" w:before="120" w:line="312" w:lineRule="auto"/>
        <w:ind/>
        <w:jc w:val="both"/>
        <w:rPr/>
      </w:pPr>
      <w:r/>
      <w:r/>
    </w:p>
    <w:p>
      <w:pPr>
        <w:pBdr/>
        <w:spacing w:after="120" w:before="120" w:line="312" w:lineRule="auto"/>
        <w:ind/>
        <w:jc w:val="both"/>
        <w:rPr/>
      </w:pPr>
      <w:r/>
      <w:r/>
    </w:p>
    <w:p>
      <w:pPr>
        <w:pBdr/>
        <w:spacing w:after="120" w:before="120" w:line="312" w:lineRule="auto"/>
        <w:ind/>
        <w:jc w:val="both"/>
        <w:rPr/>
      </w:pPr>
      <w:r/>
      <w:r/>
    </w:p>
    <w:p>
      <w:pPr>
        <w:pBdr/>
        <w:spacing w:after="120" w:before="120" w:line="312" w:lineRule="auto"/>
        <w:ind/>
        <w:jc w:val="both"/>
        <w:rPr/>
      </w:pPr>
      <w:r/>
      <w:r/>
    </w:p>
    <w:p>
      <w:pPr>
        <w:pBdr/>
        <w:spacing w:after="120" w:before="120" w:line="312" w:lineRule="auto"/>
        <w:ind/>
        <w:jc w:val="both"/>
        <w:rPr/>
      </w:pPr>
      <w:r>
        <w:rPr>
          <w:highlight w:val="none"/>
          <w:lang w:val="vi-VN"/>
        </w:rPr>
      </w:r>
      <w:r>
        <w:rPr>
          <w:highlight w:val="none"/>
          <w:lang w:val="vi-VN"/>
        </w:rPr>
      </w:r>
      <w:r/>
    </w:p>
    <w:tbl>
      <w:tblPr>
        <w:tblW w:w="489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77"/>
        <w:gridCol w:w="2689"/>
        <w:gridCol w:w="2096"/>
      </w:tblGrid>
      <w:tr>
        <w:trPr>
          <w:trHeight w:val="20"/>
        </w:trPr>
        <w:tc>
          <w:tcPr>
            <w:shd w:val="clear" w:color="000000" w:fill="ffffff"/>
            <w:tcBorders/>
            <w:tcW w:w="675" w:type="dxa"/>
            <w:vAlign w:val="center"/>
            <w:textDirection w:val="lrTb"/>
            <w:noWrap w:val="false"/>
          </w:tcPr>
          <w:p>
            <w:pPr>
              <w:pBdr/>
              <w:spacing w:after="40" w:before="40" w:line="283" w:lineRule="atLeast"/>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3" w:lineRule="atLeast"/>
              <w:ind/>
              <w:jc w:val="center"/>
              <w:rPr>
                <w:b/>
                <w:bCs/>
              </w:rPr>
            </w:pPr>
            <w:r>
              <w:rPr>
                <w:b/>
                <w:bCs/>
              </w:rPr>
              <w:t xml:space="preserve">Tài sản</w:t>
            </w:r>
            <w:r>
              <w:rPr>
                <w:b/>
                <w:bCs/>
              </w:rPr>
            </w:r>
            <w:r>
              <w:rPr>
                <w:b/>
                <w:bCs/>
              </w:rPr>
            </w:r>
          </w:p>
        </w:tc>
        <w:tc>
          <w:tcPr>
            <w:shd w:val="clear" w:color="000000" w:fill="ffffff"/>
            <w:tcBorders/>
            <w:tcW w:w="1877" w:type="dxa"/>
            <w:vAlign w:val="center"/>
            <w:textDirection w:val="lrTb"/>
            <w:noWrap w:val="false"/>
          </w:tcPr>
          <w:p>
            <w:pPr>
              <w:pBdr/>
              <w:spacing w:after="40" w:before="40" w:line="283" w:lineRule="atLeast"/>
              <w:ind/>
              <w:jc w:val="center"/>
              <w:rPr>
                <w:b/>
                <w:bCs/>
              </w:rPr>
            </w:pPr>
            <w:r>
              <w:rPr>
                <w:b/>
                <w:bCs/>
              </w:rPr>
              <w:t xml:space="preserve">Diện tích (m²)</w:t>
            </w:r>
            <w:r>
              <w:rPr>
                <w:b/>
                <w:bCs/>
              </w:rPr>
            </w:r>
            <w:r>
              <w:rPr>
                <w:b/>
                <w:bCs/>
              </w:rPr>
            </w:r>
          </w:p>
        </w:tc>
        <w:tc>
          <w:tcPr>
            <w:shd w:val="clear" w:color="000000" w:fill="ffffff"/>
            <w:tcBorders/>
            <w:tcW w:w="2689" w:type="dxa"/>
            <w:vAlign w:val="center"/>
            <w:textDirection w:val="lrTb"/>
            <w:noWrap w:val="false"/>
          </w:tcPr>
          <w:p>
            <w:pPr>
              <w:pBdr/>
              <w:spacing w:after="40" w:before="40" w:line="283" w:lineRule="atLeast"/>
              <w:ind/>
              <w:jc w:val="center"/>
              <w:rPr>
                <w:b/>
                <w:bCs/>
              </w:rPr>
            </w:pPr>
            <w:r>
              <w:rPr>
                <w:b/>
                <w:bCs/>
              </w:rPr>
              <w:t xml:space="preserve">Đơn giá (đồng/m²)</w:t>
            </w:r>
            <w:r>
              <w:rPr>
                <w:b/>
                <w:bCs/>
              </w:rPr>
            </w:r>
            <w:r>
              <w:rPr>
                <w:b/>
                <w:bCs/>
              </w:rPr>
            </w:r>
          </w:p>
        </w:tc>
        <w:tc>
          <w:tcPr>
            <w:shd w:val="clear" w:color="000000" w:fill="ffffff"/>
            <w:tcBorders/>
            <w:tcW w:w="2096" w:type="dxa"/>
            <w:vAlign w:val="center"/>
            <w:textDirection w:val="lrTb"/>
            <w:noWrap w:val="false"/>
          </w:tcPr>
          <w:p>
            <w:pPr>
              <w:pBdr/>
              <w:spacing w:after="40" w:before="40" w:line="283" w:lineRule="atLeast"/>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3" w:lineRule="atLeast"/>
              <w:ind/>
              <w:jc w:val="center"/>
              <w:rPr>
                <w:b/>
                <w:bCs/>
              </w:rPr>
            </w:pPr>
            <w:r>
              <w:rPr>
                <w:b/>
                <w:bCs/>
              </w:rPr>
              <w:t xml:space="preserve">1 </w:t>
            </w:r>
            <w:r>
              <w:rPr>
                <w:b/>
                <w:bCs/>
              </w:rPr>
            </w:r>
            <w:r>
              <w:rPr>
                <w:b/>
                <w:bCs/>
              </w:rPr>
            </w:r>
          </w:p>
        </w:tc>
        <w:tc>
          <w:tcPr>
            <w:gridSpan w:val="3"/>
            <w:shd w:val="clear" w:color="000000" w:fill="ffffff"/>
            <w:tcBorders/>
            <w:tcW w:w="6941" w:type="dxa"/>
            <w:vAlign w:val="center"/>
            <w:textDirection w:val="lrTb"/>
            <w:noWrap w:val="false"/>
          </w:tcPr>
          <w:p>
            <w:pPr>
              <w:pBdr/>
              <w:spacing w:after="40" w:before="40" w:line="283" w:lineRule="atLeast"/>
              <w:ind/>
              <w:jc w:val="both"/>
              <w:rPr>
                <w:b/>
                <w:bCs/>
              </w:rPr>
            </w:pPr>
            <w:r>
              <w:rPr>
                <w:b/>
                <w:bCs/>
                <w:color w:val="000000"/>
              </w:rPr>
              <w:t xml:space="preserve">Tài sản số 01: Quyền sử dụng đất thuê trả tiền một lần có thời hạn đến ngày 31/12/2065 tại thửa đất số 555, tờ bản đồ số 23 có địa chỉ: </w:t>
            </w:r>
            <w:r>
              <w:rPr>
                <w:b/>
                <w:bCs/>
                <w:color w:val="000000"/>
              </w:rPr>
              <w:t xml:space="preserve">Xã Đồng Tiến, huyện Đồng Phú, tỉnh Bình Phước (nay là xã Đồng Tâm, thành phố Đồng Nai) theo Giấy chứng nhận quyền sử dụng đất quyền sở hữu nhà ở và tài sản khác gắn liền với đất số BX 189979 có số vào sổ cấp GCN: CT 06399 do UBND tỉnh Bình Phước cấp ngày 2</w:t>
            </w:r>
            <w:r>
              <w:rPr>
                <w:b/>
                <w:bCs/>
                <w:color w:val="000000"/>
              </w:rPr>
              <w:t xml:space="preserve">1/03/2016; Chủ sử dụng đất là Công ty TNHH Cao su Quốc Việt.</w:t>
            </w:r>
            <w:r>
              <w:rPr>
                <w:b/>
                <w:bCs/>
              </w:rPr>
            </w:r>
            <w:r>
              <w:rPr>
                <w:b/>
                <w:bCs/>
              </w:rPr>
            </w:r>
          </w:p>
        </w:tc>
        <w:tc>
          <w:tcPr>
            <w:shd w:val="clear" w:color="000000" w:fill="ffffff"/>
            <w:tcBorders/>
            <w:tcW w:w="2096" w:type="dxa"/>
            <w:vAlign w:val="center"/>
            <w:textDirection w:val="lrTb"/>
            <w:noWrap w:val="false"/>
          </w:tcPr>
          <w:p>
            <w:pPr>
              <w:pBdr/>
              <w:spacing w:after="40" w:before="40" w:line="283" w:lineRule="atLeast"/>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3" w:lineRule="atLeast"/>
              <w:ind/>
              <w:jc w:val="center"/>
              <w:rPr/>
            </w:pPr>
            <w:r>
              <w:rPr>
                <w:b/>
                <w:bCs/>
              </w:rPr>
              <w:t xml:space="preserve">-</w:t>
            </w:r>
            <w:r/>
          </w:p>
        </w:tc>
        <w:tc>
          <w:tcPr>
            <w:shd w:val="clear" w:color="000000" w:fill="ffffff"/>
            <w:tcBorders/>
            <w:tcW w:w="2376" w:type="dxa"/>
            <w:vAlign w:val="center"/>
            <w:textDirection w:val="lrTb"/>
            <w:noWrap w:val="false"/>
          </w:tcPr>
          <w:p>
            <w:pPr>
              <w:pBdr/>
              <w:spacing w:after="40" w:before="40" w:line="283" w:lineRule="atLeast"/>
              <w:ind/>
              <w:jc w:val="both"/>
              <w:rPr>
                <w:b w:val="0"/>
                <w:bCs w:val="0"/>
              </w:rPr>
            </w:pPr>
            <w:r>
              <w:rPr>
                <w:b w:val="0"/>
                <w:bCs w:val="0"/>
              </w:rPr>
              <w:t xml:space="preserve">Đất cơ sở sản xuất phi nông nghiệp</w:t>
            </w:r>
            <w:r>
              <w:rPr>
                <w:b w:val="0"/>
                <w:bCs w:val="0"/>
              </w:rPr>
            </w:r>
            <w:r>
              <w:rPr>
                <w:b w:val="0"/>
                <w:bCs w:val="0"/>
              </w:rPr>
            </w:r>
          </w:p>
        </w:tc>
        <w:tc>
          <w:tcPr>
            <w:tcBorders/>
            <w:tcW w:w="187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4.868,1</w:t>
            </w:r>
            <w:r/>
          </w:p>
        </w:tc>
        <w:tc>
          <w:tcPr>
            <w:shd w:val="clear" w:color="000000" w:fill="ffffff"/>
            <w:tcBorders/>
            <w:tcW w:w="26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1.600.000 </w:t>
            </w:r>
            <w:r/>
          </w:p>
        </w:tc>
        <w:tc>
          <w:tcPr>
            <w:shd w:val="clear" w:color="000000" w:fill="ffffff"/>
            <w:tcBorders/>
            <w:tcW w:w="209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7.788.960.000 </w:t>
            </w:r>
            <w:r/>
          </w:p>
        </w:tc>
      </w:tr>
      <w:tr>
        <w:trPr>
          <w:trHeight w:val="20"/>
        </w:trPr>
        <w:tc>
          <w:tcPr>
            <w:shd w:val="clear" w:color="000000" w:fill="ffffff"/>
            <w:tcBorders/>
            <w:tcW w:w="675" w:type="dxa"/>
            <w:vAlign w:val="center"/>
            <w:vMerge w:val="restart"/>
            <w:textDirection w:val="lrTb"/>
            <w:noWrap w:val="false"/>
          </w:tcPr>
          <w:p>
            <w:pPr>
              <w:pBdr/>
              <w:spacing w:after="40" w:before="40" w:line="283" w:lineRule="atLeast"/>
              <w:ind/>
              <w:jc w:val="center"/>
              <w:rPr>
                <w:b/>
                <w:bCs/>
              </w:rPr>
            </w:pPr>
            <w:r>
              <w:rPr>
                <w:b/>
                <w:bCs/>
              </w:rPr>
              <w:t xml:space="preserve">2</w:t>
            </w:r>
            <w:r>
              <w:rPr>
                <w:b/>
                <w:bCs/>
              </w:rPr>
            </w:r>
            <w:r>
              <w:rPr>
                <w:b/>
                <w:bCs/>
              </w:rPr>
            </w:r>
          </w:p>
        </w:tc>
        <w:tc>
          <w:tcPr>
            <w:gridSpan w:val="3"/>
            <w:shd w:val="clear" w:color="000000" w:fill="ffffff"/>
            <w:tcBorders/>
            <w:tcW w:w="6941" w:type="dxa"/>
            <w:vAlign w:val="center"/>
            <w:vMerge w:val="restart"/>
            <w:textDirection w:val="lrTb"/>
            <w:noWrap w:val="false"/>
          </w:tcPr>
          <w:p>
            <w:pPr>
              <w:pBdr/>
              <w:spacing w:after="40" w:before="40" w:line="283" w:lineRule="atLeast"/>
              <w:ind/>
              <w:jc w:val="both"/>
              <w:rPr>
                <w:b/>
                <w:bCs/>
                <w:color w:val="000000" w:themeColor="text1"/>
              </w:rPr>
            </w:pPr>
            <w:r>
              <w:rPr>
                <w:b/>
                <w:bCs/>
                <w:color w:val="000000" w:themeColor="text1"/>
              </w:rPr>
            </w:r>
            <w:r>
              <w:rPr>
                <w:b/>
                <w:bCs/>
                <w:color w:val="000000"/>
              </w:rPr>
              <w:t xml:space="preserve">Tài sản số 02: Quyền sử dụng đất thuê trả tiền một lần có thời hạn đến ngày 31/12/2065 tại thửa đất số 554, tờ bản đồ số 23 có địa chỉ: Xã Đồng Tiến, huyện Đồng Phú, tỉnh Bình Phước (nay là xã </w:t>
            </w:r>
            <w:r>
              <w:rPr>
                <w:b/>
                <w:bCs/>
                <w:color w:val="000000"/>
              </w:rPr>
              <w:t xml:space="preserve">Đồng Tâm, thành phố Đồng Nai) theo Giấy chứng nhận quyền sử dụng đất quyền sở hữu nhà ở và tài sản khác gắn liền với đất số BX 189978 có số vào sổ cấp GCN: CT 06400 do UBND tỉnh Bình Phước cấp ngày 21/03/2016; Chủ sử dụng đất là Công ty TNHH Cao su Quốc Vi</w:t>
            </w:r>
            <w:r>
              <w:rPr>
                <w:b/>
                <w:bCs/>
                <w:color w:val="000000"/>
              </w:rPr>
              <w:t xml:space="preserve">ệt.</w:t>
            </w:r>
            <w:r>
              <w:rPr>
                <w:b/>
                <w:bCs/>
                <w:color w:val="000000" w:themeColor="text1"/>
              </w:rPr>
            </w:r>
            <w:r>
              <w:rPr>
                <w:b/>
                <w:bCs/>
                <w:color w:val="000000" w:themeColor="text1"/>
              </w:rPr>
            </w:r>
          </w:p>
        </w:tc>
        <w:tc>
          <w:tcPr>
            <w:shd w:val="clear" w:color="000000" w:fill="ffffff"/>
            <w:tcBorders/>
            <w:tcW w:w="2096" w:type="dxa"/>
            <w:vAlign w:val="center"/>
            <w:vMerge w:val="restart"/>
            <w:textDirection w:val="lrTb"/>
            <w:noWrap w:val="false"/>
          </w:tcPr>
          <w:p>
            <w:pPr>
              <w:pBdr/>
              <w:spacing w:after="40" w:before="40" w:line="283" w:lineRule="atLeast"/>
              <w:ind/>
              <w:jc w:val="right"/>
              <w:rPr>
                <w:color w:val="000000" w:themeColor="text1"/>
              </w:rPr>
            </w:pPr>
            <w:r>
              <w:rPr>
                <w:color w:val="000000" w:themeColor="text1"/>
              </w:rPr>
            </w:r>
            <w:r>
              <w:rPr>
                <w:color w:val="000000" w:themeColor="text1"/>
              </w:rPr>
            </w:r>
            <w:r>
              <w:rPr>
                <w:color w:val="000000" w:themeColor="text1"/>
              </w:rPr>
            </w:r>
          </w:p>
        </w:tc>
      </w:tr>
      <w:tr>
        <w:trPr>
          <w:trHeight w:val="20"/>
        </w:trPr>
        <w:tc>
          <w:tcPr>
            <w:shd w:val="clear" w:color="000000" w:fill="ffffff"/>
            <w:tcBorders/>
            <w:tcW w:w="675" w:type="dxa"/>
            <w:vAlign w:val="center"/>
            <w:vMerge w:val="restart"/>
            <w:textDirection w:val="lrTb"/>
            <w:noWrap w:val="false"/>
          </w:tcPr>
          <w:p>
            <w:pPr>
              <w:pBdr/>
              <w:spacing w:after="40" w:before="40" w:line="283" w:lineRule="atLeast"/>
              <w:ind/>
              <w:jc w:val="center"/>
              <w:rPr>
                <w:b/>
                <w:bCs/>
              </w:rPr>
            </w:pPr>
            <w:r>
              <w:rPr>
                <w:b/>
                <w:bCs/>
              </w:rPr>
              <w:t xml:space="preserve">-</w:t>
            </w:r>
            <w:r>
              <w:rPr>
                <w:b/>
                <w:bCs/>
              </w:rPr>
            </w:r>
            <w:r>
              <w:rPr>
                <w:b/>
                <w:bCs/>
              </w:rPr>
            </w:r>
          </w:p>
        </w:tc>
        <w:tc>
          <w:tcPr>
            <w:shd w:val="clear" w:color="000000" w:fill="ffffff"/>
            <w:tcBorders/>
            <w:tcW w:w="2376" w:type="dxa"/>
            <w:vAlign w:val="center"/>
            <w:vMerge w:val="restart"/>
            <w:textDirection w:val="lrTb"/>
            <w:noWrap w:val="false"/>
          </w:tcPr>
          <w:p>
            <w:pPr>
              <w:pBdr/>
              <w:spacing w:after="40" w:before="40" w:line="283" w:lineRule="atLeast"/>
              <w:ind/>
              <w:jc w:val="both"/>
              <w:rPr>
                <w:b w:val="0"/>
                <w:bCs w:val="0"/>
              </w:rPr>
            </w:pPr>
            <w:r>
              <w:rPr>
                <w:b w:val="0"/>
                <w:bCs w:val="0"/>
              </w:rPr>
              <w:t xml:space="preserve">Đất cơ sở sản xuất phi nông nghiệp</w:t>
            </w:r>
            <w:r>
              <w:rPr>
                <w:b w:val="0"/>
                <w:bCs w:val="0"/>
              </w:rPr>
            </w:r>
            <w:r>
              <w:rPr>
                <w:b w:val="0"/>
                <w:bCs w:val="0"/>
              </w:rPr>
            </w:r>
          </w:p>
        </w:tc>
        <w:tc>
          <w:tcPr>
            <w:tcBorders/>
            <w:tcW w:w="1877"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3.969,4</w:t>
            </w:r>
            <w:r/>
          </w:p>
        </w:tc>
        <w:tc>
          <w:tcPr>
            <w:shd w:val="clear" w:color="000000" w:fill="ffffff"/>
            <w:tcBorders/>
            <w:tcW w:w="2689"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1.600.000 </w:t>
            </w:r>
            <w:r/>
          </w:p>
        </w:tc>
        <w:tc>
          <w:tcPr>
            <w:shd w:val="clear" w:color="000000" w:fill="ffffff"/>
            <w:tcBorders/>
            <w:tcW w:w="2096"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6.351.040.000 </w:t>
            </w:r>
            <w:r/>
          </w:p>
        </w:tc>
      </w:tr>
      <w:tr>
        <w:trPr>
          <w:trHeight w:val="20"/>
        </w:trPr>
        <w:tc>
          <w:tcPr>
            <w:shd w:val="clear" w:color="000000" w:fill="ffffff"/>
            <w:tcBorders/>
            <w:tcW w:w="675" w:type="dxa"/>
            <w:vAlign w:val="center"/>
            <w:vMerge w:val="restart"/>
            <w:textDirection w:val="lrTb"/>
            <w:noWrap w:val="false"/>
          </w:tcPr>
          <w:p>
            <w:pPr>
              <w:pBdr/>
              <w:spacing w:after="40" w:before="40" w:line="283" w:lineRule="atLeast"/>
              <w:ind/>
              <w:jc w:val="center"/>
              <w:rPr>
                <w:b/>
                <w:bCs/>
              </w:rPr>
            </w:pPr>
            <w:r>
              <w:rPr>
                <w:b/>
                <w:bCs/>
              </w:rPr>
              <w:t xml:space="preserve">3</w:t>
            </w:r>
            <w:r>
              <w:rPr>
                <w:b/>
                <w:bCs/>
              </w:rPr>
            </w:r>
            <w:r>
              <w:rPr>
                <w:b/>
                <w:bCs/>
              </w:rPr>
            </w:r>
          </w:p>
        </w:tc>
        <w:tc>
          <w:tcPr>
            <w:gridSpan w:val="3"/>
            <w:shd w:val="clear" w:color="000000" w:fill="ffffff"/>
            <w:tcBorders/>
            <w:tcW w:w="6941" w:type="dxa"/>
            <w:vAlign w:val="center"/>
            <w:vMerge w:val="restart"/>
            <w:textDirection w:val="lrTb"/>
            <w:noWrap w:val="false"/>
          </w:tcPr>
          <w:p>
            <w:pPr>
              <w:pBdr/>
              <w:spacing w:after="40" w:before="40" w:line="283" w:lineRule="atLeast"/>
              <w:ind/>
              <w:jc w:val="both"/>
              <w:rPr>
                <w:b/>
                <w:bCs/>
                <w:color w:val="000000" w:themeColor="text1"/>
              </w:rPr>
            </w:pPr>
            <w:r>
              <w:rPr>
                <w:b/>
                <w:bCs/>
                <w:color w:val="000000" w:themeColor="text1"/>
              </w:rPr>
            </w:r>
            <w:r>
              <w:rPr>
                <w:b/>
                <w:bCs/>
                <w:color w:val="000000"/>
              </w:rPr>
              <w:t xml:space="preserve"> </w:t>
            </w:r>
            <w:r>
              <w:rPr>
                <w:b/>
                <w:bCs/>
                <w:color w:val="000000"/>
              </w:rPr>
              <w:t xml:space="preserve">Tài sản số 03: Quyền sử dụng đất thuê trả tiền một lần có thời hạn đến ngày 26/01/2061 và tài sản gắn liền với đất tại thửa đất số 63, tờ bản đồ số 24 có địa chỉ: Ấp 1, xã Đồng Tiến, huyện Đồng Phú, tỉnh Bình Phước (nay là xã Đồng Tâm, thành phố Đồng N</w:t>
            </w:r>
            <w:r>
              <w:rPr>
                <w:b/>
                <w:bCs/>
                <w:color w:val="000000"/>
              </w:rPr>
              <w:t xml:space="preserve">ai) theo Giấy chứng nhận quyền sử dụng đất quyền sở hữu nhà ở và tài sản khác gắn liền với đất số BN 971526 có số vào sổ cấp GCN: CT 05916 do Sở Tài nguyên và Môi trường tỉnh Bình Phước cấp ngày 20/05/2015; Chủ sử dụng đất là Công ty TNHH Cao su Quốc Việt.</w:t>
            </w:r>
            <w:r>
              <w:rPr>
                <w:b/>
                <w:bCs/>
                <w:color w:val="000000" w:themeColor="text1"/>
              </w:rPr>
            </w:r>
            <w:r>
              <w:rPr>
                <w:b/>
                <w:bCs/>
                <w:color w:val="000000" w:themeColor="text1"/>
              </w:rPr>
            </w:r>
          </w:p>
        </w:tc>
        <w:tc>
          <w:tcPr>
            <w:shd w:val="clear" w:color="000000" w:fill="ffffff"/>
            <w:tcBorders/>
            <w:tcW w:w="2096" w:type="dxa"/>
            <w:vAlign w:val="center"/>
            <w:vMerge w:val="restart"/>
            <w:textDirection w:val="lrTb"/>
            <w:noWrap w:val="false"/>
          </w:tcPr>
          <w:p>
            <w:pPr>
              <w:pBdr/>
              <w:spacing w:after="40" w:before="40" w:line="283" w:lineRule="atLeast"/>
              <w:ind/>
              <w:jc w:val="right"/>
              <w:rPr>
                <w:color w:val="000000" w:themeColor="text1"/>
              </w:rPr>
            </w:pPr>
            <w:r>
              <w:rPr>
                <w:color w:val="000000" w:themeColor="text1"/>
              </w:rPr>
            </w:r>
            <w:r>
              <w:rPr>
                <w:color w:val="000000" w:themeColor="text1"/>
              </w:rPr>
            </w:r>
            <w:r>
              <w:rPr>
                <w:color w:val="000000" w:themeColor="text1"/>
              </w:rPr>
            </w:r>
          </w:p>
        </w:tc>
      </w:tr>
      <w:tr>
        <w:trPr>
          <w:trHeight w:val="20"/>
        </w:trPr>
        <w:tc>
          <w:tcPr>
            <w:shd w:val="clear" w:color="000000" w:fill="ffffff"/>
            <w:tcBorders/>
            <w:tcW w:w="675" w:type="dxa"/>
            <w:vAlign w:val="center"/>
            <w:vMerge w:val="restart"/>
            <w:textDirection w:val="lrTb"/>
            <w:noWrap w:val="false"/>
          </w:tcPr>
          <w:p>
            <w:pPr>
              <w:pBdr/>
              <w:spacing w:after="40" w:before="40" w:line="283" w:lineRule="atLeast"/>
              <w:ind/>
              <w:jc w:val="center"/>
              <w:rPr>
                <w:b/>
                <w:bCs/>
              </w:rPr>
            </w:pPr>
            <w:r>
              <w:rPr>
                <w:b/>
                <w:bCs/>
              </w:rPr>
              <w:t xml:space="preserve">-</w:t>
            </w:r>
            <w:r>
              <w:rPr>
                <w:b/>
                <w:bCs/>
              </w:rPr>
            </w:r>
            <w:r>
              <w:rPr>
                <w:b/>
                <w:bCs/>
              </w:rPr>
            </w:r>
          </w:p>
        </w:tc>
        <w:tc>
          <w:tcPr>
            <w:shd w:val="clear" w:color="000000" w:fill="ffffff"/>
            <w:tcBorders/>
            <w:tcW w:w="2376" w:type="dxa"/>
            <w:vAlign w:val="center"/>
            <w:vMerge w:val="restart"/>
            <w:textDirection w:val="lrTb"/>
            <w:noWrap w:val="false"/>
          </w:tcPr>
          <w:p>
            <w:pPr>
              <w:pBdr/>
              <w:spacing w:after="40" w:before="40" w:line="283" w:lineRule="atLeast"/>
              <w:ind/>
              <w:jc w:val="both"/>
              <w:rPr>
                <w:b w:val="0"/>
                <w:bCs w:val="0"/>
              </w:rPr>
            </w:pPr>
            <w:r>
              <w:rPr>
                <w:b w:val="0"/>
                <w:bCs w:val="0"/>
              </w:rPr>
              <w:t xml:space="preserve">Đất cơ sở sản xuất phi nông nghiệp</w:t>
            </w:r>
            <w:r>
              <w:rPr>
                <w:b w:val="0"/>
                <w:bCs w:val="0"/>
              </w:rPr>
            </w:r>
            <w:r>
              <w:rPr>
                <w:b w:val="0"/>
                <w:bCs w:val="0"/>
              </w:rPr>
            </w:r>
          </w:p>
        </w:tc>
        <w:tc>
          <w:tcPr>
            <w:tcBorders/>
            <w:tcW w:w="1877" w:type="dxa"/>
            <w:vAlign w:val="center"/>
            <w:vMerge w:val="restart"/>
            <w:textDirection w:val="lrTb"/>
            <w:noWrap/>
          </w:tcPr>
          <w:p>
            <w:pPr>
              <w:pBdr/>
              <w:spacing w:after="40" w:before="40" w:line="283" w:lineRule="atLeast"/>
              <w:ind/>
              <w:jc w:val="center"/>
              <w:rPr>
                <w:color w:val="000000"/>
              </w:rPr>
            </w:pPr>
            <w:r>
              <w:rPr>
                <w:color w:val="000000" w:themeColor="text1"/>
              </w:rPr>
              <w:t xml:space="preserve">24.962</w:t>
            </w:r>
            <w:r>
              <w:rPr>
                <w:color w:val="000000"/>
              </w:rPr>
            </w:r>
            <w:r>
              <w:rPr>
                <w:color w:val="000000"/>
              </w:rPr>
            </w:r>
          </w:p>
        </w:tc>
        <w:tc>
          <w:tcPr>
            <w:shd w:val="clear" w:color="000000" w:fill="ffffff"/>
            <w:tcBorders/>
            <w:tcW w:w="2689" w:type="dxa"/>
            <w:vAlign w:val="center"/>
            <w:vMerge w:val="restart"/>
            <w:textDirection w:val="lrTb"/>
            <w:noWrap w:val="false"/>
          </w:tcPr>
          <w:p>
            <w:pPr>
              <w:pBdr/>
              <w:spacing w:after="40" w:before="40" w:line="283" w:lineRule="atLeast"/>
              <w:ind/>
              <w:jc w:val="center"/>
              <w:rPr/>
            </w:pPr>
            <w:r>
              <w:rPr>
                <w:color w:val="000000" w:themeColor="text1"/>
              </w:rPr>
              <w:t xml:space="preserve">1.600.000</w:t>
            </w:r>
            <w:r/>
          </w:p>
        </w:tc>
        <w:tc>
          <w:tcPr>
            <w:shd w:val="clear" w:color="000000" w:fill="ffffff"/>
            <w:tcBorders/>
            <w:tcW w:w="2096" w:type="dxa"/>
            <w:vAlign w:val="center"/>
            <w:vMerge w:val="restart"/>
            <w:textDirection w:val="lrTb"/>
            <w:noWrap w:val="false"/>
          </w:tcPr>
          <w:p>
            <w:pPr>
              <w:pBdr/>
              <w:spacing w:after="40" w:before="40" w:line="283" w:lineRule="atLeast"/>
              <w:ind/>
              <w:jc w:val="right"/>
              <w:rPr/>
            </w:pPr>
            <w:r>
              <w:rPr>
                <w:color w:val="000000" w:themeColor="text1"/>
              </w:rPr>
              <w:t xml:space="preserve">39.939.200.000</w:t>
            </w:r>
            <w:r/>
          </w:p>
        </w:tc>
      </w:tr>
      <w:tr>
        <w:trPr>
          <w:trHeight w:val="20"/>
        </w:trPr>
        <w:tc>
          <w:tcPr>
            <w:gridSpan w:val="4"/>
            <w:tcBorders/>
            <w:tcW w:w="7616" w:type="dxa"/>
            <w:vAlign w:val="center"/>
            <w:textDirection w:val="lrTb"/>
            <w:noWrap/>
          </w:tcPr>
          <w:p>
            <w:pPr>
              <w:pBdr/>
              <w:spacing w:after="40" w:before="40" w:line="283" w:lineRule="atLeast"/>
              <w:ind/>
              <w:jc w:val="center"/>
              <w:rPr>
                <w:b/>
                <w:bCs/>
                <w:color w:val="000000"/>
              </w:rPr>
            </w:pPr>
            <w:r>
              <w:rPr>
                <w:b/>
                <w:bCs/>
                <w:color w:val="000000"/>
              </w:rPr>
              <w:t xml:space="preserve">TỔNG CỘNG</w:t>
            </w:r>
            <w:r>
              <w:rPr>
                <w:b/>
                <w:bCs/>
                <w:color w:val="000000"/>
              </w:rPr>
            </w:r>
            <w:r>
              <w:rPr>
                <w:b/>
                <w:bCs/>
                <w:color w:val="000000"/>
              </w:rPr>
            </w:r>
          </w:p>
        </w:tc>
        <w:tc>
          <w:tcPr>
            <w:tcBorders/>
            <w:tcW w:w="209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      54.079.200.000 </w:t>
            </w:r>
            <w:r/>
          </w:p>
        </w:tc>
      </w:tr>
      <w:tr>
        <w:trPr>
          <w:trHeight w:val="20"/>
        </w:trPr>
        <w:tc>
          <w:tcPr>
            <w:gridSpan w:val="4"/>
            <w:tcBorders/>
            <w:tcW w:w="7616" w:type="dxa"/>
            <w:vAlign w:val="center"/>
            <w:textDirection w:val="lrTb"/>
            <w:noWrap/>
          </w:tcPr>
          <w:p>
            <w:pPr>
              <w:pBdr/>
              <w:spacing w:after="40" w:before="40" w:line="283" w:lineRule="atLeast"/>
              <w:ind/>
              <w:jc w:val="center"/>
              <w:rPr>
                <w:b/>
                <w:bCs/>
                <w:color w:val="000000"/>
              </w:rPr>
            </w:pPr>
            <w:r>
              <w:rPr>
                <w:b/>
                <w:bCs/>
                <w:color w:val="000000"/>
              </w:rPr>
              <w:t xml:space="preserve">LÀM TRÒN</w:t>
            </w:r>
            <w:r>
              <w:rPr>
                <w:b/>
                <w:bCs/>
                <w:color w:val="000000"/>
              </w:rPr>
            </w:r>
            <w:r>
              <w:rPr>
                <w:b/>
                <w:bCs/>
                <w:color w:val="000000"/>
              </w:rPr>
            </w:r>
          </w:p>
        </w:tc>
        <w:tc>
          <w:tcPr>
            <w:tcBorders/>
            <w:tcW w:w="209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      54.079.000.000 </w:t>
            </w:r>
            <w:r/>
          </w:p>
        </w:tc>
      </w:tr>
      <w:tr>
        <w:trPr>
          <w:trHeight w:val="20"/>
        </w:trPr>
        <w:tc>
          <w:tcPr>
            <w:gridSpan w:val="5"/>
            <w:tcBorders/>
            <w:tcW w:w="9712" w:type="dxa"/>
            <w:vAlign w:val="center"/>
            <w:textDirection w:val="lrTb"/>
            <w:noWrap w:val="false"/>
          </w:tcPr>
          <w:p>
            <w:pPr>
              <w:pBdr/>
              <w:spacing w:after="40" w:before="40" w:line="283" w:lineRule="atLeast"/>
              <w:ind/>
              <w:jc w:val="center"/>
              <w:rPr>
                <w:b/>
                <w:bCs/>
                <w:i/>
                <w:iCs/>
                <w:color w:val="000000"/>
              </w:rPr>
            </w:pPr>
            <w:r>
              <w:rPr>
                <w:b/>
                <w:bCs/>
                <w:i/>
                <w:iCs/>
                <w:color w:val="000000"/>
              </w:rPr>
              <w:t xml:space="preserve">(Bằng chữ: </w:t>
            </w:r>
            <w:r>
              <w:rPr>
                <w:b/>
                <w:bCs/>
                <w:i/>
                <w:iCs/>
                <w:color w:val="000000"/>
              </w:rPr>
              <w:t xml:space="preserve">Năm mươi tư tỷ, không trăm bảy mươi chín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983" w:type="pct"/>
        <w:tblBorders/>
        <w:tblLayout w:type="fixed"/>
        <w:tblLook w:val="01E0" w:firstRow="1" w:lastRow="1" w:firstColumn="1" w:lastColumn="1" w:noHBand="0" w:noVBand="0"/>
      </w:tblPr>
      <w:tblGrid>
        <w:gridCol w:w="4643"/>
        <w:gridCol w:w="5244"/>
      </w:tblGrid>
      <w:tr>
        <w:trPr>
          <w:trHeight w:val="20"/>
        </w:trPr>
        <w:tc>
          <w:tcPr>
            <w:tcBorders/>
            <w:tcW w:w="464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43"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43"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44"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86" w:type="dxa"/>
        <w:tblBorders/>
        <w:tblLayout w:type="fixed"/>
        <w:tblLook w:val="04A0" w:firstRow="1" w:lastRow="0" w:firstColumn="1" w:lastColumn="0" w:noHBand="0" w:noVBand="1"/>
      </w:tblPr>
      <w:tblGrid>
        <w:gridCol w:w="244"/>
        <w:gridCol w:w="1572"/>
        <w:gridCol w:w="2335"/>
        <w:gridCol w:w="5919"/>
        <w:gridCol w:w="216"/>
      </w:tblGrid>
      <w:tr>
        <w:trPr>
          <w:trHeight w:val="1559"/>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4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51"/>
              <w:pBdr/>
              <w:spacing w:after="60"/>
              <w:ind/>
              <w:rPr>
                <w:color w:val="000000" w:themeColor="text1"/>
                <w:sz w:val="24"/>
                <w:szCs w:val="24"/>
              </w:rPr>
            </w:pPr>
            <w:r>
              <w:rPr>
                <w:rStyle w:val="1050"/>
                <w:rFonts w:ascii="Times New Roman" w:hAnsi="Times New Roman"/>
                <w:color w:val="000000" w:themeColor="text1"/>
                <w:lang w:val="pt-BR"/>
              </w:rPr>
              <w:t xml:space="preserve">Số: </w:t>
            </w:r>
            <w:r>
              <w:rPr>
                <w:rStyle w:val="1050"/>
                <w:rFonts w:ascii="Times New Roman" w:hAnsi="Times New Roman"/>
                <w:color w:val="000000" w:themeColor="text1"/>
                <w:lang w:val="pt-BR"/>
              </w:rPr>
              <w:t xml:space="preserve">275/2026/1051/VFI-CT.17.A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19" w:type="dxa"/>
            <w:textDirection w:val="lrTb"/>
            <w:noWrap w:val="false"/>
          </w:tcPr>
          <w:p>
            <w:pPr>
              <w:pStyle w:val="1051"/>
              <w:pBdr/>
              <w:spacing w:after="60"/>
              <w:ind w:right="-56"/>
              <w:jc w:val="right"/>
              <w:rPr>
                <w:color w:val="000000" w:themeColor="text1"/>
                <w:sz w:val="24"/>
                <w:szCs w:val="24"/>
                <w:lang w:val="vi-VN"/>
              </w:rPr>
            </w:pPr>
            <w:r>
              <w:rPr>
                <w:rStyle w:val="1050"/>
                <w:rFonts w:ascii="Times New Roman" w:hAnsi="Times New Roman"/>
                <w:i/>
                <w:color w:val="auto"/>
              </w:rPr>
              <w:t xml:space="preserve">TP. Hà Nội</w:t>
            </w:r>
            <w:r>
              <w:rPr>
                <w:rStyle w:val="1050"/>
                <w:rFonts w:ascii="Times New Roman" w:hAnsi="Times New Roman"/>
                <w:i/>
                <w:color w:val="auto"/>
                <w:lang w:val="vi-VN"/>
              </w:rPr>
              <w:t xml:space="preserve">, </w:t>
            </w:r>
            <w:r>
              <w:rPr>
                <w:rStyle w:val="1050"/>
                <w:rFonts w:ascii="Times New Roman" w:hAnsi="Times New Roman"/>
                <w:i/>
                <w:color w:val="000000" w:themeColor="text1"/>
                <w:lang w:val="vi-VN"/>
              </w:rPr>
              <w:t xml:space="preserve">ngày 11 tháng 7 năm 2026</w:t>
            </w:r>
            <w:r>
              <w:rPr>
                <w:color w:val="000000" w:themeColor="text1"/>
                <w:sz w:val="24"/>
                <w:szCs w:val="24"/>
                <w:lang w:val="vi-VN"/>
              </w:rPr>
            </w:r>
            <w:r>
              <w:rPr>
                <w:color w:val="000000" w:themeColor="text1"/>
                <w:sz w:val="24"/>
                <w:szCs w:val="24"/>
                <w:lang w:val="vi-VN"/>
              </w:rPr>
            </w:r>
          </w:p>
        </w:tc>
      </w:tr>
    </w:tbl>
    <w:p>
      <w:pPr>
        <w:pStyle w:val="1051"/>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31"/>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275/2026/1051/VFI-CT.17.A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3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88" w:type="dxa"/>
        <w:tblBorders/>
        <w:tblLayout w:type="fixed"/>
        <w:tblLook w:val="04A0" w:firstRow="1" w:lastRow="0" w:firstColumn="1" w:lastColumn="0" w:noHBand="0" w:noVBand="1"/>
      </w:tblPr>
      <w:tblGrid>
        <w:gridCol w:w="2092"/>
        <w:gridCol w:w="289"/>
        <w:gridCol w:w="7506"/>
      </w:tblGrid>
      <w:tr>
        <w:trPr>
          <w:trHeight w:val="20"/>
        </w:trPr>
        <w:tc>
          <w:tcPr>
            <w:tcBorders/>
            <w:tcW w:w="2092" w:type="dxa"/>
            <w:vAlign w:val="center"/>
            <w:textDirection w:val="lrTb"/>
            <w:noWrap w:val="false"/>
          </w:tcPr>
          <w:p>
            <w:pPr>
              <w:pBdr/>
              <w:spacing w:after="60" w:before="60" w:line="283" w:lineRule="atLeast"/>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pPr>
              <w:pBdr/>
              <w:spacing w:after="60" w:before="60" w:line="283" w:lineRule="atLeast"/>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092" w:type="dxa"/>
            <w:vAlign w:val="center"/>
            <w:textDirection w:val="lrTb"/>
            <w:noWrap w:val="false"/>
          </w:tcPr>
          <w:p>
            <w:pPr>
              <w:pBdr/>
              <w:spacing w:after="60" w:before="60" w:line="283" w:lineRule="atLeast"/>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pPr>
              <w:pBdr/>
              <w:spacing w:after="60" w:before="60" w:line="283" w:lineRule="atLeast"/>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92" w:type="dxa"/>
            <w:vAlign w:val="center"/>
            <w:textDirection w:val="lrTb"/>
            <w:noWrap w:val="false"/>
          </w:tcPr>
          <w:p>
            <w:pPr>
              <w:pBdr/>
              <w:spacing w:after="60" w:before="60" w:line="283" w:lineRule="atLeast"/>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 </w:t>
            </w:r>
            <w:r>
              <w:rPr>
                <w:bCs/>
                <w:lang w:val="pt-BR"/>
              </w:rPr>
            </w:r>
            <w:r>
              <w:rPr>
                <w:bCs/>
                <w:lang w:val="pt-BR"/>
              </w:rPr>
            </w:r>
          </w:p>
        </w:tc>
        <w:tc>
          <w:tcPr>
            <w:tcBorders/>
            <w:tcW w:w="7506" w:type="dxa"/>
            <w:vAlign w:val="center"/>
            <w:textDirection w:val="lrTb"/>
            <w:noWrap w:val="false"/>
          </w:tcPr>
          <w:p>
            <w:pPr>
              <w:pBdr/>
              <w:tabs>
                <w:tab w:val="left" w:leader="none" w:pos="3382"/>
              </w:tabs>
              <w:spacing w:after="60" w:before="60" w:line="283" w:lineRule="atLeast"/>
              <w:ind/>
              <w:rPr>
                <w:iCs/>
              </w:rPr>
            </w:pPr>
            <w:r>
              <w:rPr>
                <w:iCs/>
                <w:color w:val="000000" w:themeColor="text1"/>
              </w:rPr>
              <w:t xml:space="preserve">024 2264 4333</w:t>
            </w:r>
            <w:r>
              <w:rPr>
                <w:iCs/>
              </w:rPr>
            </w:r>
            <w:r>
              <w:rPr>
                <w:iCs/>
              </w:rPr>
            </w:r>
          </w:p>
        </w:tc>
      </w:tr>
      <w:tr>
        <w:trPr>
          <w:trHeight w:val="20"/>
        </w:trPr>
        <w:tc>
          <w:tcPr>
            <w:tcBorders/>
            <w:tcW w:w="2092" w:type="dxa"/>
            <w:vAlign w:val="center"/>
            <w:textDirection w:val="lrTb"/>
            <w:noWrap w:val="false"/>
          </w:tcPr>
          <w:p>
            <w:pPr>
              <w:pBdr/>
              <w:spacing w:after="60" w:before="60" w:line="283" w:lineRule="atLeast"/>
              <w:ind/>
              <w:rPr>
                <w:bCs/>
              </w:rPr>
            </w:pPr>
            <w:r>
              <w:t xml:space="preserve">Mã số thuế</w:t>
            </w:r>
            <w:r>
              <w:rPr>
                <w:bCs/>
              </w:rPr>
            </w:r>
            <w:r>
              <w:rPr>
                <w:bCs/>
              </w:rP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pPr>
              <w:pBdr/>
              <w:spacing w:after="60" w:before="60" w:line="283" w:lineRule="atLeast"/>
              <w:ind/>
              <w:rPr>
                <w:bCs/>
              </w:rPr>
            </w:pPr>
            <w:r>
              <w:rPr>
                <w:bCs/>
                <w:color w:val="000000" w:themeColor="text1"/>
              </w:rPr>
              <w:t xml:space="preserve">0102708994</w:t>
            </w:r>
            <w:r>
              <w:rPr>
                <w:bCs/>
              </w:rPr>
            </w:r>
            <w:r>
              <w:rPr>
                <w:bCs/>
              </w:rPr>
            </w:r>
          </w:p>
        </w:tc>
      </w:tr>
      <w:tr>
        <w:trPr>
          <w:trHeight w:val="20"/>
        </w:trPr>
        <w:tc>
          <w:tcPr>
            <w:tcBorders/>
            <w:tcW w:w="2092" w:type="dxa"/>
            <w:vAlign w:val="center"/>
            <w:textDirection w:val="lrTb"/>
            <w:noWrap w:val="false"/>
          </w:tcPr>
          <w:p>
            <w:pPr>
              <w:pBdr/>
              <w:spacing w:after="60" w:before="60" w:line="283" w:lineRule="atLeast"/>
              <w:ind/>
              <w:rPr/>
            </w:pPr>
            <w:r>
              <w:t xml:space="preserve">GCN</w:t>
            </w:r>
            <w:r>
              <w:t xml:space="preserve"> đủ điều kiện hành nghề</w:t>
            </w:r>
            <w:r/>
          </w:p>
        </w:tc>
        <w:tc>
          <w:tcPr>
            <w:tcBorders/>
            <w:tcW w:w="289" w:type="dxa"/>
            <w:vAlign w:val="center"/>
            <w:textDirection w:val="lrTb"/>
            <w:noWrap w:val="false"/>
          </w:tcPr>
          <w:p>
            <w:pPr>
              <w:pBdr/>
              <w:spacing w:after="60" w:before="60" w:line="283" w:lineRule="atLeast"/>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pPr>
              <w:pBdr/>
              <w:spacing w:after="60" w:before="60" w:line="283" w:lineRule="atLeast"/>
              <w:ind/>
              <w:rPr>
                <w:bCs/>
              </w:rPr>
            </w:pPr>
            <w:r>
              <w:rPr>
                <w:bCs/>
              </w:rPr>
              <w:t xml:space="preserve">275/TĐG</w:t>
            </w:r>
            <w:r>
              <w:rPr>
                <w:bCs/>
              </w:rPr>
            </w:r>
            <w:r>
              <w:rPr>
                <w:bCs/>
              </w:rPr>
            </w:r>
          </w:p>
        </w:tc>
      </w:tr>
      <w:tr>
        <w:trPr>
          <w:trHeight w:val="20"/>
        </w:trPr>
        <w:tc>
          <w:tcPr>
            <w:tcBorders/>
            <w:tcW w:w="2092" w:type="dxa"/>
            <w:vAlign w:val="center"/>
            <w:textDirection w:val="lrTb"/>
            <w:noWrap w:val="false"/>
          </w:tcPr>
          <w:p>
            <w:pPr>
              <w:pBdr/>
              <w:spacing w:after="60" w:before="60" w:line="283" w:lineRule="atLeast"/>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83" w:lineRule="atLeast"/>
              <w:ind/>
              <w:rPr>
                <w:bCs/>
              </w:rPr>
            </w:pPr>
            <w:r>
              <w:rPr>
                <w:bCs/>
              </w:rPr>
              <w:t xml:space="preserve">:</w:t>
            </w:r>
            <w:r>
              <w:rPr>
                <w:bCs/>
              </w:rPr>
            </w:r>
            <w:r>
              <w:rPr>
                <w:bCs/>
              </w:rPr>
            </w:r>
          </w:p>
        </w:tc>
        <w:tc>
          <w:tcPr>
            <w:tcBorders/>
            <w:tcW w:w="7506" w:type="dxa"/>
            <w:vAlign w:val="center"/>
            <w:textDirection w:val="lrTb"/>
            <w:noWrap w:val="false"/>
          </w:tcPr>
          <w:p>
            <w:pPr>
              <w:pBdr/>
              <w:spacing w:after="60" w:before="60" w:line="283" w:lineRule="atLeast"/>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92" w:type="dxa"/>
            <w:vAlign w:val="center"/>
            <w:textDirection w:val="lrTb"/>
            <w:noWrap w:val="false"/>
          </w:tcPr>
          <w:p>
            <w:pPr>
              <w:pBdr/>
              <w:spacing w:after="60" w:before="60" w:line="283" w:lineRule="atLeast"/>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83" w:lineRule="atLeast"/>
              <w:ind/>
              <w:rPr>
                <w:bCs/>
              </w:rPr>
            </w:pPr>
            <w:r>
              <w:rPr>
                <w:bCs/>
              </w:rPr>
              <w:t xml:space="preserve">:</w:t>
            </w:r>
            <w:r>
              <w:rPr>
                <w:bCs/>
              </w:rPr>
            </w:r>
            <w:r>
              <w:rPr>
                <w:bCs/>
              </w:rPr>
            </w:r>
          </w:p>
        </w:tc>
        <w:tc>
          <w:tcPr>
            <w:tcBorders/>
            <w:tcW w:w="7506" w:type="dxa"/>
            <w:vAlign w:val="center"/>
            <w:textDirection w:val="lrTb"/>
            <w:noWrap w:val="false"/>
          </w:tcPr>
          <w:p>
            <w:pPr>
              <w:pBdr/>
              <w:spacing w:after="60" w:before="60" w:line="283" w:lineRule="atLeast"/>
              <w:ind/>
              <w:rPr>
                <w:b/>
                <w:bCs/>
                <w:lang w:val="vi-VN"/>
              </w:rPr>
            </w:pPr>
            <w:r>
              <w:rPr>
                <w:b/>
                <w:bCs/>
                <w:lang w:val="vi-VN"/>
              </w:rPr>
              <w:t xml:space="preserve">Ông</w:t>
            </w:r>
            <w:r>
              <w:rPr>
                <w:b/>
                <w:bCs/>
              </w:rPr>
              <w:t xml:space="preserve"> 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5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83" w:lineRule="atLeast"/>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3" w:lineRule="atLeast"/>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line="283" w:lineRule="atLeast"/>
              <w:ind/>
              <w:rPr/>
            </w:pPr>
            <w:r>
              <w:rPr>
                <w:b/>
                <w:bCs/>
              </w:rPr>
              <w:t xml:space="preserve">CÔNG TY TNHH CAO SU QUỐC VIỆT</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CHEON JU HWAN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Đội 7, Ấp Đồng Tiến 1, Xã Đồng Tâm, Thành phố Đồng Nai,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3801096482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3" w:lineRule="atLeast"/>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6945" w:type="dxa"/>
            <w:vAlign w:val="center"/>
            <w:vMerge w:val="restart"/>
            <w:textDirection w:val="lrTb"/>
            <w:noWrap w:val="false"/>
          </w:tcPr>
          <w:p>
            <w:pPr>
              <w:pStyle w:val="1052"/>
              <w:numPr>
                <w:ilvl w:val="0"/>
                <w:numId w:val="41"/>
              </w:numPr>
              <w:pBdr/>
              <w:spacing w:after="120" w:before="120" w:line="312" w:lineRule="auto"/>
              <w:ind w:right="0" w:hanging="283" w:left="283"/>
              <w:jc w:val="both"/>
              <w:rPr>
                <w:color w:val="000000" w:themeColor="text1"/>
              </w:rPr>
            </w:pPr>
            <w:r>
              <w:rPr>
                <w:color w:val="000000" w:themeColor="text1"/>
              </w:rPr>
            </w:r>
            <w:r>
              <w:rPr>
                <w:b/>
                <w:bCs/>
                <w:color w:val="000000" w:themeColor="text1"/>
              </w:rPr>
              <w:t xml:space="preserve">Tài sản số 01:</w:t>
            </w:r>
            <w:r>
              <w:rPr>
                <w:color w:val="000000" w:themeColor="text1"/>
              </w:rPr>
              <w:t xml:space="preserve"> Quyền sử dụng đất thuê trả tiền một lần có thời hạn đến ngày 31/12/2065 tại thửa đất số 555, tờ bản đồ số 23 có địa chỉ: </w:t>
            </w:r>
            <w:r>
              <w:rPr>
                <w:color w:val="000000" w:themeColor="text1"/>
              </w:rPr>
              <w:t xml:space="preserve">Xã Đồng Tiến, huyện Đồng Phú, tỉnh Bình Phước (nay là xã Đồng Tâm, thành phố Đồng Nai) theo Giấy chứng nhận quyền sử dụng đất quyền sở hữu nhà ở và tài sản khác gắn liền với đất số BX 189979 có số vào sổ cấp GCN: CT 06399 do UBND tỉnh Bình Phước cấp ngày 2</w:t>
            </w:r>
            <w:r>
              <w:rPr>
                <w:color w:val="000000" w:themeColor="text1"/>
              </w:rPr>
              <w:t xml:space="preserve">1/03/2016; Chủ sử dụng đất là Công ty TNHH Cao su Quốc Việt.</w:t>
            </w:r>
            <w:r>
              <w:rPr>
                <w:color w:val="000000" w:themeColor="text1"/>
              </w:rPr>
            </w:r>
            <w:r>
              <w:rPr>
                <w:color w:val="000000" w:themeColor="text1"/>
              </w:rPr>
            </w:r>
          </w:p>
          <w:p>
            <w:pPr>
              <w:pStyle w:val="1052"/>
              <w:numPr>
                <w:ilvl w:val="0"/>
                <w:numId w:val="41"/>
              </w:numPr>
              <w:pBdr/>
              <w:spacing w:after="120" w:before="120" w:line="312" w:lineRule="auto"/>
              <w:ind w:right="0" w:hanging="283" w:left="283"/>
              <w:jc w:val="both"/>
              <w:rPr>
                <w:color w:val="000000" w:themeColor="text1"/>
              </w:rPr>
            </w:pPr>
            <w:r>
              <w:rPr>
                <w:b/>
                <w:bCs/>
                <w:color w:val="000000" w:themeColor="text1"/>
              </w:rPr>
              <w:t xml:space="preserve">Tài sản số 02:</w:t>
            </w:r>
            <w:r>
              <w:rPr>
                <w:color w:val="000000" w:themeColor="text1"/>
              </w:rPr>
              <w:t xml:space="preserve"> Quyền sử dụng đất thuê trả tiền một lần có thời hạn đến ngày 31/12/2065 tại thửa đất số 554, tờ bản đồ số 23 có địa chỉ: Xã Đồng Tiến, huyện Đồng Phú, tỉnh Bình Phước (nay là xã </w:t>
            </w:r>
            <w:r>
              <w:rPr>
                <w:color w:val="000000" w:themeColor="text1"/>
              </w:rPr>
              <w:t xml:space="preserve">Đồng Tâm, thành phố Đồng Nai) theo Giấy chứng nhận quyền sử dụng đất quyền sở hữu nhà ở và tài sản khác gắn liền với đất số BX 189978 có số vào sổ cấp GCN: CT 06400 do UBND tỉnh Bình Phước cấp ngày 21/03/2016; Chủ sử dụng đất là Công ty TNHH Cao su Quốc Vi</w:t>
            </w:r>
            <w:r>
              <w:rPr>
                <w:color w:val="000000" w:themeColor="text1"/>
              </w:rPr>
              <w:t xml:space="preserve">ệt. </w:t>
            </w:r>
            <w:r>
              <w:rPr>
                <w:color w:val="000000" w:themeColor="text1"/>
              </w:rPr>
            </w:r>
            <w:r>
              <w:rPr>
                <w:color w:val="000000" w:themeColor="text1"/>
              </w:rPr>
            </w:r>
          </w:p>
          <w:p>
            <w:pPr>
              <w:pStyle w:val="1052"/>
              <w:numPr>
                <w:ilvl w:val="0"/>
                <w:numId w:val="41"/>
              </w:numPr>
              <w:pBdr>
                <w:top w:val="none" w:color="000000" w:sz="4" w:space="0"/>
                <w:left w:val="none" w:color="000000" w:sz="4" w:space="0"/>
                <w:bottom w:val="none" w:color="000000" w:sz="4" w:space="0"/>
                <w:right w:val="none" w:color="000000" w:sz="4" w:space="0"/>
              </w:pBdr>
              <w:spacing w:after="120" w:before="120" w:line="312" w:lineRule="auto"/>
              <w:ind w:right="0" w:hanging="283" w:left="283"/>
              <w:jc w:val="both"/>
              <w:rPr>
                <w:rFonts w:ascii="Times New Roman" w:hAnsi="Times New Roman" w:eastAsia="Times New Roman" w:cs="Times New Roman"/>
                <w:color w:val="000000"/>
                <w:sz w:val="24"/>
              </w:rPr>
            </w:pPr>
            <w:r>
              <w:rPr>
                <w:color w:val="000000" w:themeColor="text1"/>
              </w:rPr>
            </w:r>
            <w:r>
              <w:rPr>
                <w:b/>
                <w:bCs/>
                <w:color w:val="000000" w:themeColor="text1"/>
              </w:rPr>
              <w:t xml:space="preserve">Tài sản số 03:</w:t>
            </w:r>
            <w:r>
              <w:rPr>
                <w:color w:val="000000" w:themeColor="text1"/>
              </w:rPr>
              <w:t xml:space="preserve"> Quyền sử dụng đất thuê trả tiền một lần có thời hạn đến ngày 26/01/2061 và tài sản gắn liền với đất tại thửa đất số 63, tờ bản đồ số 24 có địa chỉ: Ấp 1, xã Đồng Tiến, huyện Đồng Phú, tỉnh Bình Phước (nay là xã Đồng Tâm, thành phố Đồng N</w:t>
            </w:r>
            <w:r>
              <w:rPr>
                <w:color w:val="000000" w:themeColor="text1"/>
              </w:rPr>
              <w:t xml:space="preserve">ai) theo Giấy chứng nhận quyền sử dụng đất quyền sở hữu nhà ở và tài sản khác gắn liền với đất số BN 971526 có số vào sổ cấp GCN: CT 05916 do Sở Tài nguyên và Môi trường tỉnh Bình Phước cấp ngày 20/05/2015; Chủ sử dụng đất là Công ty TNHH Cao su Quốc Việt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2518" w:type="dxa"/>
            <w:vAlign w:val="center"/>
            <w:textDirection w:val="lrTb"/>
            <w:noWrap w:val="false"/>
          </w:tcPr>
          <w:p>
            <w:pPr>
              <w:pBdr/>
              <w:spacing w:after="60" w:before="60" w:line="283" w:lineRule="atLeast"/>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52"/>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83" w:lineRule="atLeast"/>
              <w:ind/>
              <w:jc w:val="both"/>
              <w:rPr>
                <w:bCs/>
                <w:spacing w:val="-4"/>
              </w:rPr>
            </w:pPr>
            <w:r>
              <w:rPr>
                <w:bCs/>
                <w:color w:val="000000" w:themeColor="text1"/>
                <w:spacing w:val="-4"/>
              </w:rPr>
              <w:t xml:space="preserve">Xác định giá trị tài sản để tư vấn cho khách hàng làm cơ sở Để cấp tín dụng tại Ngân hàng TMCP Sài Gòn – Hà Nội – Chi nhánh Bình Phước theo quy định của pháp luật hiện hành.</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83" w:lineRule="atLeast"/>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52"/>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83" w:lineRule="atLeast"/>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83" w:lineRule="atLeast"/>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52"/>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3" w:lineRule="atLeast"/>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83" w:lineRule="atLeast"/>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52"/>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3" w:lineRule="atLeast"/>
              <w:ind/>
              <w:jc w:val="both"/>
              <w:rPr>
                <w:color w:val="ee0000"/>
                <w:lang w:val="pt-BR"/>
              </w:rPr>
            </w:pPr>
            <w:r>
              <w:rPr>
                <w:color w:val="000000" w:themeColor="text1"/>
                <w:lang w:val="pt-BR"/>
              </w:rPr>
              <w:t xml:space="preserve">Xã Đồng Tâm, Thành phố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83" w:lineRule="atLeast"/>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52"/>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32"/>
              <w:pBdr/>
              <w:spacing w:before="60" w:line="283" w:lineRule="atLeast"/>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11.578059276430622, 106.9543853914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83" w:lineRule="atLeast"/>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52"/>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83" w:lineRule="atLeast"/>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52"/>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5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52"/>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52"/>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52"/>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52"/>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52"/>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52"/>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52"/>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52"/>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52"/>
        <w:numPr>
          <w:ilvl w:val="0"/>
          <w:numId w:val="1"/>
        </w:numPr>
        <w:pBdr/>
        <w:spacing w:after="120" w:before="120" w:line="276" w:lineRule="auto"/>
        <w:ind/>
        <w:jc w:val="both"/>
        <w:rPr>
          <w:spacing w:val="-4"/>
          <w:lang w:val="pt-BR"/>
        </w:rPr>
      </w:pPr>
      <w:r>
        <w:rPr>
          <w:bCs/>
          <w:spacing w:val="-4"/>
          <w:highlight w:val="none"/>
          <w:lang w:val="pt-BR" w:bidi="pt-BR"/>
        </w:rPr>
      </w: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highlight w:val="none"/>
          <w:lang w:val="pt-BR"/>
        </w:rPr>
      </w:r>
      <w:r>
        <w:rPr>
          <w:spacing w:val="-4"/>
          <w:lang w:val="pt-BR"/>
        </w:rPr>
      </w:r>
    </w:p>
    <w:p>
      <w:pPr>
        <w:pStyle w:val="1052"/>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52"/>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5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52"/>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52"/>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themeColor="text1"/>
        </w:rPr>
        <w:t xml:space="preserve">Giấy chứng nhận quyền sử dụng đất quyền sở hữu nhà ở và tài sản khác gắn liền với đất số BX 189979 có số vào sổ cấp GCN: CT 06399 do UBND tỉnh Bình Phước cấp ngày 2</w:t>
      </w:r>
      <w:r>
        <w:rPr>
          <w:color w:val="000000" w:themeColor="text1"/>
        </w:rPr>
        <w:t xml:space="preserve">1/03/2016; Chủ sử dụng đất là Công ty TNHH Cao su Quốc Việt.</w:t>
      </w:r>
      <w:r>
        <w:rPr>
          <w:i/>
          <w:iCs/>
          <w:lang w:val="pt-BR"/>
        </w:rPr>
      </w:r>
      <w:r>
        <w:rPr>
          <w:i/>
          <w:iCs/>
          <w:lang w:val="pt-BR"/>
        </w:rPr>
      </w:r>
    </w:p>
    <w:p>
      <w:pPr>
        <w:pStyle w:val="1052"/>
        <w:numPr>
          <w:ilvl w:val="0"/>
          <w:numId w:val="2"/>
        </w:numPr>
        <w:pBdr/>
        <w:tabs>
          <w:tab w:val="left" w:leader="none" w:pos="993"/>
        </w:tabs>
        <w:spacing w:after="120" w:before="120" w:line="276" w:lineRule="auto"/>
        <w:ind/>
        <w:jc w:val="both"/>
        <w:rPr>
          <w:bCs/>
          <w:i/>
          <w:lang w:val="pt-BR"/>
        </w:rPr>
      </w:pPr>
      <w:r>
        <w:rPr>
          <w:highlight w:val="none"/>
          <w:lang w:val="pt-BR" w:bidi="pt-BR"/>
        </w:rPr>
      </w:r>
      <w:r>
        <w:rPr>
          <w:color w:val="000000" w:themeColor="text1"/>
        </w:rPr>
        <w:t xml:space="preserve">Giấy chứng nhận quyền sử dụng đất quyền sở hữu nhà ở và tài sản khác gắn liền với đất số BX 189978 có số vào sổ cấp GCN: CT 06400 do UBND tỉnh Bình Phước cấp ngày 21/03/2016; Chủ sử dụng đất là Công ty TNHH Cao su Quốc Vi</w:t>
      </w:r>
      <w:r>
        <w:rPr>
          <w:color w:val="000000" w:themeColor="text1"/>
        </w:rPr>
        <w:t xml:space="preserve">ệt.</w:t>
      </w:r>
      <w:r>
        <w:rPr>
          <w:bCs/>
          <w:i/>
          <w:lang w:val="pt-BR"/>
        </w:rPr>
      </w:r>
      <w:r>
        <w:rPr>
          <w:bCs/>
          <w:i/>
          <w:lang w:val="pt-BR"/>
        </w:rPr>
      </w:r>
    </w:p>
    <w:p>
      <w:pPr>
        <w:pStyle w:val="1052"/>
        <w:numPr>
          <w:ilvl w:val="0"/>
          <w:numId w:val="2"/>
        </w:numPr>
        <w:pBdr/>
        <w:tabs>
          <w:tab w:val="left" w:leader="none" w:pos="993"/>
        </w:tabs>
        <w:spacing w:after="120" w:before="120" w:line="276" w:lineRule="auto"/>
        <w:ind/>
        <w:jc w:val="both"/>
        <w:rPr>
          <w:bCs/>
          <w:i/>
          <w:lang w:val="pt-BR"/>
        </w:rPr>
      </w:pPr>
      <w:r>
        <w:rPr>
          <w:highlight w:val="none"/>
          <w:lang w:val="pt-BR" w:bidi="pt-BR"/>
        </w:rPr>
      </w:r>
      <w:r>
        <w:rPr>
          <w:color w:val="000000" w:themeColor="text1"/>
        </w:rPr>
        <w:t xml:space="preserve">Giấy chứng nhận quyền sử dụng đất quyền sở hữu nhà ở và tài sản khác gắn liền với đất số BN 971526 có số vào sổ cấp GCN: CT 05916 do Sở Tài nguyên và Môi trường tỉnh Bình Phước cấp ngày 20/05/2015; Chủ sử dụng đất là Công ty TNHH Cao su Quốc Việt</w:t>
      </w:r>
      <w:r>
        <w:rPr>
          <w:highlight w:val="none"/>
          <w:lang w:val="pt-BR" w:bidi="pt-BR"/>
        </w:rPr>
        <w:t xml:space="preserve">.</w:t>
      </w:r>
      <w:r>
        <w:rPr>
          <w:highlight w:val="none"/>
          <w:lang w:val="pt-BR" w:bidi="pt-BR"/>
        </w:rPr>
      </w:r>
      <w:r>
        <w:rPr>
          <w:bCs/>
          <w:i/>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52"/>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275/2026/1051/VFI-HĐTĐ.17.A</w:t>
      </w:r>
      <w:r>
        <w:rPr>
          <w:spacing w:val="-4"/>
          <w:lang w:val="vi-VN"/>
        </w:rPr>
        <w:t xml:space="preserve"> ký ngày </w:t>
      </w:r>
      <w:r>
        <w:rPr>
          <w:color w:val="000000" w:themeColor="text1"/>
          <w:spacing w:val="-4"/>
        </w:rPr>
        <w:t xml:space="preserve">07 tháng 07 năm 2026</w:t>
      </w:r>
      <w:r>
        <w:rPr>
          <w:spacing w:val="-4"/>
          <w:lang w:val="vi-VN"/>
        </w:rPr>
        <w:t xml:space="preserve"> </w:t>
      </w:r>
      <w:r>
        <w:rPr>
          <w:spacing w:val="-4"/>
          <w:lang w:val="vi-VN"/>
        </w:rPr>
        <w:t xml:space="preserve">giữa </w:t>
      </w:r>
      <w:r>
        <w:rPr>
          <w:color w:val="000000"/>
        </w:rPr>
        <w:t xml:space="preserve">Công ty TNHH Cao su Quốc Việt</w:t>
      </w:r>
      <w:r>
        <w:rPr>
          <w:color w:val="000000" w:themeColor="text1"/>
          <w:spacing w:val="-4"/>
        </w:rPr>
        <w:t xml:space="preserve"> và </w:t>
      </w:r>
      <w:r>
        <w:rPr>
          <w:rFonts w:ascii="Times New Roman" w:hAnsi="Times New Roman" w:eastAsia="Times New Roman" w:cs="Times New Roman"/>
          <w:b w:val="0"/>
          <w:bCs w:val="0"/>
          <w:color w:val="000000"/>
          <w:sz w:val="24"/>
        </w:rPr>
        <w:t xml:space="preserve">Ngân hàng Thương mại Cổ phần Sài Gòn - Hà Nội</w:t>
      </w:r>
      <w:r>
        <w:rPr>
          <w:b w:val="0"/>
          <w:bCs w:val="0"/>
          <w:color w:val="000000" w:themeColor="text1"/>
          <w:spacing w:val="-4"/>
        </w:rPr>
        <w:t xml:space="preserve"> - CN Bình Phước</w:t>
      </w:r>
      <w:r>
        <w:rPr>
          <w:b w:val="0"/>
          <w:bCs w:val="0"/>
        </w:rPr>
        <w:t xml:space="preserve"> </w:t>
      </w:r>
      <w:r>
        <w:rPr>
          <w:b w:val="0"/>
          <w:bCs w:val="0"/>
          <w:spacing w:val="-6"/>
        </w:rPr>
        <w:t xml:space="preserve">v</w:t>
      </w:r>
      <w:r>
        <w:rPr>
          <w:b w:val="0"/>
          <w:bCs w:val="0"/>
          <w:spacing w:val="-6"/>
        </w:rPr>
        <w:t xml:space="preserve">ới</w:t>
      </w:r>
      <w:r>
        <w:rPr>
          <w:b w:val="0"/>
          <w:bCs w:val="0"/>
          <w:spacing w:val="-6"/>
        </w:rPr>
        <w:t xml:space="preserve"> </w:t>
      </w:r>
      <w:r>
        <w:rPr>
          <w:b w:val="0"/>
          <w:bCs w:val="0"/>
          <w:color w:val="000000" w:themeColor="text1"/>
          <w:spacing w:val="-4"/>
          <w:lang w:val="vi-VN"/>
        </w:rPr>
        <w:t xml:space="preserve">Công ty Cổ phần Thẩm địn</w:t>
      </w:r>
      <w:r>
        <w:rPr>
          <w:color w:val="000000" w:themeColor="text1"/>
          <w:spacing w:val="-4"/>
          <w:lang w:val="vi-VN"/>
        </w:rPr>
        <w:t xml:space="preserve">h và Đầu tư Tài chính Hoa Sen</w:t>
      </w:r>
      <w:r>
        <w:rPr>
          <w:color w:val="000000" w:themeColor="text1"/>
          <w:lang w:val="pt-BR"/>
        </w:rPr>
        <w:t xml:space="preserve">.</w:t>
      </w:r>
      <w:r>
        <w:rPr>
          <w:b/>
          <w:lang w:val="pt-BR"/>
        </w:rPr>
      </w:r>
      <w:r>
        <w:rPr>
          <w:b/>
          <w:lang w:val="pt-BR"/>
        </w:rPr>
      </w:r>
    </w:p>
    <w:p>
      <w:pPr>
        <w:pStyle w:val="1052"/>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Hàng loạt dự án lớn như Long Hưng, Waterfront, Aqua City, Cù lao Phước Hưng… được gỡ </w:t>
      </w:r>
      <w:r>
        <w:rPr>
          <w:shd w:val="clear" w:color="auto" w:fill="ffffff"/>
        </w:rPr>
        <w:t xml:space="preserve">vướng pháp lý, tiến hành xây dựng trở lại đã thúc đẩy thị trường bất động sản Đồng Nai phục hồi mạnh mẽ.</w:t>
        <w:br/>
        <w:t xml:space="preserve">Nhiều tín hiệu khả quan</w:t>
        <w:br/>
        <w:t xml:space="preserve">Cuối tháng 5/2025, UBND tỉnh Đồng Nai phê duyệt điều chỉnh cục bộ quy hoạch tỷ lệ 1/5000 phân khu C4, thuộc quy hoạch chung TP.</w:t>
      </w:r>
      <w:r>
        <w:rPr>
          <w:shd w:val="clear" w:color="auto" w:fill="ffffff"/>
        </w:rPr>
        <w:t xml:space="preserve"> Biên Hòa, tại xã Long Hưng và một phần phường Tam Phước cũ, nay thuộc phường Long Hưng và phường Tam Phước.</w:t>
        <w:br/>
        <w:t xml:space="preserve">Theo đó, quy mô dân số phân khu C4 được điều chỉnh tăng lên khoảng 140.000 người, kéo theo việc điều chỉnh các chỉ tiêu kỹ thuật và chức năng sử dụ</w:t>
      </w:r>
      <w:r>
        <w:rPr>
          <w:shd w:val="clear" w:color="auto" w:fill="ffffff"/>
        </w:rPr>
        <w:t xml:space="preserve">ng đất để phù hợp với định hướng phát triển đô thị của tỉnh.</w:t>
        <w:br/>
        <w:t xml:space="preserve">Sau điều chỉnh, phân khu C4 vẫn giữ nguyên diện tích 1.500 ha. Trong đó, đất nhóm nhà ở chiếm 60,87% (gần 711 ha); đất công cộng dịch vụ đô thị chiếm 11,54%; đất cây xanh chiếm 12,34% và đất giao</w:t>
      </w:r>
      <w:r>
        <w:rPr>
          <w:shd w:val="clear" w:color="auto" w:fill="ffffff"/>
        </w:rPr>
        <w:t xml:space="preserve"> thông đô thị chiếm hơn 15%.</w:t>
        <w:br/>
        <w:t xml:space="preserve">Một số điều chỉnh đáng chú ý là tăng đất ở cao tầng, giảm đất ở thấp tầng; điều chỉnh vị trí, ranh giới các khu chức năng như thương mại dịch vụ, giáo dục, y tế, công viên cây xanh, công trình công cộng tại các khu đô thị Long </w:t>
      </w:r>
      <w:r>
        <w:rPr>
          <w:shd w:val="clear" w:color="auto" w:fill="ffffff"/>
        </w:rPr>
        <w:t xml:space="preserve">Hưng, Waterfront, Aqua City và Cù lao Phước Hưng; bổ sung 2 vị trí đất ở cao tầng để phát triển nhà ở xã hội; điều chỉnh hướng tuyến cầu qua cù lao Phước Hưng.</w:t>
        <w:br/>
        <w:t xml:space="preserve">Quyết định điều chỉnh quy hoạch cũng nâng tổng chiều cao công trình tối đa trong khu vực lên 110</w:t>
      </w:r>
      <w:r>
        <w:rPr>
          <w:shd w:val="clear" w:color="auto" w:fill="ffffff"/>
        </w:rPr>
        <w:t xml:space="preserve"> m, phù hợp với quy định về độ cao tĩnh không. Nhà ở cao tầng từ 15 đến 25 tầng, còn nhà ở thấp tầng từ 2 đến 6 tầng.</w:t>
        <w:br/>
        <w:t xml:space="preserve">Đây là phân khu nằm trong quy hoạch chung TP. Biên Hòa cũ. Thời gian qua, các nhà đầu tư đã triển khai nhiều dự án tại đây, như khu dân cư</w:t>
      </w:r>
      <w:r>
        <w:rPr>
          <w:shd w:val="clear" w:color="auto" w:fill="ffffff"/>
        </w:rPr>
        <w:t xml:space="preserve"> Long Hưng, khu đô thị Đồng Nai Waterfront, khu đô thị Aqua City và khu đô thị dịch vụ thương mại cao cấp Cù lao Phước Hưng.</w:t>
        <w:br/>
        <w:t xml:space="preserve">Tại thời điểm phê duyệt quy hoạch chung và phân khu C4, chưa cập nhật đầy đủ quy hoạch chi tiết 1/500 các dự án trước đó, gây ra sự</w:t>
      </w:r>
      <w:r>
        <w:rPr>
          <w:shd w:val="clear" w:color="auto" w:fill="ffffff"/>
        </w:rPr>
        <w:t xml:space="preserve"> không đồng bộ giữa các cấp quy hoạch, dẫn đến nhiều dự án phải tạm dừng. Quyết định điều chỉnh cục bộ là bước pháp lý quan trọng giúp tháo gỡ khó khăn, đảm bảo đồng bộ quy hoạch và mở đường cho điều chỉnh quy hoạch chi tiết các dự án trên.</w:t>
        <w:br/>
        <w:t xml:space="preserve">Bên cạnh đó, Dự</w:t>
      </w:r>
      <w:r>
        <w:rPr>
          <w:shd w:val="clear" w:color="auto" w:fill="ffffff"/>
        </w:rPr>
        <w:t xml:space="preserve"> án Cù lao Tân Vạn (phường Biên Hòa) cũng vừa được đấu giá thành công. Hiện dự án này do Tập đoàn TTC làm chủ đầu tư. Việc đấu giá thành công cũng góp phần thúc đẩy thị trường bất động sản Đồng Nai sôi động hơn. Ngoài ra, một số khu vực, như xã Nhơn Trạch,</w:t>
      </w:r>
      <w:r>
        <w:rPr>
          <w:shd w:val="clear" w:color="auto" w:fill="ffffff"/>
        </w:rPr>
        <w:t xml:space="preserve"> sau thời gian dài trầm lắng, nay có nhiều dự án được gỡ vướng pháp lý và triển khai trở lại, nên thị trường có nhiều tín hiệu khả quan.</w:t>
        <w:br/>
        <w:t xml:space="preserve">Thị trường phục hồi và phát triển</w:t>
        <w:br/>
        <w:t xml:space="preserve">Đầu tháng 8, thị trường bất động sản Đồng Nai có những chuyển động tích cực khi hàng </w:t>
      </w:r>
      <w:r>
        <w:rPr>
          <w:shd w:val="clear" w:color="auto" w:fill="ffffff"/>
        </w:rPr>
        <w:t xml:space="preserve">loạt dự án thông báo mở bán. Dự án chung cư hiếm hoi là Fiato Airport City, do Thang Long Real Group làm đơn vị phát triển, được xây dựng trên diện tích hơn 22.500 m2 tại Nhơn Trạch, gồm 2 block cao 12 - 18 tầng, với 880 căn hộ.</w:t>
        <w:br/>
        <w:t xml:space="preserve">Tập đoàn Nam Long cũng vừa </w:t>
      </w:r>
      <w:r>
        <w:rPr>
          <w:shd w:val="clear" w:color="auto" w:fill="ffffff"/>
        </w:rPr>
        <w:t xml:space="preserve">phát đi thông báo triển khai xây dựng và mở bán Dự án Izumi City trong khu C4, diện tích 170 ha, gồm các dòng sản phẩm như căn hộ Flora, shophouse, nhà phố liền kề, biệt thự đơn lập, biệt thự song lập, tổng số lên tới 3.691 căn.</w:t>
        <w:br/>
        <w:t xml:space="preserve">Cũng tại phân khu C4, Tập đ</w:t>
      </w:r>
      <w:r>
        <w:rPr>
          <w:shd w:val="clear" w:color="auto" w:fill="ffffff"/>
        </w:rPr>
        <w:t xml:space="preserve">oàn Novaland chính thức phát triển xây dựng và chuẩn bị mở bán Dự án Aqua City trong quý III và quý IV/2025. Dự án có diện tích gần 1.000 ha, gồm 7 phân khu với hàng chục ngàn sản phẩm, như nhà phố, biệt thự, căn hộ, shophouse.</w:t>
        <w:br/>
        <w:t xml:space="preserve">Bên cạnh đó, Tập đoàn TTC cũ</w:t>
      </w:r>
      <w:r>
        <w:rPr>
          <w:shd w:val="clear" w:color="auto" w:fill="ffffff"/>
        </w:rPr>
        <w:t xml:space="preserve">ng đang triển khai xây dựng và sẽ mở bán dòng sản phẩm nhà phố, biệt thự, đất nền tại Dự án Cù lao Tân Vạn sau khi hoàn tất thương vụ mua bán - sáp nhập (M&amp;A) dự án này. Các doanh nghiệp như Đất Xanh, Phú Long, Ecopark, liên doanh TKG Taekwang Vina - Daewo</w:t>
      </w:r>
      <w:r>
        <w:rPr>
          <w:shd w:val="clear" w:color="auto" w:fill="ffffff"/>
        </w:rPr>
        <w:t xml:space="preserve">o E&amp;C (Hàn Quốc) với Dự án Fores Centerm cũng thông báo chuẩn bị ra mắt dự án tại Đồng Nai trong quý IV.</w:t>
        <w:br/>
        <w:t xml:space="preserve">Theo ông Đinh Minh Tuấn, Giám đốc khu vực miền Nam của Batdongsan.com.vn, Đồng Nai nằm ở vị trí chiến lược, cửa ngõ quan trọng nối liền các tỉnh Đông N</w:t>
      </w:r>
      <w:r>
        <w:rPr>
          <w:shd w:val="clear" w:color="auto" w:fill="ffffff"/>
        </w:rPr>
        <w:t xml:space="preserve">am bộ với miền Trung và Tây Nam bộ. Sự kết nối thuận lợi này khiến tỉnh trở thành trung tâm giao thương, đặc biệt là tại những khu vực như Biên Hòa, Long Thành, Nhơn Trạch, nơi thu hút lượng lớn nhà đầu tư và người lao động.</w:t>
        <w:br/>
        <w:t xml:space="preserve">Sự phát triển mạnh mẽ của hạ tầ</w:t>
      </w:r>
      <w:r>
        <w:rPr>
          <w:shd w:val="clear" w:color="auto" w:fill="ffffff"/>
        </w:rPr>
        <w:t xml:space="preserve">ng giao thông là một trong những yếu tố quan trọng thúc đẩy thị trường bất động sản Đồng Nai. Trong đó, phải nhắc đến Cảng hàng không quốc tế Long Thành, dự kiến nằm trong top những sân bay lớn nhất Đông Nam Á, góp phần kết nối Đồng Nai với nhiều quốc gia </w:t>
      </w:r>
      <w:r>
        <w:rPr>
          <w:shd w:val="clear" w:color="auto" w:fill="ffffff"/>
        </w:rPr>
        <w:t xml:space="preserve">và thu hút du lịch, thương mại. Bên cạnh đó, các tuyến cao tốc như TP.HCM - Long Thành - Dầu Giây, Dầu Giây - Phan Thiết, Biên Hòa - Vũng Tàu và các tuyến đường vành đai kết nối liên vùng sẽ rút ngắn thời gian di chuyển giữa các địa phương.</w:t>
        <w:br/>
        <w:t xml:space="preserve">Sở hữu lợi thế </w:t>
      </w:r>
      <w:r>
        <w:rPr>
          <w:shd w:val="clear" w:color="auto" w:fill="ffffff"/>
        </w:rPr>
        <w:t xml:space="preserve">về vị trí, hạ tầng cùng sự gia tăng số lượng chuyên gia, lao động đến định cư và làm việc tại các khu công nghiệp, Đồng Nai được đánh giá là thị trường bất động sản tiềm năng, mang lại lợi nhuận cao cho các nhà đầu tư, đặc biệt là khi các dự án giao thông </w:t>
      </w:r>
      <w:r>
        <w:rPr>
          <w:shd w:val="clear" w:color="auto" w:fill="ffffff"/>
        </w:rPr>
        <w:t xml:space="preserve">và khu đô thị hoàn thiện. Ông Đinh Minh Tuấn nhận định, cuối năm 2025 và năm 2026 sẽ là giai đoạn bùng nổ của thị trường bất động sản Đồng Nai.</w:t>
        <w:br/>
        <w:t xml:space="preserve">(Nguồn thông tin: https://baodautu.vn/batdongsan/thi-truong-bat-dong-san-dong-nai-phuc-hoi-manh-me-d362201.html)</w:t>
      </w:r>
      <w:r>
        <w:rPr>
          <w:i/>
          <w:iCs/>
          <w:lang w:val="pt-BR"/>
        </w:rPr>
      </w:r>
      <w:r>
        <w:rPr>
          <w:i/>
          <w:iCs/>
          <w:lang w:val="pt-BR"/>
        </w:rPr>
      </w:r>
    </w:p>
    <w:p>
      <w:pPr>
        <w:pStyle w:val="1052"/>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Style w:val="1056"/>
        <w:tblInd w:w="-326" w:type="dxa"/>
        <w:tblW w:w="512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1"/>
        <w:gridCol w:w="4"/>
        <w:gridCol w:w="2230"/>
        <w:gridCol w:w="4"/>
        <w:gridCol w:w="2372"/>
        <w:gridCol w:w="4"/>
        <w:gridCol w:w="1981"/>
        <w:gridCol w:w="4"/>
        <w:gridCol w:w="2899"/>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Style w:val="1052"/>
              <w:numPr>
                <w:ilvl w:val="0"/>
                <w:numId w:val="49"/>
              </w:numPr>
              <w:pBdr/>
              <w:spacing/>
              <w:ind w:right="0" w:hanging="283" w:left="283"/>
              <w:jc w:val="both"/>
              <w:rPr>
                <w:b/>
                <w:bCs/>
                <w:color w:val="000000"/>
              </w:rPr>
            </w:pPr>
            <w:r>
              <w:rPr>
                <w:b/>
                <w:bCs/>
                <w:color w:val="000000"/>
              </w:rPr>
              <w:t xml:space="preserve">Tài sản số 01: Quyền sử dụng đất thuê trả tiền một lần có thời hạn đến ngày 31/12/2065 tại thửa đất số 555, tờ bản đồ số 23 có địa chỉ: </w:t>
            </w:r>
            <w:r>
              <w:rPr>
                <w:b/>
                <w:bCs/>
                <w:color w:val="000000"/>
              </w:rPr>
              <w:t xml:space="preserve">Xã Đồng Tiến, huyện Đồng Phú, tỉnh Bình Phước (nay là xã Đồng Tâm, thành phố Đồng Nai) theo Giấy chứng nhận quyền sử dụng đất quyền sở hữu nhà ở và tài sản khác gắn liền với đất số BX 189979 có số vào sổ cấp GCN: CT 06399 do UBND tỉnh Bình Phước cấp ngày 2</w:t>
            </w:r>
            <w:r>
              <w:rPr>
                <w:b/>
                <w:bCs/>
                <w:color w:val="000000"/>
              </w:rPr>
              <w:t xml:space="preserve">1/03/2016; Chủ sử dụng đất là Công ty TNHH Cao su Quốc Việt. </w:t>
            </w:r>
            <w:r>
              <w:rPr>
                <w:b/>
                <w:bCs/>
                <w:color w:val="000000"/>
              </w:rPr>
            </w:r>
            <w:r>
              <w:rPr>
                <w:b/>
                <w:bCs/>
                <w:color w:val="000000"/>
              </w:rPr>
            </w:r>
          </w:p>
          <w:p>
            <w:pPr>
              <w:pStyle w:val="1052"/>
              <w:numPr>
                <w:ilvl w:val="0"/>
                <w:numId w:val="49"/>
              </w:numPr>
              <w:pBdr/>
              <w:spacing/>
              <w:ind w:right="0" w:hanging="283" w:left="283"/>
              <w:jc w:val="both"/>
              <w:rPr>
                <w:b/>
                <w:bCs/>
                <w:color w:val="000000"/>
              </w:rPr>
            </w:pPr>
            <w:r>
              <w:rPr>
                <w:b/>
                <w:bCs/>
                <w:color w:val="000000"/>
              </w:rPr>
              <w:t xml:space="preserve">Tài sản số 02: Quyền sử dụng đất thuê trả tiền một lần có thời hạn đến ngày 31/12/2065 tại thửa đất số 554, tờ bản đồ số 23 có địa chỉ: Xã Đồng Tiến, huyện Đồng Phú, tỉnh Bình Phước (nay là xã </w:t>
            </w:r>
            <w:r>
              <w:rPr>
                <w:b/>
                <w:bCs/>
                <w:color w:val="000000"/>
              </w:rPr>
              <w:t xml:space="preserve">Đồng Tâm, thành phố Đồng Nai) theo Giấy chứng nhận quyền sử dụng đất quyền sở hữu nhà ở và tài sản khác gắn liền với đất số BX 189978 có số vào sổ cấp GCN: CT 06400 do UBND tỉnh Bình Phước cấp ngày 21/03/2016; Chủ sử dụng đất là Công ty TNHH Cao su Quốc Vi</w:t>
            </w:r>
            <w:r>
              <w:rPr>
                <w:b/>
                <w:bCs/>
                <w:color w:val="000000"/>
              </w:rPr>
              <w:t xml:space="preserve">ệt. </w:t>
            </w:r>
            <w:r>
              <w:rPr>
                <w:b/>
                <w:bCs/>
                <w:color w:val="000000"/>
              </w:rPr>
            </w:r>
            <w:r>
              <w:rPr>
                <w:b/>
                <w:bCs/>
                <w:color w:val="000000"/>
              </w:rPr>
            </w:r>
          </w:p>
          <w:p>
            <w:pPr>
              <w:pStyle w:val="1052"/>
              <w:numPr>
                <w:ilvl w:val="0"/>
                <w:numId w:val="49"/>
              </w:numPr>
              <w:pBdr/>
              <w:spacing/>
              <w:ind w:right="0" w:hanging="283" w:left="283"/>
              <w:jc w:val="both"/>
              <w:rPr>
                <w:b/>
                <w:bCs/>
                <w:color w:val="000000"/>
              </w:rPr>
            </w:pPr>
            <w:r>
              <w:rPr>
                <w:b/>
                <w:bCs/>
                <w:color w:val="000000"/>
              </w:rPr>
              <w:t xml:space="preserve">Tài sản số 03: Quyền sử dụng đất thuê trả tiền một lần có thời hạn đến ngày 26/01/2061 và tài sản gắn liền với đất tại thửa đất số 63, tờ bản đồ số 24 có địa chỉ: Ấp 1, xã Đồng Tiến, huyện Đồng Phú, tỉnh Bình Phước (nay là xã Đồng Tâm, thành phố Đồng N</w:t>
            </w:r>
            <w:r>
              <w:rPr>
                <w:b/>
                <w:bCs/>
                <w:color w:val="000000"/>
              </w:rPr>
              <w:t xml:space="preserve">ai) theo Giấy chứng nhận quyền sử dụng đất quyền sở hữu nhà ở và tài sản khác gắn liền với đất số BN 971526 có số vào sổ cấp GCN: CT 05916 do Sở Tài nguyên và Môi trường tỉnh Bình Phước cấp ngày 20/05/2015; Chủ sử dụng đất là Công ty TNHH Cao su Quốc Việt.</w:t>
            </w:r>
            <w:r>
              <w:rPr>
                <w:b/>
                <w:bCs/>
                <w:color w:val="000000"/>
              </w:rPr>
              <w:t xml:space="preserve">.</w:t>
            </w:r>
            <w:r>
              <w:rPr>
                <w:b/>
                <w:bCs/>
                <w:color w:val="000000"/>
              </w:rPr>
            </w:r>
            <w:r>
              <w:rPr>
                <w:b/>
                <w:bCs/>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a.</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Thửa đất số 555, tờ bản đồ số 23 có địa chỉ: Xã Đồng Tiến, huyện Đồng Phú, tỉnh Bình Phước (nay là xã Đồng Tâm,</w:t>
            </w:r>
            <w:r>
              <w:rPr>
                <w:b/>
                <w:bCs/>
                <w:color w:val="000000"/>
              </w:rPr>
              <w:t xml:space="preserve">thành phố Đồng Nai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BX 189979.</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555</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t xml:space="preserve">Xã Đồng Tiến, huyện Đồng Phú, tỉnh Bình Phước (nay là xã Đồng Tâm, </w:t>
            </w:r>
            <w:r>
              <w:rPr>
                <w:b w:val="0"/>
                <w:bCs w:val="0"/>
                <w:color w:val="000000"/>
              </w:rPr>
              <w:t xml:space="preserve">thành phố Đồng Nai</w:t>
            </w:r>
            <w:r>
              <w:rPr>
                <w:rFonts w:ascii="Times New Roman" w:hAnsi="Times New Roman" w:eastAsia="Times New Roman" w:cs="Times New Roman"/>
                <w:b w:val="0"/>
                <w:bCs w:val="0"/>
                <w:color w:val="000000"/>
                <w:sz w:val="24"/>
              </w:rPr>
              <w:t xml:space="preserve">)</w:t>
            </w:r>
            <w:r>
              <w:rPr>
                <w:b w:val="0"/>
                <w:bCs w:val="0"/>
              </w:rPr>
            </w:r>
            <w:r>
              <w:rPr>
                <w:b w:val="0"/>
                <w:bCs w:val="0"/>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4.868,1</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cơ sở sản xuất phi nông nghiệp</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ngày 31/12/2065</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cho thuê đất trả tiền một lần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vMerge w:val="restart"/>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vMerge w:val="restart"/>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w:t>
            </w:r>
            <w:r/>
          </w:p>
        </w:tc>
        <w:tc>
          <w:tcPr>
            <w:gridSpan w:val="7"/>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Thửa đất số 554, tờ bản đồ số 23 có địa chỉ: Xã Đồng Tiến, huyện Đồng Phú, tỉnh Bình Phước (</w:t>
            </w:r>
            <w:r>
              <w:rPr>
                <w:rFonts w:ascii="Times New Roman" w:hAnsi="Times New Roman" w:eastAsia="Times New Roman" w:cs="Times New Roman"/>
                <w:b/>
                <w:color w:val="000000"/>
                <w:sz w:val="24"/>
              </w:rPr>
              <w:t xml:space="preserve">nay là xã Đồng Tâm, </w:t>
            </w:r>
            <w:r>
              <w:rPr>
                <w:b/>
                <w:bCs/>
                <w:color w:val="000000"/>
              </w:rPr>
              <w:t xml:space="preserve">thành phố Đồng Nai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BX 189978.</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554</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Xã Đồng Tiến, huyện Đồng Phú, tỉnh Bình Phước (nay là xã Đồng Tâm, </w:t>
            </w:r>
            <w:r>
              <w:rPr>
                <w:b w:val="0"/>
                <w:bCs w:val="0"/>
                <w:color w:val="000000"/>
              </w:rPr>
              <w:t xml:space="preserve">thành phố Đồng Nai</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3.969,4</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cơ sở sản xuất phi nông nghiệp</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ngày 31/12/2065</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cho thuê đất trả tiền một lần </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vMerge w:val="restart"/>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9" w:type="dxa"/>
            <w:vAlign w:val="center"/>
            <w:vMerge w:val="restart"/>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w:t>
            </w:r>
            <w:r/>
          </w:p>
        </w:tc>
        <w:tc>
          <w:tcPr>
            <w:gridSpan w:val="7"/>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Thửa đất số 63, tờ bản đồ số 24 có địa chỉ: Ấp 1, xã Đồng Tiến, huyện Đồng Phú, tỉnh Bình Phước (nay là xã Đồng Tâm, </w:t>
            </w:r>
            <w:r>
              <w:rPr>
                <w:b/>
                <w:bCs/>
                <w:color w:val="000000"/>
              </w:rPr>
              <w:t xml:space="preserve">thành phố Đồng Nai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BN 971526.</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Địa chỉ:</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t xml:space="preserve">Ấp 1, xã Đồng Tiến, huyện Đồng Phú, tỉnh Bình Phước (nay là xã Đồng Tâm, </w:t>
            </w:r>
            <w:r>
              <w:rPr>
                <w:b w:val="0"/>
                <w:bCs w:val="0"/>
                <w:color w:val="000000"/>
              </w:rPr>
              <w:t xml:space="preserve">thành phố Đồng Nai</w:t>
            </w:r>
            <w:r>
              <w:rPr>
                <w:rFonts w:ascii="Times New Roman" w:hAnsi="Times New Roman" w:eastAsia="Times New Roman" w:cs="Times New Roman"/>
                <w:b w:val="0"/>
                <w:bCs w:val="0"/>
                <w:color w:val="000000"/>
                <w:sz w:val="24"/>
              </w:rPr>
              <w:t xml:space="preserve">)</w:t>
            </w:r>
            <w:r>
              <w:rPr>
                <w:b w:val="0"/>
                <w:bCs w:val="0"/>
              </w:rPr>
            </w:r>
            <w:r>
              <w:rPr>
                <w:b w:val="0"/>
                <w:bCs w:val="0"/>
              </w:rP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(m²):</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24.962</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Mục đích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cơ sở sản xuất phi nông nghiệp</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24.562m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Đến ngày 26/01/2061.</w:t>
              <w:br/>
              <w:t xml:space="preserve"> 400m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Lâu dài.</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Nguồn gốc sử dụng:</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 </w:t>
            </w:r>
            <w:r/>
          </w:p>
        </w:tc>
      </w:tr>
      <w:tr>
        <w:trPr>
          <w:trHeight w:val="20"/>
        </w:trPr>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vMerge w:val="restart"/>
            <w:textDirection w:val="lrTb"/>
            <w:noWrap w:val="false"/>
          </w:tcPr>
          <w:p>
            <w:pPr>
              <w:pBdr/>
              <w:spacing/>
              <w:ind/>
              <w:jc w:val="both"/>
              <w:rPr>
                <w:color w:val="000000"/>
              </w:rPr>
            </w:pPr>
            <w:r>
              <w:rPr>
                <w:color w:val="000000"/>
              </w:rPr>
              <w:t xml:space="preserve">Thông tin quy hoạch:</w:t>
            </w:r>
            <w:r>
              <w:rPr>
                <w:color w:val="000000"/>
              </w:rPr>
            </w:r>
            <w:r>
              <w:rPr>
                <w:color w:val="000000"/>
              </w:rP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9" w:type="dxa"/>
            <w:vAlign w:val="center"/>
            <w:vMerge w:val="restart"/>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và Giao thông: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tài sản thẩm định trên bản đồ vệ tinh: </w:t>
            </w:r>
            <w:r>
              <w:rPr>
                <w:rFonts w:ascii="Times New Roman" w:hAnsi="Times New Roman" w:eastAsia="Times New Roman" w:cs="Times New Roman"/>
                <w:color w:val="000000"/>
                <w:sz w:val="24"/>
              </w:rPr>
              <w:t xml:space="preserve">11°34'40.2"N 106°57'16.0"E</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spacing w:after="0" w:before="0" w:line="240" w:lineRule="auto"/>
              <w:ind/>
              <w:jc w:val="center"/>
              <w:rPr/>
            </w:pPr>
            <w:r>
              <w:rPr>
                <w:color w:val="000000"/>
              </w:rPr>
              <mc:AlternateContent>
                <mc:Choice Requires="wpg">
                  <w:drawing>
                    <wp:inline xmlns:wp="http://schemas.openxmlformats.org/drawingml/2006/wordprocessingDrawing" distT="0" distB="0" distL="0" distR="0">
                      <wp:extent cx="5555414" cy="2802010"/>
                      <wp:effectExtent l="0" t="0" r="0" b="0"/>
                      <wp:docPr id="5" name=""/>
                      <wp:cNvGraphicFramePr/>
                      <a:graphic xmlns:a="http://schemas.openxmlformats.org/drawingml/2006/main">
                        <a:graphicData uri="http://schemas.openxmlformats.org/drawingml/2006/picture">
                          <pic:pic xmlns:pic="http://schemas.openxmlformats.org/drawingml/2006/picture">
                            <pic:nvPicPr>
                              <pic:cNvPr id="279571389" name="" descr=""/>
                              <pic:cNvPicPr/>
                              <pic:nvPr/>
                            </pic:nvPicPr>
                            <pic:blipFill rotWithShape="1">
                              <a:blip r:embed="rId17"/>
                              <a:stretch/>
                            </pic:blipFill>
                            <pic:spPr bwMode="auto">
                              <a:xfrm rot="0" flipH="0" flipV="0">
                                <a:off x="0" y="0"/>
                                <a:ext cx="5555414" cy="28020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7.43pt;height:220.63pt;mso-wrap-distance-left:0.00pt;mso-wrap-distance-top:0.00pt;mso-wrap-distance-right:0.00pt;mso-wrap-distance-bottom:0.00pt;rotation:0;z-index:1;" stroked="false">
                      <v:imagedata r:id="rId17" o:title=""/>
                      <o:lock v:ext="edit" rotation="t"/>
                    </v:shape>
                  </w:pict>
                </mc:Fallback>
              </mc:AlternateConten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Địa chỉ thực tế:</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Đồng Tiến, huyện Đồng Phú, tỉnh Bình Phước (nay là xã Đồng Tâm, thành phố Đồng Nai)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tiếp giáp:</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BTXM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rộng khoảng 5m </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rộng khoảng 5m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Tiếp giáp đường nội bộ dân sinh trong khu dân cư. Cách trục chính QL 14 khoảng 1,3km.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mặt tiếp giáp:</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numPr>
                <w:ilvl w:val="0"/>
                <w:numId w:val="48"/>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Hướng Tây Nam: Tiếp giáp đường dân sinh rộng 5m</w:t>
            </w:r>
            <w:r/>
          </w:p>
          <w:p>
            <w:pPr>
              <w:numPr>
                <w:ilvl w:val="0"/>
                <w:numId w:val="48"/>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Các hướng còn lại: Tiếp giáp với các thửa đất khác.</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a.</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 số 555, tờ bản đồ số 23</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4.868,1 m</w:t>
            </w:r>
            <w:r>
              <w:rPr>
                <w:rFonts w:ascii="Times New Roman" w:hAnsi="Times New Roman" w:eastAsia="Times New Roman" w:cs="Times New Roman"/>
                <w:color w:val="000000"/>
                <w:sz w:val="20"/>
                <w:vertAlign w:val="superscript"/>
              </w:rPr>
              <w:t xml:space="preserve">2</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Ssd chung thực tế:</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~84,03m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~70,24m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hậu:</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~94,7m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MT chính:</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Tây Nam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 số 554, tờ bản đồ số 23</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3.969,4 m</w:t>
            </w:r>
            <w:r>
              <w:rPr>
                <w:rFonts w:ascii="Times New Roman" w:hAnsi="Times New Roman" w:eastAsia="Times New Roman" w:cs="Times New Roman"/>
                <w:color w:val="000000"/>
                <w:sz w:val="20"/>
                <w:vertAlign w:val="superscript"/>
              </w:rPr>
              <w:t xml:space="preserve">2</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Ssd chung thực tế:</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~72m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~25,51m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hậu:</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76m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MT chính:</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Bắc</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 số 63, tờ bản đồ số 24</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24.962 m</w:t>
            </w:r>
            <w:r>
              <w:rPr>
                <w:rFonts w:ascii="Times New Roman" w:hAnsi="Times New Roman" w:eastAsia="Times New Roman" w:cs="Times New Roman"/>
                <w:color w:val="000000"/>
                <w:sz w:val="20"/>
                <w:vertAlign w:val="superscript"/>
              </w:rPr>
              <w:t xml:space="preserve">2</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Ssd chung thực tế:</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~58,24m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~257,2m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hậu:</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12,26m</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MT chính:</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Tây Nam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nội bộ:</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Nước máy, Rãnh có nắp, Điện lưới, Điện Thoại,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xung quanh:</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Mật độ dân cư:</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Khá đông đúc</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Lợi thế kinh doanh:</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Phù hợp để xây dựng kho xưởng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 w:type="dxa"/>
            <w:vAlign w:val="center"/>
            <w:textDirection w:val="lrTb"/>
            <w:noWrap w:val="false"/>
          </w:tcPr>
          <w:p>
            <w:pPr>
              <w:pBdr/>
              <w:spacing w:after="0" w:before="0" w:line="240" w:lineRule="auto"/>
              <w:ind/>
              <w:rPr/>
            </w:pPr>
            <w:r/>
            <w:r/>
          </w:p>
        </w:tc>
        <w:tc>
          <w:tcPr>
            <w:gridSpan w:val="8"/>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Theo khảo sát thực tế, tại thời điểm thẩm định giá tài sản gắn liền với đất gồm có: Các hệ thống nhà xưởng sản xuất, nhà văn phòng, nhà để xe, tường rào…. </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6"/>
        <w:tblInd w:w="-317" w:type="dxa"/>
        <w:tblW w:w="0" w:type="auto"/>
        <w:tblBorders/>
        <w:tblLayout w:type="fixed"/>
        <w:tblLook w:val="04A0" w:firstRow="1" w:lastRow="0" w:firstColumn="1" w:lastColumn="0" w:noHBand="0" w:noVBand="1"/>
      </w:tblPr>
      <w:tblGrid>
        <w:gridCol w:w="675"/>
        <w:gridCol w:w="2126"/>
        <w:gridCol w:w="2022"/>
        <w:gridCol w:w="2268"/>
        <w:gridCol w:w="1371"/>
        <w:gridCol w:w="1605"/>
      </w:tblGrid>
      <w:tr>
        <w:trPr>
          <w:jc w:val="center"/>
        </w:trPr>
        <w:tc>
          <w:tcPr>
            <w:tcBorders/>
            <w:tcW w:w="675" w:type="dxa"/>
            <w:vAlign w:val="center"/>
            <w:textDirection w:val="lrTb"/>
            <w:noWrap w:val="false"/>
          </w:tcPr>
          <w:p>
            <w:pPr>
              <w:pBdr/>
              <w:spacing/>
              <w:ind/>
              <w:jc w:val="center"/>
              <w:rPr>
                <w:b/>
                <w:bCs/>
              </w:rPr>
            </w:pPr>
            <w:r>
              <w:rPr>
                <w:b/>
                <w:bCs/>
              </w:rPr>
              <w:t xml:space="preserve">TT</w:t>
            </w:r>
            <w:r>
              <w:rPr>
                <w:b/>
                <w:bCs/>
              </w:rPr>
            </w:r>
            <w:r>
              <w:rPr>
                <w:b/>
                <w:bCs/>
              </w:rPr>
            </w:r>
          </w:p>
        </w:tc>
        <w:tc>
          <w:tcPr>
            <w:tcBorders/>
            <w:tcW w:w="2126"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22"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268"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605"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675" w:type="dxa"/>
            <w:vAlign w:val="center"/>
            <w:textDirection w:val="lrTb"/>
            <w:noWrap w:val="false"/>
          </w:tcPr>
          <w:p>
            <w:pPr>
              <w:pBdr/>
              <w:spacing/>
              <w:ind/>
              <w:jc w:val="center"/>
              <w:rPr/>
            </w:pPr>
            <w:r>
              <w:t xml:space="preserve">1</w:t>
            </w:r>
            <w:r/>
          </w:p>
        </w:tc>
        <w:tc>
          <w:tcPr>
            <w:tcBorders/>
            <w:tcW w:w="2126" w:type="dxa"/>
            <w:vAlign w:val="center"/>
            <w:textDirection w:val="lrTb"/>
            <w:noWrap w:val="false"/>
          </w:tcPr>
          <w:p>
            <w:pPr>
              <w:pBdr/>
              <w:spacing/>
              <w:ind/>
              <w:jc w:val="center"/>
              <w:rPr/>
            </w:pPr>
            <w:r>
              <w:t xml:space="preserve">Địa chỉ trên sổ</w:t>
            </w:r>
            <w:r/>
          </w:p>
        </w:tc>
        <w:tc>
          <w:tcPr>
            <w:tcBorders/>
            <w:tcW w:w="2022" w:type="dxa"/>
            <w:vAlign w:val="center"/>
            <w:textDirection w:val="lrTb"/>
            <w:noWrap w:val="false"/>
          </w:tcPr>
          <w:p>
            <w:pPr>
              <w:pBdr/>
              <w:spacing/>
              <w:ind/>
              <w:jc w:val="center"/>
              <w:rPr/>
            </w:pPr>
            <w:r>
              <w:t xml:space="preserve">Xã Đồng Tâm, Thành phố Đồng Nai</w:t>
            </w:r>
            <w:r/>
          </w:p>
        </w:tc>
        <w:tc>
          <w:tcPr>
            <w:tcBorders/>
            <w:tcW w:w="2268" w:type="dxa"/>
            <w:vAlign w:val="center"/>
            <w:textDirection w:val="lrTb"/>
            <w:noWrap w:val="false"/>
          </w:tcPr>
          <w:p>
            <w:pPr>
              <w:pBdr/>
              <w:spacing/>
              <w:ind/>
              <w:jc w:val="center"/>
              <w:rPr/>
            </w:pPr>
            <w:r>
              <w:t xml:space="preserve">Xã Đồng Tâm, Thành phố Đồng Nai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2</w:t>
            </w:r>
            <w:r/>
          </w:p>
        </w:tc>
        <w:tc>
          <w:tcPr>
            <w:tcBorders/>
            <w:tcW w:w="2126" w:type="dxa"/>
            <w:vAlign w:val="center"/>
            <w:textDirection w:val="lrTb"/>
            <w:noWrap w:val="false"/>
          </w:tcPr>
          <w:p>
            <w:pPr>
              <w:pBdr/>
              <w:spacing/>
              <w:ind/>
              <w:jc w:val="center"/>
              <w:rPr/>
            </w:pPr>
            <w:r>
              <w:t xml:space="preserve">Địa chỉ thực tế</w:t>
            </w:r>
            <w:r/>
          </w:p>
        </w:tc>
        <w:tc>
          <w:tcPr>
            <w:tcBorders/>
            <w:tcW w:w="2022" w:type="dxa"/>
            <w:vAlign w:val="center"/>
            <w:textDirection w:val="lrTb"/>
            <w:noWrap w:val="false"/>
          </w:tcPr>
          <w:p>
            <w:pPr>
              <w:pBdr/>
              <w:spacing/>
              <w:ind/>
              <w:jc w:val="center"/>
              <w:rPr/>
            </w:pPr>
            <w:r>
              <w:t xml:space="preserve">Xã Đồng Tâm, Thành phố Đồng Nai</w:t>
            </w:r>
            <w:r/>
          </w:p>
        </w:tc>
        <w:tc>
          <w:tcPr>
            <w:tcBorders/>
            <w:tcW w:w="2268" w:type="dxa"/>
            <w:vAlign w:val="center"/>
            <w:textDirection w:val="lrTb"/>
            <w:noWrap w:val="false"/>
          </w:tcPr>
          <w:p>
            <w:pPr>
              <w:pBdr/>
              <w:spacing/>
              <w:ind/>
              <w:jc w:val="center"/>
              <w:rPr/>
            </w:pPr>
            <w:r>
              <w:t xml:space="preserve">Xã Đồng Tâm, Thành phố Đồng Nai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3</w:t>
            </w:r>
            <w:r/>
          </w:p>
        </w:tc>
        <w:tc>
          <w:tcPr>
            <w:tcBorders/>
            <w:tcW w:w="2126" w:type="dxa"/>
            <w:vAlign w:val="center"/>
            <w:textDirection w:val="lrTb"/>
            <w:noWrap w:val="false"/>
          </w:tcPr>
          <w:p>
            <w:pPr>
              <w:pBdr/>
              <w:spacing/>
              <w:ind/>
              <w:jc w:val="center"/>
              <w:rPr/>
            </w:pPr>
            <w:r>
              <w:t xml:space="preserve">Pháp lý</w:t>
            </w:r>
            <w:r/>
          </w:p>
        </w:tc>
        <w:tc>
          <w:tcPr>
            <w:tcBorders/>
            <w:tcW w:w="2022" w:type="dxa"/>
            <w:vAlign w:val="center"/>
            <w:textDirection w:val="lrTb"/>
            <w:noWrap w:val="false"/>
          </w:tcPr>
          <w:p>
            <w:pPr>
              <w:pBdr/>
              <w:spacing/>
              <w:ind/>
              <w:jc w:val="center"/>
              <w:rPr/>
            </w:pPr>
            <w:r>
              <w:t xml:space="preserve">Giấy chứng nhận quyền sử dụng đất</w:t>
            </w:r>
            <w:r/>
          </w:p>
        </w:tc>
        <w:tc>
          <w:tcPr>
            <w:tcBorders/>
            <w:tcW w:w="2268" w:type="dxa"/>
            <w:vAlign w:val="center"/>
            <w:textDirection w:val="lrTb"/>
            <w:noWrap w:val="false"/>
          </w:tcPr>
          <w:p>
            <w:pPr>
              <w:pBdr/>
              <w:spacing/>
              <w:ind/>
              <w:jc w:val="center"/>
              <w:rPr/>
            </w:pPr>
            <w:r>
              <w:t xml:space="preserve">Giấy chứng nhận quyền sử dụng đất </w:t>
            </w:r>
            <w:r>
              <w:t xml:space="preserve">✔</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4</w:t>
            </w:r>
            <w:r/>
          </w:p>
        </w:tc>
        <w:tc>
          <w:tcPr>
            <w:tcBorders/>
            <w:tcW w:w="2126" w:type="dxa"/>
            <w:vAlign w:val="center"/>
            <w:textDirection w:val="lrTb"/>
            <w:noWrap w:val="false"/>
          </w:tcPr>
          <w:p>
            <w:pPr>
              <w:pBdr/>
              <w:spacing/>
              <w:ind/>
              <w:jc w:val="center"/>
              <w:rPr/>
            </w:pPr>
            <w:r>
              <w:t xml:space="preserve">Loại đất</w:t>
            </w:r>
            <w:r/>
          </w:p>
        </w:tc>
        <w:tc>
          <w:tcPr>
            <w:tcBorders/>
            <w:tcW w:w="2022" w:type="dxa"/>
            <w:vAlign w:val="center"/>
            <w:textDirection w:val="lrTb"/>
            <w:noWrap w:val="false"/>
          </w:tcPr>
          <w:p>
            <w:pPr>
              <w:pBdr/>
              <w:spacing/>
              <w:ind/>
              <w:jc w:val="center"/>
              <w:rPr/>
            </w:pPr>
            <w:r>
              <w:t xml:space="preserve">Đất cơ sở sản xuất phi nông nghiệp</w:t>
            </w:r>
            <w:r/>
          </w:p>
        </w:tc>
        <w:tc>
          <w:tcPr>
            <w:tcBorders/>
            <w:tcW w:w="2268" w:type="dxa"/>
            <w:vAlign w:val="center"/>
            <w:textDirection w:val="lrTb"/>
            <w:noWrap w:val="false"/>
          </w:tcPr>
          <w:p>
            <w:pPr>
              <w:pBdr/>
              <w:spacing/>
              <w:ind/>
              <w:jc w:val="center"/>
              <w:rPr/>
            </w:pPr>
            <w:r>
              <w:t xml:space="preserve">Đất cơ sở sản xuất phi nông nghiệp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5</w:t>
            </w:r>
            <w:r/>
          </w:p>
        </w:tc>
        <w:tc>
          <w:tcPr>
            <w:tcBorders/>
            <w:tcW w:w="2126" w:type="dxa"/>
            <w:vAlign w:val="center"/>
            <w:textDirection w:val="lrTb"/>
            <w:noWrap w:val="false"/>
          </w:tcPr>
          <w:p>
            <w:pPr>
              <w:pBdr/>
              <w:spacing/>
              <w:ind/>
              <w:jc w:val="center"/>
              <w:rPr/>
            </w:pPr>
            <w:r>
              <w:t xml:space="preserve">Thời hạn sử dụng</w:t>
            </w:r>
            <w:r/>
          </w:p>
        </w:tc>
        <w:tc>
          <w:tcPr>
            <w:tcBorders/>
            <w:tcW w:w="2022" w:type="dxa"/>
            <w:vAlign w:val="center"/>
            <w:textDirection w:val="lrTb"/>
            <w:noWrap w:val="false"/>
          </w:tcPr>
          <w:p>
            <w:pPr>
              <w:pBdr/>
              <w:spacing/>
              <w:ind/>
              <w:jc w:val="center"/>
              <w:rPr/>
            </w:pPr>
            <w:r>
              <w:t xml:space="preserve">Có thời hạn</w:t>
            </w:r>
            <w:r/>
          </w:p>
        </w:tc>
        <w:tc>
          <w:tcPr>
            <w:tcBorders/>
            <w:tcW w:w="2268" w:type="dxa"/>
            <w:vAlign w:val="center"/>
            <w:textDirection w:val="lrTb"/>
            <w:noWrap w:val="false"/>
          </w:tcPr>
          <w:p>
            <w:pPr>
              <w:pBdr/>
              <w:spacing/>
              <w:ind/>
              <w:jc w:val="center"/>
              <w:rPr/>
            </w:pPr>
            <w:r>
              <w:t xml:space="preserve">Có thời hạn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6</w:t>
            </w:r>
            <w:r/>
          </w:p>
        </w:tc>
        <w:tc>
          <w:tcPr>
            <w:tcBorders/>
            <w:tcW w:w="2126" w:type="dxa"/>
            <w:vAlign w:val="center"/>
            <w:textDirection w:val="lrTb"/>
            <w:noWrap w:val="false"/>
          </w:tcPr>
          <w:p>
            <w:pPr>
              <w:pBdr/>
              <w:spacing/>
              <w:ind/>
              <w:jc w:val="center"/>
              <w:rPr/>
            </w:pPr>
            <w:r>
              <w:t xml:space="preserve">Vị trí</w:t>
            </w:r>
            <w:r/>
          </w:p>
        </w:tc>
        <w:tc>
          <w:tcPr>
            <w:tcBorders/>
            <w:tcW w:w="2022" w:type="dxa"/>
            <w:vAlign w:val="center"/>
            <w:textDirection w:val="lrTb"/>
            <w:noWrap w:val="false"/>
          </w:tcPr>
          <w:p>
            <w:pPr>
              <w:pBdr/>
              <w:spacing/>
              <w:ind/>
              <w:jc w:val="center"/>
              <w:rPr/>
            </w:pPr>
            <w:r>
              <w:t xml:space="preserve">VT3</w:t>
            </w:r>
            <w:r/>
          </w:p>
        </w:tc>
        <w:tc>
          <w:tcPr>
            <w:tcBorders/>
            <w:tcW w:w="2268"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7</w:t>
            </w:r>
            <w:r/>
          </w:p>
        </w:tc>
        <w:tc>
          <w:tcPr>
            <w:tcBorders/>
            <w:tcW w:w="2126" w:type="dxa"/>
            <w:vAlign w:val="center"/>
            <w:textDirection w:val="lrTb"/>
            <w:noWrap w:val="false"/>
          </w:tcPr>
          <w:p>
            <w:pPr>
              <w:pBdr/>
              <w:spacing/>
              <w:ind/>
              <w:jc w:val="center"/>
              <w:rPr/>
            </w:pPr>
            <w:r>
              <w:t xml:space="preserve">Kết cấu mặt đường</w:t>
            </w:r>
            <w:r/>
          </w:p>
        </w:tc>
        <w:tc>
          <w:tcPr>
            <w:tcBorders/>
            <w:tcW w:w="2022" w:type="dxa"/>
            <w:vAlign w:val="center"/>
            <w:textDirection w:val="lrTb"/>
            <w:noWrap w:val="false"/>
          </w:tcPr>
          <w:p>
            <w:pPr>
              <w:pBdr/>
              <w:spacing/>
              <w:ind/>
              <w:jc w:val="center"/>
              <w:rPr/>
            </w:pPr>
            <w:r>
              <w:t xml:space="preserve">Đường bê tông</w:t>
            </w:r>
            <w:r/>
          </w:p>
        </w:tc>
        <w:tc>
          <w:tcPr>
            <w:tcBorders/>
            <w:tcW w:w="2268"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8</w:t>
            </w:r>
            <w:r/>
          </w:p>
        </w:tc>
        <w:tc>
          <w:tcPr>
            <w:tcBorders/>
            <w:tcW w:w="2126" w:type="dxa"/>
            <w:vAlign w:val="center"/>
            <w:textDirection w:val="lrTb"/>
            <w:noWrap w:val="false"/>
          </w:tcPr>
          <w:p>
            <w:pPr>
              <w:pBdr/>
              <w:spacing/>
              <w:ind/>
              <w:jc w:val="center"/>
              <w:rPr/>
            </w:pPr>
            <w:r>
              <w:t xml:space="preserve">Mặt cắt đường trước nhà</w:t>
            </w:r>
            <w:r/>
          </w:p>
        </w:tc>
        <w:tc>
          <w:tcPr>
            <w:tcBorders/>
            <w:tcW w:w="2022" w:type="dxa"/>
            <w:vAlign w:val="center"/>
            <w:textDirection w:val="lrTb"/>
            <w:noWrap w:val="false"/>
          </w:tcPr>
          <w:p>
            <w:pPr>
              <w:pBdr/>
              <w:spacing/>
              <w:ind/>
              <w:jc w:val="center"/>
              <w:rPr/>
            </w:pPr>
            <w:r>
              <w:t xml:space="preserve">5</w:t>
            </w:r>
            <w:r/>
          </w:p>
        </w:tc>
        <w:tc>
          <w:tcPr>
            <w:tcBorders/>
            <w:tcW w:w="2268"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9</w:t>
            </w:r>
            <w:r/>
          </w:p>
        </w:tc>
        <w:tc>
          <w:tcPr>
            <w:tcBorders/>
            <w:tcW w:w="2126" w:type="dxa"/>
            <w:vAlign w:val="center"/>
            <w:textDirection w:val="lrTb"/>
            <w:noWrap w:val="false"/>
          </w:tcPr>
          <w:p>
            <w:pPr>
              <w:pBdr/>
              <w:spacing/>
              <w:ind/>
              <w:jc w:val="center"/>
              <w:rPr/>
            </w:pPr>
            <w:r>
              <w:t xml:space="preserve">Cơ sở hạ tầng kỹ thuật</w:t>
            </w:r>
            <w:r/>
          </w:p>
        </w:tc>
        <w:tc>
          <w:tcPr>
            <w:tcBorders/>
            <w:tcW w:w="2022" w:type="dxa"/>
            <w:vAlign w:val="center"/>
            <w:textDirection w:val="lrTb"/>
            <w:noWrap w:val="false"/>
          </w:tcPr>
          <w:p>
            <w:pPr>
              <w:pBdr/>
              <w:spacing/>
              <w:ind/>
              <w:jc w:val="center"/>
              <w:rPr/>
            </w:pPr>
            <w:r>
              <w:t xml:space="preserve">Hạ tầng khu dân cư thông thường</w:t>
            </w:r>
            <w:r/>
          </w:p>
        </w:tc>
        <w:tc>
          <w:tcPr>
            <w:tcBorders/>
            <w:tcW w:w="2268"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10</w:t>
            </w:r>
            <w:r/>
          </w:p>
        </w:tc>
        <w:tc>
          <w:tcPr>
            <w:tcBorders/>
            <w:tcW w:w="2126" w:type="dxa"/>
            <w:vAlign w:val="center"/>
            <w:textDirection w:val="lrTb"/>
            <w:noWrap w:val="false"/>
          </w:tcPr>
          <w:p>
            <w:pPr>
              <w:pBdr/>
              <w:spacing/>
              <w:ind/>
              <w:jc w:val="center"/>
              <w:rPr/>
            </w:pPr>
            <w:r>
              <w:t xml:space="preserve">Môi trường, an ninh</w:t>
            </w:r>
            <w:r/>
          </w:p>
        </w:tc>
        <w:tc>
          <w:tcPr>
            <w:tcBorders/>
            <w:tcW w:w="2022" w:type="dxa"/>
            <w:vAlign w:val="center"/>
            <w:textDirection w:val="lrTb"/>
            <w:noWrap w:val="false"/>
          </w:tcPr>
          <w:p>
            <w:pPr>
              <w:pBdr/>
              <w:spacing/>
              <w:ind/>
              <w:jc w:val="center"/>
              <w:rPr/>
            </w:pPr>
            <w:r>
              <w:t xml:space="preserve">Tốt</w:t>
            </w:r>
            <w:r/>
          </w:p>
        </w:tc>
        <w:tc>
          <w:tcPr>
            <w:tcBorders/>
            <w:tcW w:w="2268"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11</w:t>
            </w:r>
            <w:r/>
          </w:p>
        </w:tc>
        <w:tc>
          <w:tcPr>
            <w:tcBorders/>
            <w:tcW w:w="2126" w:type="dxa"/>
            <w:vAlign w:val="center"/>
            <w:textDirection w:val="lrTb"/>
            <w:noWrap w:val="false"/>
          </w:tcPr>
          <w:p>
            <w:pPr>
              <w:pBdr/>
              <w:spacing/>
              <w:ind/>
              <w:jc w:val="center"/>
              <w:rPr/>
            </w:pPr>
            <w:r>
              <w:t xml:space="preserve">Tổng Diện tích</w:t>
            </w:r>
            <w:r/>
          </w:p>
        </w:tc>
        <w:tc>
          <w:tcPr>
            <w:tcBorders/>
            <w:tcW w:w="20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33.799,5</w:t>
            </w:r>
            <w:r/>
          </w:p>
        </w:tc>
        <w:tc>
          <w:tcPr>
            <w:tcBorders/>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33.799,5 </w:t>
            </w:r>
            <w:r>
              <w:t xml:space="preserve">✔</w:t>
            </w:r>
            <w:r>
              <w:rPr>
                <w:rFonts w:ascii="Times New Roman" w:hAnsi="Times New Roman" w:eastAsia="Times New Roman" w:cs="Times New Roman"/>
                <w:color w:val="000000"/>
                <w:sz w:val="24"/>
              </w:rPr>
            </w:r>
            <w:r/>
          </w:p>
        </w:tc>
        <w:tc>
          <w:tcPr>
            <w:tcBorders/>
            <w:tcW w:w="1371" w:type="dxa"/>
            <w:vAlign w:val="center"/>
            <w:textDirection w:val="lrTb"/>
            <w:noWrap w:val="false"/>
          </w:tcPr>
          <w:p>
            <w:pPr>
              <w:pBdr/>
              <w:spacing/>
              <w:ind/>
              <w:jc w:val="center"/>
              <w:rPr/>
            </w:pPr>
            <w:r>
              <w:t xml:space="preserve">0</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12</w:t>
            </w:r>
            <w:r/>
          </w:p>
        </w:tc>
        <w:tc>
          <w:tcPr>
            <w:tcBorders/>
            <w:tcW w:w="2126" w:type="dxa"/>
            <w:vAlign w:val="center"/>
            <w:textDirection w:val="lrTb"/>
            <w:noWrap w:val="false"/>
          </w:tcPr>
          <w:p>
            <w:pPr>
              <w:pBdr/>
              <w:spacing/>
              <w:ind/>
              <w:jc w:val="center"/>
              <w:rPr/>
            </w:pPr>
            <w:r>
              <w:t xml:space="preserve">Mặt tiền</w:t>
            </w:r>
            <w:r/>
          </w:p>
        </w:tc>
        <w:tc>
          <w:tcPr>
            <w:tcBorders/>
            <w:tcW w:w="2022" w:type="dxa"/>
            <w:vAlign w:val="center"/>
            <w:textDirection w:val="lrTb"/>
            <w:noWrap w:val="false"/>
          </w:tcPr>
          <w:p>
            <w:pPr>
              <w:pBdr/>
              <w:spacing/>
              <w:ind/>
              <w:jc w:val="center"/>
              <w:rPr/>
            </w:pPr>
            <w:r>
              <w:t xml:space="preserve">72</w:t>
            </w:r>
            <w:r/>
          </w:p>
        </w:tc>
        <w:tc>
          <w:tcPr>
            <w:tcBorders/>
            <w:tcW w:w="2268" w:type="dxa"/>
            <w:vAlign w:val="center"/>
            <w:textDirection w:val="lrTb"/>
            <w:noWrap w:val="false"/>
          </w:tcPr>
          <w:p>
            <w:pPr>
              <w:pBdr/>
              <w:spacing/>
              <w:ind/>
              <w:jc w:val="center"/>
              <w:rPr/>
            </w:pPr>
            <w:r>
              <w:t xml:space="preserve">72 ✔</w:t>
            </w:r>
            <w:r/>
          </w:p>
        </w:tc>
        <w:tc>
          <w:tcPr>
            <w:tcBorders/>
            <w:tcW w:w="1371" w:type="dxa"/>
            <w:vAlign w:val="center"/>
            <w:textDirection w:val="lrTb"/>
            <w:noWrap w:val="false"/>
          </w:tcPr>
          <w:p>
            <w:pPr>
              <w:pBdr/>
              <w:spacing/>
              <w:ind/>
              <w:jc w:val="center"/>
              <w:rPr/>
            </w:pPr>
            <w:r>
              <w:t xml:space="preserve">0</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13</w:t>
            </w:r>
            <w:r/>
          </w:p>
        </w:tc>
        <w:tc>
          <w:tcPr>
            <w:tcBorders/>
            <w:tcW w:w="2126" w:type="dxa"/>
            <w:vAlign w:val="center"/>
            <w:textDirection w:val="lrTb"/>
            <w:noWrap w:val="false"/>
          </w:tcPr>
          <w:p>
            <w:pPr>
              <w:pBdr/>
              <w:spacing/>
              <w:ind/>
              <w:jc w:val="center"/>
              <w:rPr/>
            </w:pPr>
            <w:r>
              <w:t xml:space="preserve">Mặt tiếp giáp</w:t>
            </w:r>
            <w:r/>
          </w:p>
        </w:tc>
        <w:tc>
          <w:tcPr>
            <w:tcBorders/>
            <w:tcW w:w="2022" w:type="dxa"/>
            <w:vAlign w:val="center"/>
            <w:textDirection w:val="lrTb"/>
            <w:noWrap w:val="false"/>
          </w:tcPr>
          <w:p>
            <w:pPr>
              <w:pBdr/>
              <w:spacing/>
              <w:ind/>
              <w:jc w:val="center"/>
              <w:rPr/>
            </w:pPr>
            <w:r>
              <w:t xml:space="preserve">Tiếp giáp 1 mặt tiền</w:t>
            </w:r>
            <w:r/>
          </w:p>
        </w:tc>
        <w:tc>
          <w:tcPr>
            <w:tcBorders/>
            <w:tcW w:w="2268"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14</w:t>
            </w:r>
            <w:r/>
          </w:p>
        </w:tc>
        <w:tc>
          <w:tcPr>
            <w:tcBorders/>
            <w:tcW w:w="2126" w:type="dxa"/>
            <w:vAlign w:val="center"/>
            <w:textDirection w:val="lrTb"/>
            <w:noWrap w:val="false"/>
          </w:tcPr>
          <w:p>
            <w:pPr>
              <w:pBdr/>
              <w:spacing/>
              <w:ind/>
              <w:jc w:val="center"/>
              <w:rPr/>
            </w:pPr>
            <w:r>
              <w:t xml:space="preserve">Hình dạng thửa đất</w:t>
            </w:r>
            <w:r/>
          </w:p>
        </w:tc>
        <w:tc>
          <w:tcPr>
            <w:tcBorders/>
            <w:tcW w:w="2022" w:type="dxa"/>
            <w:vAlign w:val="center"/>
            <w:textDirection w:val="lrTb"/>
            <w:noWrap w:val="false"/>
          </w:tcPr>
          <w:p>
            <w:pPr>
              <w:pBdr/>
              <w:spacing/>
              <w:ind/>
              <w:jc w:val="center"/>
              <w:rPr/>
            </w:pPr>
            <w:r>
              <w:t xml:space="preserve">Đa giác khác</w:t>
            </w:r>
            <w:r/>
          </w:p>
        </w:tc>
        <w:tc>
          <w:tcPr>
            <w:tcBorders/>
            <w:tcW w:w="2268"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1605" w:type="dxa"/>
            <w:vAlign w:val="center"/>
            <w:textDirection w:val="lrTb"/>
            <w:noWrap w:val="false"/>
          </w:tcPr>
          <w:p>
            <w:pPr>
              <w:pBdr/>
              <w:spacing/>
              <w:ind/>
              <w:jc w:val="center"/>
              <w:rPr/>
            </w:pPr>
            <w:r/>
            <w:r/>
          </w:p>
        </w:tc>
      </w:tr>
    </w:tbl>
    <w:p>
      <w:pPr>
        <w:pBdr/>
        <w:spacing w:line="235" w:lineRule="auto"/>
        <w:ind w:left="646"/>
        <w:jc w:val="both"/>
        <w:rPr>
          <w:sz w:val="14"/>
          <w:szCs w:val="14"/>
          <w:u w:val="single"/>
        </w:rPr>
      </w:pPr>
      <w:r>
        <w:rPr>
          <w:sz w:val="14"/>
          <w:szCs w:val="14"/>
          <w:u w:val="single"/>
        </w:rPr>
      </w:r>
      <w:r>
        <w:rPr>
          <w:sz w:val="14"/>
          <w:szCs w:val="14"/>
          <w:u w:val="single"/>
        </w:rPr>
      </w:r>
      <w:r>
        <w:rPr>
          <w:sz w:val="14"/>
          <w:szCs w:val="14"/>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sz w:val="18"/>
          <w:szCs w:val="18"/>
          <w:u w:val="single"/>
        </w:rPr>
      </w:pPr>
      <w:r>
        <w:rPr>
          <w:b/>
          <w:bCs/>
          <w:sz w:val="18"/>
          <w:szCs w:val="18"/>
          <w:u w:val="single"/>
        </w:rPr>
      </w:r>
      <w:r>
        <w:rPr>
          <w:b/>
          <w:bCs/>
          <w:sz w:val="18"/>
          <w:szCs w:val="18"/>
          <w:u w:val="single"/>
        </w:rPr>
      </w:r>
      <w:r>
        <w:rPr>
          <w:b/>
          <w:bCs/>
          <w:sz w:val="18"/>
          <w:szCs w:val="18"/>
          <w:u w:val="single"/>
        </w:rPr>
      </w:r>
    </w:p>
    <w:tbl>
      <w:tblPr>
        <w:tblInd w:w="-358" w:type="dxa"/>
        <w:tblW w:w="5099"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9"/>
        <w:gridCol w:w="7273"/>
        <w:gridCol w:w="1018"/>
        <w:gridCol w:w="123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018"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36"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01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3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01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3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01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3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01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3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01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3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01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3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01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3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01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3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273"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101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3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sz w:val="12"/>
          <w:szCs w:val="12"/>
          <w:u w:val="single"/>
        </w:rPr>
      </w:pPr>
      <w:r>
        <w:rPr>
          <w:sz w:val="12"/>
          <w:szCs w:val="12"/>
          <w:u w:val="single"/>
        </w:rPr>
      </w:r>
      <w:r>
        <w:rPr>
          <w:sz w:val="12"/>
          <w:szCs w:val="12"/>
          <w:u w:val="single"/>
        </w:rPr>
      </w:r>
      <w:r>
        <w:rPr>
          <w:sz w:val="12"/>
          <w:szCs w:val="12"/>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sz w:val="20"/>
          <w:szCs w:val="20"/>
          <w:u w:val="single"/>
        </w:rPr>
      </w:pPr>
      <w:r>
        <w:rPr>
          <w:b/>
          <w:bCs/>
          <w:sz w:val="20"/>
          <w:szCs w:val="20"/>
          <w:u w:val="single"/>
        </w:rPr>
      </w:r>
      <w:r>
        <w:rPr>
          <w:b/>
          <w:bCs/>
          <w:sz w:val="20"/>
          <w:szCs w:val="20"/>
          <w:u w:val="single"/>
        </w:rPr>
      </w:r>
      <w:r>
        <w:rPr>
          <w:b/>
          <w:bCs/>
          <w:sz w:val="20"/>
          <w:szCs w:val="20"/>
          <w:u w:val="single"/>
        </w:rPr>
      </w:r>
    </w:p>
    <w:tbl>
      <w:tblPr>
        <w:tblInd w:w="-380" w:type="dxa"/>
        <w:tblW w:w="5096"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9"/>
        <w:gridCol w:w="7534"/>
        <w:gridCol w:w="854"/>
        <w:gridCol w:w="113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5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534"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54" w:type="dxa"/>
            <w:vAlign w:val="center"/>
            <w:textDirection w:val="lrTb"/>
            <w:noWrap w:val="false"/>
          </w:tcPr>
          <w:p>
            <w:pPr>
              <w:widowControl w:val="false"/>
              <w:pBdr/>
              <w:spacing w:line="235" w:lineRule="auto"/>
              <w:ind w:left="144"/>
              <w:jc w:val="center"/>
              <w:rPr/>
            </w:pPr>
            <w:r>
              <w:t xml:space="preserve">Không</w:t>
            </w:r>
            <w:r/>
          </w:p>
        </w:tc>
        <w:tc>
          <w:tcPr>
            <w:tcBorders/>
            <w:tcW w:w="113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5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52"/>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52"/>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Theo khảo</w:t>
      </w:r>
      <w:r>
        <w:rPr>
          <w:rFonts w:ascii="Times New Roman" w:hAnsi="Times New Roman" w:eastAsia="Times New Roman" w:cs="Times New Roman"/>
          <w:color w:val="000000"/>
          <w:sz w:val="24"/>
        </w:rPr>
        <w:t xml:space="preserve"> sát thực tế, tại thời điểm thẩm định giá tài sản gắn liền với các thửa đất gồm có: Các hệ thống nhà xưởng sản xuất, nhà văn phòng, nhà căng teen và phòng lab, nhà kho sản xuất, nhà để xe, tường rào…. Tuy nhiên, theo đề nghị của Ngân hàng/Khách hàng, Tổ th</w:t>
      </w:r>
      <w:r>
        <w:rPr>
          <w:rFonts w:ascii="Times New Roman" w:hAnsi="Times New Roman" w:eastAsia="Times New Roman" w:cs="Times New Roman"/>
          <w:color w:val="000000"/>
          <w:sz w:val="24"/>
        </w:rPr>
        <w:t xml:space="preserve">ẩm định không xác định giá trị của những công trình xây dựng nêu trên vào tổng giá trị, nhưng vẫn coi đó là phần không thể tách rời của tài sản thẩm định. Kính đề nghị đơn vị sử dụng kết quả lưu ý.</w:t>
      </w:r>
      <w:r>
        <w:rPr>
          <w:spacing w:val="-2"/>
          <w:highlight w:val="none"/>
          <w:lang w:val="pt-BR"/>
        </w:rPr>
      </w:r>
      <w:r>
        <w:rPr>
          <w:spacing w:val="-2"/>
          <w:lang w:val="pt-BR"/>
        </w:rPr>
      </w:r>
    </w:p>
    <w:p>
      <w:pPr>
        <w:pStyle w:val="1052"/>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52"/>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52"/>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52"/>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52"/>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52"/>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52"/>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5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52"/>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52"/>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5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Ind w:w="-157" w:type="dxa"/>
        <w:tblW w:w="0" w:type="auto"/>
        <w:tblBorders/>
        <w:tblLayout w:type="fixed"/>
        <w:tblLook w:val="04A0" w:firstRow="1" w:lastRow="0" w:firstColumn="1" w:lastColumn="0" w:noHBand="0" w:noVBand="1"/>
      </w:tblPr>
      <w:tblGrid>
        <w:gridCol w:w="704"/>
        <w:gridCol w:w="2092"/>
        <w:gridCol w:w="1757"/>
        <w:gridCol w:w="1951"/>
        <w:gridCol w:w="1757"/>
        <w:gridCol w:w="1757"/>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92"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7"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1"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color w:val="000000" w:themeColor="text1"/>
                <w:sz w:val="22"/>
                <w:szCs w:val="22"/>
              </w:rPr>
              <w:t xml:space="preserve">Xã Đồng Tiến, Huyện Đồng Phú, Tỉnh Bình Phước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sz w:val="22"/>
                <w:szCs w:val="22"/>
              </w:rPr>
            </w:pPr>
            <w:r>
              <w:rPr>
                <w:color w:val="000000" w:themeColor="text1"/>
                <w:sz w:val="22"/>
                <w:szCs w:val="22"/>
              </w:rPr>
              <w:t xml:space="preserve">Xã Tiến Hưng, Thị xã Đồng Xoài, Tỉnh Bình Phước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color w:val="000000" w:themeColor="text1"/>
                <w:sz w:val="22"/>
                <w:szCs w:val="22"/>
              </w:rPr>
              <w:t xml:space="preserve">Xã Đồng Tiến, Huyện Đồng Phú, Tỉnh Bình Phước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color w:val="000000" w:themeColor="text1"/>
                <w:sz w:val="22"/>
                <w:szCs w:val="22"/>
              </w:rPr>
              <w:t xml:space="preserve">Xã Đồng Tiến, Huyện Đồng Phú, Tỉnh Bình Phước</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sz w:val="22"/>
                <w:szCs w:val="22"/>
              </w:rPr>
            </w:pPr>
            <w:r>
              <w:rPr>
                <w:color w:val="000000" w:themeColor="text1"/>
                <w:sz w:val="22"/>
                <w:szCs w:val="22"/>
              </w:rPr>
              <w:t xml:space="preserve">0979223428</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color w:val="000000" w:themeColor="text1"/>
                <w:sz w:val="22"/>
                <w:szCs w:val="22"/>
              </w:rPr>
              <w:t xml:space="preserve">0398859698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color w:val="000000" w:themeColor="text1"/>
                <w:sz w:val="22"/>
                <w:szCs w:val="22"/>
              </w:rPr>
              <w:t xml:space="preserve">0989569770</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sz w:val="22"/>
                <w:szCs w:val="22"/>
              </w:rPr>
              <w:t xml:space="preserve">Liên hệ trực tiếp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Liên hệ trực tiếp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Liên hệ trực tiếp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20/06/2066)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31/12/2069)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22/08/2048)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Đồng Tiến, Huyện Đồng Phú, Tỉnh Bình Phước.</w:t>
            </w:r>
            <w:r>
              <w:rPr>
                <w:color w:val="000000" w:themeColor="text1"/>
                <w:sz w:val="22"/>
                <w:szCs w:val="22"/>
              </w:rPr>
              <w:t xml:space="preserve"> Cách trục chính QL 14 khoảng 1,3km.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Tiến Hưng, Thị xã Đồng Xoài, Tỉnh Bình Phước. Cách trục chính đường DT 753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Đồng Phú, Tỉnh Bình Phước. Cách đường DT 741 khoảng 700m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Đồng Tiến, Huyện Đồng Phú, Tỉnh Bình Phước. Cách trục chính đường QL 14 khoảng 3km.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nội bộ CCN chưa hoàn thiện (Chưa san lấp mặt bằng)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24.962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52.818,4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28.128,96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17.602,5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147.3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346,69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293,44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190,96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117,35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150.000.000.000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63.288.753.552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52.000.000.000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120.000.000.000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56.959.878.197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43.160.000.000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92" w:type="dxa"/>
            <w:vAlign w:val="center"/>
            <w:vMerge w:val="restart"/>
            <w:textDirection w:val="lrTb"/>
            <w:noWrap w:val="false"/>
          </w:tcPr>
          <w:p>
            <w:pPr>
              <w:pBdr/>
              <w:spacing/>
              <w:ind/>
              <w:jc w:val="both"/>
              <w:rPr>
                <w:color w:val="000000"/>
                <w:sz w:val="22"/>
                <w:szCs w:val="22"/>
              </w:rPr>
            </w:pPr>
            <w:r>
              <w:rPr>
                <w:color w:val="000000"/>
                <w:sz w:val="22"/>
                <w:szCs w:val="22"/>
              </w:rPr>
              <w:t xml:space="preserve">Công trình xây dựng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7"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951"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xưởng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7"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xưởng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3.000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8.000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150.000.000.000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63.288.753.552</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52.000.000.000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120.000.000.000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56.959.878.197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43.160.000.000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none"/>
              </w:rPr>
              <w:t xml:space="preserve">9.958.806.000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none"/>
              </w:rPr>
              <w:t xml:space="preserve">14.177.800.000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209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sz w:val="22"/>
                <w:szCs w:val="22"/>
              </w:rPr>
            </w:pPr>
            <w:r>
              <w:rPr>
                <w:rFonts w:ascii="Times New Roman" w:hAnsi="Times New Roman" w:eastAsia="Times New Roman" w:cs="Times New Roman"/>
                <w:color w:val="000000"/>
                <w:sz w:val="22"/>
                <w:szCs w:val="22"/>
              </w:rPr>
              <w:t xml:space="preserve">Đơn giá xây dựng theo </w:t>
            </w:r>
            <w:r>
              <w:rPr>
                <w:rFonts w:ascii="Times New Roman" w:hAnsi="Times New Roman" w:eastAsia="Times New Roman" w:cs="Times New Roman"/>
                <w:color w:val="000000"/>
                <w:sz w:val="22"/>
                <w:szCs w:val="22"/>
              </w:rPr>
              <w:t xml:space="preserve">Quyết định số 425/QĐ-BXD ngày 30/03/2026 của Bộ Xây dựng</w:t>
            </w:r>
            <w:r>
              <w:rPr>
                <w:rFonts w:ascii="Times New Roman" w:hAnsi="Times New Roman" w:eastAsia="Times New Roman" w:cs="Times New Roman"/>
                <w:color w:val="000000"/>
                <w:sz w:val="22"/>
                <w:szCs w:val="22"/>
              </w:rPr>
              <w:t xml:space="preserve"> (đồng/m²)</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57"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951"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4.750</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7"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7"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2.926</w:t>
            </w:r>
            <w:r>
              <w:rPr>
                <w:rFonts w:ascii="Times New Roman" w:hAnsi="Times New Roman" w:eastAsia="Times New Roman" w:cs="Times New Roman"/>
                <w:color w:val="000000" w:themeColor="text1"/>
                <w:sz w:val="22"/>
                <w:szCs w:val="22"/>
                <w:highlight w:val="none"/>
              </w:rPr>
              <w:t xml:space="preserve">.000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2092" w:type="dxa"/>
            <w:vAlign w:val="center"/>
            <w:vMerge w:val="restart"/>
            <w:textDirection w:val="lrTb"/>
            <w:noWrap w:val="false"/>
          </w:tcPr>
          <w:p>
            <w:pPr>
              <w:pBdr/>
              <w:spacing/>
              <w:ind/>
              <w:jc w:val="both"/>
              <w:rPr>
                <w:b w:val="0"/>
                <w:bCs w:val="0"/>
                <w:color w:val="000000"/>
                <w:sz w:val="22"/>
                <w:szCs w:val="22"/>
              </w:rPr>
            </w:pPr>
            <w:r>
              <w:rPr>
                <w:b w:val="0"/>
                <w:bCs w:val="0"/>
                <w:color w:val="000000"/>
                <w:sz w:val="22"/>
                <w:szCs w:val="22"/>
              </w:rPr>
              <w:t xml:space="preserve">Tỷ lệ hao mòn</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57"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951"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7"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7"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35%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110.041.194.000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56.959.878.197</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28.982.200.000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tcPr>
          <w:p>
            <w:pPr>
              <w:pBdr/>
              <w:spacing/>
              <w:ind/>
              <w:jc w:val="center"/>
              <w:rPr>
                <w:b/>
                <w:bCs/>
                <w:color w:val="000000"/>
                <w:sz w:val="22"/>
                <w:szCs w:val="22"/>
              </w:rPr>
            </w:pPr>
            <w:r>
              <w:rPr>
                <w:b/>
                <w:bCs/>
                <w:color w:val="000000" w:themeColor="text1"/>
                <w:sz w:val="22"/>
                <w:szCs w:val="22"/>
              </w:rPr>
              <w:t xml:space="preserve">2.083.387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b/>
                <w:bCs/>
                <w:color w:val="000000"/>
                <w:sz w:val="22"/>
                <w:szCs w:val="22"/>
              </w:rPr>
            </w:pPr>
            <w:r>
              <w:rPr>
                <w:b/>
                <w:bCs/>
                <w:color w:val="000000" w:themeColor="text1"/>
                <w:sz w:val="22"/>
                <w:szCs w:val="22"/>
              </w:rPr>
              <w:t xml:space="preserve">2.024.955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b/>
                <w:bCs/>
                <w:color w:val="000000"/>
                <w:sz w:val="22"/>
                <w:szCs w:val="22"/>
              </w:rPr>
            </w:pPr>
            <w:r>
              <w:rPr>
                <w:b/>
                <w:bCs/>
                <w:color w:val="000000" w:themeColor="text1"/>
                <w:sz w:val="22"/>
                <w:szCs w:val="22"/>
              </w:rPr>
              <w:t xml:space="preserve">1.646.482</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92"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7"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5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25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51"/>
        <w:gridCol w:w="1030"/>
        <w:gridCol w:w="1655"/>
        <w:gridCol w:w="1655"/>
        <w:gridCol w:w="1655"/>
        <w:gridCol w:w="1655"/>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0"/>
                <w:szCs w:val="20"/>
              </w:rPr>
            </w:pPr>
            <w:r>
              <w:rPr>
                <w:color w:val="000000" w:themeColor="text1"/>
                <w:sz w:val="22"/>
                <w:szCs w:val="22"/>
              </w:rPr>
              <w:t xml:space="preserve">110.041.194.000</w:t>
            </w:r>
            <w:r>
              <w:rPr>
                <w:color w:val="000000"/>
                <w:sz w:val="20"/>
                <w:szCs w:val="20"/>
              </w:rPr>
            </w:r>
            <w:r>
              <w:rPr>
                <w:color w:val="000000"/>
                <w:sz w:val="20"/>
                <w:szCs w:val="20"/>
              </w:rPr>
            </w:r>
          </w:p>
        </w:tc>
        <w:tc>
          <w:tcPr>
            <w:shd w:val="clear" w:color="000000" w:fill="ffffff"/>
            <w:tcBorders/>
            <w:tcW w:w="1655" w:type="dxa"/>
            <w:vAlign w:val="center"/>
            <w:textDirection w:val="lrTb"/>
            <w:noWrap w:val="false"/>
          </w:tcPr>
          <w:p>
            <w:pPr>
              <w:pBdr/>
              <w:spacing/>
              <w:ind/>
              <w:jc w:val="center"/>
              <w:rPr>
                <w:color w:val="000000"/>
                <w:sz w:val="20"/>
                <w:szCs w:val="20"/>
              </w:rPr>
            </w:pPr>
            <w:r>
              <w:rPr>
                <w:color w:val="000000" w:themeColor="text1"/>
                <w:sz w:val="22"/>
                <w:szCs w:val="22"/>
              </w:rPr>
              <w:t xml:space="preserve">56.959.878.197</w:t>
            </w:r>
            <w:r>
              <w:rPr>
                <w:color w:val="000000"/>
                <w:sz w:val="20"/>
                <w:szCs w:val="20"/>
              </w:rPr>
            </w:r>
            <w:r>
              <w:rPr>
                <w:color w:val="000000"/>
                <w:sz w:val="20"/>
                <w:szCs w:val="20"/>
              </w:rPr>
            </w:r>
          </w:p>
        </w:tc>
        <w:tc>
          <w:tcPr>
            <w:shd w:val="clear" w:color="000000" w:fill="ffffff"/>
            <w:tcBorders/>
            <w:tcW w:w="1655" w:type="dxa"/>
            <w:vAlign w:val="center"/>
            <w:textDirection w:val="lrTb"/>
            <w:noWrap w:val="false"/>
          </w:tcPr>
          <w:p>
            <w:pPr>
              <w:pBdr/>
              <w:spacing/>
              <w:ind/>
              <w:jc w:val="center"/>
              <w:rPr>
                <w:color w:val="000000"/>
                <w:sz w:val="20"/>
                <w:szCs w:val="20"/>
              </w:rPr>
            </w:pPr>
            <w:r>
              <w:rPr>
                <w:color w:val="000000" w:themeColor="text1"/>
                <w:sz w:val="22"/>
                <w:szCs w:val="22"/>
              </w:rPr>
              <w:t xml:space="preserve">28.982.200.000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2.083.387</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2.024.955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1.646.482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2.140.186</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2.024.955</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1.705.565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 Có thời hạn (đến 20/06/2066)</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thời hạn (đến 31/12/2069)</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thời hạn (đến 22/08/2048)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85.278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2.140.186</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2.024.955</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1.790.843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Đồng Tiến, Huyện Đồng Phú, Tỉnh Bình Phước.</w:t>
            </w:r>
            <w:r>
              <w:rPr>
                <w:color w:val="000000" w:themeColor="text1"/>
                <w:sz w:val="22"/>
                <w:szCs w:val="22"/>
              </w:rPr>
              <w:t xml:space="preserve"> Tiếp giáp đường nội bộ dân sinh trong khu dân cư. Cách trục chính QL 14 khoảng 1,3km.</w:t>
            </w:r>
            <w:r>
              <w:rPr>
                <w:sz w:val="22"/>
                <w:szCs w:val="22"/>
              </w:rPr>
            </w:r>
            <w:r>
              <w:rPr>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Tiến Hưng, Thị xã Đồng Xoài, Tỉnh Bình Phước. Cách trục chính đường DT 753 khoảng 500mm.</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Đồng Phú, Tỉnh Bình Phước. Cách đường DT 741 khoảng 700mm</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Đồng Tiến, Huyện Đồng Phú, Tỉnh Bình Phước. Cách trục chính đường QL 14 khoảng 3km.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-107.009</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-40.499</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85.278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2.033.177</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1.984.456</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1.876.121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64.206</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-101.248</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2.097.383</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1.883.208</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1.876.121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-149.813</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-101.248</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-51.167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1.947.570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1.781.960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1.824.954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nội bộ CCN chưa hoàn thiện (Chưa san lấp mặt bằng)</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101.248</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1.947.570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1.883.208</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1.824.954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24.962</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52.818,4</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28.128,96</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17.602,5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214.019</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-51.167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2.161.589</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1.883.208</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1.773.787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72</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147,3</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-354.176</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-202.496</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-170.557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1.750.614</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1.680.712</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1.603.230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-101.248</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1.750.614</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1.579.464</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themeColor="text1"/>
                <w:sz w:val="22"/>
                <w:szCs w:val="22"/>
              </w:rPr>
              <w:t xml:space="preserve">1.603.230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51" w:type="dxa"/>
            <w:vAlign w:val="center"/>
            <w:textDirection w:val="lrTb"/>
            <w:noWrap/>
          </w:tcPr>
          <w:p>
            <w:pPr>
              <w:pBdr/>
              <w:spacing/>
              <w:ind/>
              <w:jc w:val="both"/>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65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1.750.614</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1.579.464</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1.544.147</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1.624.742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7,75%</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-2,79%</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themeColor="text1"/>
                <w:sz w:val="22"/>
                <w:szCs w:val="22"/>
              </w:rPr>
              <w:t xml:space="preserve">-4,96%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602" w:type="dxa"/>
            <w:vAlign w:val="center"/>
            <w:textDirection w:val="lrTb"/>
            <w:noWrap w:val="false"/>
          </w:tcPr>
          <w:p>
            <w:pPr>
              <w:pBdr/>
              <w:spacing/>
              <w:ind/>
              <w:jc w:val="both"/>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889.223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647.987</w:t>
            </w:r>
            <w:r>
              <w:rPr>
                <w:b/>
                <w:bCs/>
                <w:color w:val="000000"/>
                <w:sz w:val="22"/>
                <w:szCs w:val="22"/>
              </w:rPr>
            </w:r>
            <w:r>
              <w:rPr>
                <w:b/>
                <w:bCs/>
                <w:color w:val="000000"/>
                <w:sz w:val="22"/>
                <w:szCs w:val="22"/>
              </w:rPr>
            </w:r>
          </w:p>
        </w:tc>
        <w:tc>
          <w:tcPr>
            <w:shd w:val="clear" w:color="000000" w:fill="ffffff"/>
            <w:tcBorders/>
            <w:tcW w:w="1655" w:type="dxa"/>
            <w:vAlign w:val="center"/>
            <w:textDirection w:val="lrTb"/>
            <w:noWrap w:val="false"/>
          </w:tcPr>
          <w:p>
            <w:pPr>
              <w:pBdr/>
              <w:spacing/>
              <w:ind/>
              <w:jc w:val="center"/>
              <w:rPr>
                <w:b/>
                <w:bCs/>
                <w:color w:val="000000"/>
                <w:sz w:val="22"/>
                <w:szCs w:val="22"/>
              </w:rPr>
            </w:pPr>
            <w:r>
              <w:rPr>
                <w:color w:val="000000" w:themeColor="text1"/>
                <w:sz w:val="22"/>
                <w:szCs w:val="22"/>
              </w:rPr>
              <w:t xml:space="preserve">443.447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332.773</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445.491</w:t>
            </w:r>
            <w:r>
              <w:rPr>
                <w:sz w:val="22"/>
                <w:szCs w:val="22"/>
              </w:rPr>
            </w:r>
            <w:r>
              <w:rPr>
                <w:sz w:val="22"/>
                <w:szCs w:val="22"/>
              </w:rPr>
            </w:r>
          </w:p>
        </w:tc>
        <w:tc>
          <w:tcPr>
            <w:shd w:val="clear" w:color="000000" w:fill="ffffff"/>
            <w:tcBorders/>
            <w:tcW w:w="1655" w:type="dxa"/>
            <w:vAlign w:val="center"/>
            <w:textDirection w:val="lrTb"/>
            <w:noWrap/>
          </w:tcPr>
          <w:p>
            <w:pPr>
              <w:pBdr/>
              <w:spacing/>
              <w:ind/>
              <w:jc w:val="center"/>
              <w:rPr>
                <w:sz w:val="22"/>
                <w:szCs w:val="22"/>
              </w:rPr>
            </w:pPr>
            <w:r>
              <w:rPr>
                <w:color w:val="000000" w:themeColor="text1"/>
                <w:sz w:val="22"/>
                <w:szCs w:val="22"/>
              </w:rPr>
              <w:t xml:space="preserve">102.335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highlight w:val="non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-4,96</w:t>
      </w:r>
      <w:r>
        <w:t xml:space="preserve">% đến</w:t>
      </w:r>
      <w:r>
        <w:t xml:space="preserve"> </w:t>
      </w:r>
      <w:r>
        <w:t xml:space="preserve">7,75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highlight w:val="non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Ind w:w="-197" w:type="dxa"/>
        <w:tblW w:w="5085" w:type="pct"/>
        <w:tblBorders/>
        <w:tblLayout w:type="fixed"/>
        <w:tblLook w:val="04A0" w:firstRow="1" w:lastRow="0" w:firstColumn="1" w:lastColumn="0" w:noHBand="0" w:noVBand="1"/>
      </w:tblPr>
      <w:tblGrid>
        <w:gridCol w:w="627"/>
        <w:gridCol w:w="1951"/>
        <w:gridCol w:w="1984"/>
        <w:gridCol w:w="2409"/>
        <w:gridCol w:w="3118"/>
      </w:tblGrid>
      <w:tr>
        <w:trPr>
          <w:trHeight w:val="0"/>
        </w:trPr>
        <w:tc>
          <w:tcPr>
            <w:tcBorders>
              <w:top w:val="single" w:color="auto" w:sz="4" w:space="0"/>
              <w:left w:val="single" w:color="auto" w:sz="4" w:space="0"/>
              <w:bottom w:val="single" w:color="auto" w:sz="4" w:space="0"/>
              <w:right w:val="single" w:color="auto" w:sz="4" w:space="0"/>
            </w:tcBorders>
            <w:tcW w:w="627"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51" w:type="dxa"/>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27"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color w:val="000000"/>
              </w:rPr>
            </w:pPr>
            <w:r>
              <w:rPr>
                <w:color w:val="000000"/>
              </w:rPr>
              <w:t xml:space="preserve">1.750.614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color w:val="000000"/>
              </w:rPr>
            </w:pPr>
            <w:r>
              <w:rPr>
                <w:color w:val="000000"/>
              </w:rPr>
              <w:t xml:space="preserve">583.655</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27"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color w:val="000000"/>
              </w:rPr>
            </w:pPr>
            <w:r>
              <w:rPr>
                <w:color w:val="000000"/>
              </w:rPr>
              <w:t xml:space="preserve">1.579.464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color w:val="000000"/>
              </w:rPr>
            </w:pPr>
            <w:r>
              <w:rPr>
                <w:color w:val="000000"/>
              </w:rPr>
              <w:t xml:space="preserve">526.435</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27"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51" w:type="dxa"/>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color w:val="000000"/>
              </w:rPr>
            </w:pPr>
            <w:r>
              <w:rPr>
                <w:color w:val="000000"/>
              </w:rPr>
              <w:t xml:space="preserve">1.544.147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color w:val="000000"/>
              </w:rPr>
            </w:pPr>
            <w:r>
              <w:rPr>
                <w:color w:val="000000"/>
              </w:rPr>
              <w:t xml:space="preserve">514.664</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971" w:type="dxa"/>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b/>
                <w:bCs/>
                <w:color w:val="000000"/>
              </w:rPr>
            </w:pPr>
            <w:r>
              <w:rPr>
                <w:b/>
                <w:bCs/>
                <w:color w:val="000000" w:themeColor="text1"/>
                <w:lang w:val="vi-VN"/>
              </w:rPr>
              <w:t xml:space="preserve">1.624.754</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971" w:type="dxa"/>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b/>
                <w:bCs/>
                <w:color w:val="000000"/>
              </w:rPr>
            </w:pPr>
            <w:r>
              <w:rPr>
                <w:b/>
                <w:bCs/>
                <w:color w:val="000000" w:themeColor="text1"/>
                <w:lang w:val="vi-VN"/>
              </w:rPr>
              <w:t xml:space="preserve">1.600.000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1.600.000</w:t>
      </w:r>
      <w:r>
        <w:rPr>
          <w:b/>
          <w:bCs/>
          <w:color w:val="000000" w:themeColor="text1"/>
        </w:rPr>
        <w:t xml:space="preserve"> </w:t>
      </w:r>
      <w:r>
        <w:rPr>
          <w:b/>
          <w:bCs/>
        </w:rPr>
        <w:t xml:space="preserve">đồng/m².</w:t>
      </w:r>
      <w:r>
        <w:rPr>
          <w:b/>
          <w:bCs/>
        </w:rPr>
      </w:r>
      <w:r>
        <w:rPr>
          <w:b/>
          <w:bCs/>
        </w:rPr>
      </w:r>
    </w:p>
    <w:p>
      <w:pPr>
        <w:pBdr/>
        <w:spacing w:after="120" w:before="120" w:line="276" w:lineRule="auto"/>
        <w:ind/>
        <w:jc w:val="both"/>
        <w:rPr>
          <w:b/>
          <w:lang w:val="pt-BR"/>
        </w:rPr>
      </w:pPr>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ua khảo sát thực tế, tổ thẩm định nhận thấy 03 thửa đất là tài sản thẩm định giá có cùng vị trí, trong cùng 1 khu, có các điều kiện tự nhiên như hạ tầng kỹ thuật, giao thông ... là tương đồng nhau. Do đó, tổ thẩm định ước tính đơn giá đất của 03 thửa đất b</w:t>
      </w:r>
      <w:r>
        <w:rPr>
          <w:rFonts w:ascii="Times New Roman" w:hAnsi="Times New Roman" w:eastAsia="Times New Roman" w:cs="Times New Roman"/>
          <w:color w:val="000000"/>
          <w:sz w:val="24"/>
        </w:rPr>
        <w:t xml:space="preserve">ằng nhau và bằng: </w:t>
      </w:r>
      <w:r>
        <w:rPr>
          <w:rFonts w:ascii="Times New Roman" w:hAnsi="Times New Roman" w:eastAsia="Times New Roman" w:cs="Times New Roman"/>
          <w:b/>
          <w:color w:val="000000"/>
          <w:sz w:val="24"/>
        </w:rPr>
        <w:t xml:space="preserve">1.600.000 đồng/m².</w:t>
      </w:r>
      <w:r>
        <w:rPr>
          <w:b/>
          <w:lang w:val="pt-BR"/>
        </w:rPr>
      </w:r>
      <w:r>
        <w:rPr>
          <w:b/>
          <w:lang w:val="pt-BR"/>
        </w:rPr>
      </w:r>
    </w:p>
    <w:p>
      <w:pPr>
        <w:pStyle w:val="1052"/>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52"/>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489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77"/>
        <w:gridCol w:w="2689"/>
        <w:gridCol w:w="2096"/>
      </w:tblGrid>
      <w:tr>
        <w:trPr>
          <w:trHeight w:val="20"/>
        </w:trPr>
        <w:tc>
          <w:tcPr>
            <w:shd w:val="clear" w:color="000000" w:fill="ffffff"/>
            <w:tcBorders/>
            <w:tcW w:w="675" w:type="dxa"/>
            <w:vAlign w:val="center"/>
            <w:textDirection w:val="lrTb"/>
            <w:noWrap w:val="false"/>
          </w:tcPr>
          <w:p>
            <w:pPr>
              <w:pBdr/>
              <w:spacing w:after="40" w:before="40" w:line="283" w:lineRule="atLeast"/>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3" w:lineRule="atLeast"/>
              <w:ind/>
              <w:jc w:val="center"/>
              <w:rPr>
                <w:b/>
                <w:bCs/>
              </w:rPr>
            </w:pPr>
            <w:r>
              <w:rPr>
                <w:b/>
                <w:bCs/>
              </w:rPr>
              <w:t xml:space="preserve">Tài sản</w:t>
            </w:r>
            <w:r>
              <w:rPr>
                <w:b/>
                <w:bCs/>
              </w:rPr>
            </w:r>
            <w:r>
              <w:rPr>
                <w:b/>
                <w:bCs/>
              </w:rPr>
            </w:r>
          </w:p>
        </w:tc>
        <w:tc>
          <w:tcPr>
            <w:shd w:val="clear" w:color="000000" w:fill="ffffff"/>
            <w:tcBorders/>
            <w:tcW w:w="1877" w:type="dxa"/>
            <w:vAlign w:val="center"/>
            <w:textDirection w:val="lrTb"/>
            <w:noWrap w:val="false"/>
          </w:tcPr>
          <w:p>
            <w:pPr>
              <w:pBdr/>
              <w:spacing w:after="40" w:before="40" w:line="283" w:lineRule="atLeast"/>
              <w:ind/>
              <w:jc w:val="center"/>
              <w:rPr>
                <w:b/>
                <w:bCs/>
              </w:rPr>
            </w:pPr>
            <w:r>
              <w:rPr>
                <w:b/>
                <w:bCs/>
              </w:rPr>
              <w:t xml:space="preserve">Diện tích (m²)</w:t>
            </w:r>
            <w:r>
              <w:rPr>
                <w:b/>
                <w:bCs/>
              </w:rPr>
            </w:r>
            <w:r>
              <w:rPr>
                <w:b/>
                <w:bCs/>
              </w:rPr>
            </w:r>
          </w:p>
        </w:tc>
        <w:tc>
          <w:tcPr>
            <w:shd w:val="clear" w:color="000000" w:fill="ffffff"/>
            <w:tcBorders/>
            <w:tcW w:w="2689" w:type="dxa"/>
            <w:vAlign w:val="center"/>
            <w:textDirection w:val="lrTb"/>
            <w:noWrap w:val="false"/>
          </w:tcPr>
          <w:p>
            <w:pPr>
              <w:pBdr/>
              <w:spacing w:after="40" w:before="40" w:line="283" w:lineRule="atLeast"/>
              <w:ind/>
              <w:jc w:val="center"/>
              <w:rPr>
                <w:b/>
                <w:bCs/>
              </w:rPr>
            </w:pPr>
            <w:r>
              <w:rPr>
                <w:b/>
                <w:bCs/>
              </w:rPr>
              <w:t xml:space="preserve">Đơn giá (đồng/m²)</w:t>
            </w:r>
            <w:r>
              <w:rPr>
                <w:b/>
                <w:bCs/>
              </w:rPr>
            </w:r>
            <w:r>
              <w:rPr>
                <w:b/>
                <w:bCs/>
              </w:rPr>
            </w:r>
          </w:p>
        </w:tc>
        <w:tc>
          <w:tcPr>
            <w:shd w:val="clear" w:color="000000" w:fill="ffffff"/>
            <w:tcBorders/>
            <w:tcW w:w="2096" w:type="dxa"/>
            <w:vAlign w:val="center"/>
            <w:textDirection w:val="lrTb"/>
            <w:noWrap w:val="false"/>
          </w:tcPr>
          <w:p>
            <w:pPr>
              <w:pBdr/>
              <w:spacing w:after="40" w:before="40" w:line="283" w:lineRule="atLeast"/>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3" w:lineRule="atLeast"/>
              <w:ind/>
              <w:jc w:val="center"/>
              <w:rPr>
                <w:b/>
                <w:bCs/>
              </w:rPr>
            </w:pPr>
            <w:r>
              <w:rPr>
                <w:b/>
                <w:bCs/>
              </w:rPr>
              <w:t xml:space="preserve">1 </w:t>
            </w:r>
            <w:r>
              <w:rPr>
                <w:b/>
                <w:bCs/>
              </w:rPr>
            </w:r>
            <w:r>
              <w:rPr>
                <w:b/>
                <w:bCs/>
              </w:rPr>
            </w:r>
          </w:p>
        </w:tc>
        <w:tc>
          <w:tcPr>
            <w:gridSpan w:val="3"/>
            <w:shd w:val="clear" w:color="000000" w:fill="ffffff"/>
            <w:tcBorders/>
            <w:tcW w:w="6941" w:type="dxa"/>
            <w:vAlign w:val="center"/>
            <w:textDirection w:val="lrTb"/>
            <w:noWrap w:val="false"/>
          </w:tcPr>
          <w:p>
            <w:pPr>
              <w:pBdr/>
              <w:spacing w:after="40" w:before="40" w:line="283" w:lineRule="atLeast"/>
              <w:ind/>
              <w:jc w:val="both"/>
              <w:rPr>
                <w:b/>
                <w:bCs/>
              </w:rPr>
            </w:pPr>
            <w:r>
              <w:rPr>
                <w:b/>
                <w:bCs/>
                <w:color w:val="000000"/>
              </w:rPr>
              <w:t xml:space="preserve">Tài sản số 01: Quyền sử dụng đất thuê trả tiền một lần có thời hạn đến ngày 31/12/2065 tại thửa đất số 555, tờ bản đồ số 23 có địa chỉ: </w:t>
            </w:r>
            <w:r>
              <w:rPr>
                <w:b/>
                <w:bCs/>
                <w:color w:val="000000"/>
              </w:rPr>
              <w:t xml:space="preserve">Xã Đồng Tiến, huyện Đồng Phú, tỉnh Bình Phước (nay là xã Đồng Tâm, thành phố Đồng Nai) theo Giấy chứng nhận quyền sử dụng đất quyền sở hữu nhà ở và tài sản khác gắn liền với đất số BX 189979 có số vào sổ cấp GCN: CT 06399 do UBND tỉnh Bình Phước cấp ngày 2</w:t>
            </w:r>
            <w:r>
              <w:rPr>
                <w:b/>
                <w:bCs/>
                <w:color w:val="000000"/>
              </w:rPr>
              <w:t xml:space="preserve">1/03/2016; Chủ sử dụng đất là Công ty TNHH Cao su Quốc Việt.</w:t>
            </w:r>
            <w:r>
              <w:rPr>
                <w:b/>
                <w:bCs/>
              </w:rPr>
            </w:r>
            <w:r>
              <w:rPr>
                <w:b/>
                <w:bCs/>
              </w:rPr>
            </w:r>
          </w:p>
        </w:tc>
        <w:tc>
          <w:tcPr>
            <w:shd w:val="clear" w:color="000000" w:fill="ffffff"/>
            <w:tcBorders/>
            <w:tcW w:w="2096" w:type="dxa"/>
            <w:vAlign w:val="center"/>
            <w:textDirection w:val="lrTb"/>
            <w:noWrap w:val="false"/>
          </w:tcPr>
          <w:p>
            <w:pPr>
              <w:pBdr/>
              <w:spacing w:after="40" w:before="40" w:line="283" w:lineRule="atLeast"/>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3" w:lineRule="atLeast"/>
              <w:ind/>
              <w:jc w:val="center"/>
              <w:rPr/>
            </w:pPr>
            <w:r>
              <w:rPr>
                <w:b/>
                <w:bCs/>
              </w:rPr>
              <w:t xml:space="preserve">-</w:t>
            </w:r>
            <w:r/>
          </w:p>
        </w:tc>
        <w:tc>
          <w:tcPr>
            <w:shd w:val="clear" w:color="000000" w:fill="ffffff"/>
            <w:tcBorders/>
            <w:tcW w:w="2376" w:type="dxa"/>
            <w:vAlign w:val="center"/>
            <w:textDirection w:val="lrTb"/>
            <w:noWrap w:val="false"/>
          </w:tcPr>
          <w:p>
            <w:pPr>
              <w:pBdr/>
              <w:spacing w:after="40" w:before="40" w:line="283" w:lineRule="atLeast"/>
              <w:ind/>
              <w:jc w:val="both"/>
              <w:rPr>
                <w:b w:val="0"/>
                <w:bCs w:val="0"/>
              </w:rPr>
            </w:pPr>
            <w:r>
              <w:rPr>
                <w:b w:val="0"/>
                <w:bCs w:val="0"/>
              </w:rPr>
              <w:t xml:space="preserve">Đất cơ sở sản xuất phi nông nghiệp</w:t>
            </w:r>
            <w:r>
              <w:rPr>
                <w:b w:val="0"/>
                <w:bCs w:val="0"/>
              </w:rPr>
            </w:r>
            <w:r>
              <w:rPr>
                <w:b w:val="0"/>
                <w:bCs w:val="0"/>
              </w:rPr>
            </w:r>
          </w:p>
        </w:tc>
        <w:tc>
          <w:tcPr>
            <w:tcBorders/>
            <w:tcW w:w="1877" w:type="dxa"/>
            <w:vAlign w:val="center"/>
            <w:textDirection w:val="lrTb"/>
            <w:noWrap/>
          </w:tcPr>
          <w:p>
            <w:pPr>
              <w:pBdr/>
              <w:spacing w:after="0" w:before="0" w:line="283" w:lineRule="atLeast"/>
              <w:ind/>
              <w:jc w:val="center"/>
              <w:rPr/>
            </w:pPr>
            <w:r>
              <w:rPr>
                <w:rFonts w:ascii="Times New Roman" w:hAnsi="Times New Roman" w:eastAsia="Times New Roman" w:cs="Times New Roman"/>
                <w:color w:val="000000"/>
                <w:sz w:val="24"/>
              </w:rPr>
              <w:t xml:space="preserve">4.868,1</w:t>
            </w:r>
            <w:r/>
          </w:p>
        </w:tc>
        <w:tc>
          <w:tcPr>
            <w:shd w:val="clear" w:color="000000" w:fill="ffffff"/>
            <w:tcBorders/>
            <w:tcW w:w="2689" w:type="dxa"/>
            <w:vAlign w:val="center"/>
            <w:textDirection w:val="lrTb"/>
            <w:noWrap w:val="false"/>
          </w:tcPr>
          <w:p>
            <w:pPr>
              <w:pBdr/>
              <w:spacing w:after="0" w:before="0" w:line="283" w:lineRule="atLeast"/>
              <w:ind/>
              <w:rPr/>
            </w:pPr>
            <w:r>
              <w:rPr>
                <w:rFonts w:ascii="Times New Roman" w:hAnsi="Times New Roman" w:eastAsia="Times New Roman" w:cs="Times New Roman"/>
                <w:color w:val="000000"/>
                <w:sz w:val="24"/>
              </w:rPr>
              <w:t xml:space="preserve">           1.600.000 </w:t>
            </w:r>
            <w:r/>
          </w:p>
        </w:tc>
        <w:tc>
          <w:tcPr>
            <w:shd w:val="clear" w:color="000000" w:fill="ffffff"/>
            <w:tcBorders/>
            <w:tcW w:w="2096" w:type="dxa"/>
            <w:vAlign w:val="center"/>
            <w:textDirection w:val="lrTb"/>
            <w:noWrap w:val="false"/>
          </w:tcPr>
          <w:p>
            <w:pPr>
              <w:pBdr/>
              <w:spacing w:after="0" w:before="0" w:line="283" w:lineRule="atLeast"/>
              <w:ind/>
              <w:jc w:val="right"/>
              <w:rPr/>
            </w:pPr>
            <w:r>
              <w:rPr>
                <w:rFonts w:ascii="Times New Roman" w:hAnsi="Times New Roman" w:eastAsia="Times New Roman" w:cs="Times New Roman"/>
                <w:color w:val="000000"/>
                <w:sz w:val="24"/>
              </w:rPr>
              <w:t xml:space="preserve">        7.788.960.000 </w:t>
            </w:r>
            <w:r/>
          </w:p>
        </w:tc>
      </w:tr>
      <w:tr>
        <w:trPr>
          <w:trHeight w:val="20"/>
        </w:trPr>
        <w:tc>
          <w:tcPr>
            <w:shd w:val="clear" w:color="000000" w:fill="ffffff"/>
            <w:tcBorders/>
            <w:tcW w:w="675" w:type="dxa"/>
            <w:vAlign w:val="center"/>
            <w:vMerge w:val="restart"/>
            <w:textDirection w:val="lrTb"/>
            <w:noWrap w:val="false"/>
          </w:tcPr>
          <w:p>
            <w:pPr>
              <w:pBdr/>
              <w:spacing w:after="40" w:before="40" w:line="283" w:lineRule="atLeast"/>
              <w:ind/>
              <w:jc w:val="center"/>
              <w:rPr>
                <w:b/>
                <w:bCs/>
              </w:rPr>
            </w:pPr>
            <w:r>
              <w:rPr>
                <w:b/>
                <w:bCs/>
              </w:rPr>
              <w:t xml:space="preserve">2</w:t>
            </w:r>
            <w:r>
              <w:rPr>
                <w:b/>
                <w:bCs/>
              </w:rPr>
            </w:r>
            <w:r>
              <w:rPr>
                <w:b/>
                <w:bCs/>
              </w:rPr>
            </w:r>
          </w:p>
        </w:tc>
        <w:tc>
          <w:tcPr>
            <w:gridSpan w:val="3"/>
            <w:shd w:val="clear" w:color="000000" w:fill="ffffff"/>
            <w:tcBorders/>
            <w:tcW w:w="6941" w:type="dxa"/>
            <w:vAlign w:val="center"/>
            <w:vMerge w:val="restart"/>
            <w:textDirection w:val="lrTb"/>
            <w:noWrap w:val="false"/>
          </w:tcPr>
          <w:p>
            <w:pPr>
              <w:pBdr/>
              <w:spacing w:after="40" w:before="40" w:line="283" w:lineRule="atLeast"/>
              <w:ind/>
              <w:jc w:val="both"/>
              <w:rPr>
                <w:b/>
                <w:bCs/>
                <w:color w:val="000000" w:themeColor="text1"/>
              </w:rPr>
            </w:pPr>
            <w:r>
              <w:rPr>
                <w:b/>
                <w:bCs/>
                <w:color w:val="000000" w:themeColor="text1"/>
              </w:rPr>
            </w:r>
            <w:r>
              <w:rPr>
                <w:b/>
                <w:bCs/>
                <w:color w:val="000000"/>
              </w:rPr>
              <w:t xml:space="preserve">Tài sản số 02: Quyền sử dụng đất thuê trả tiền một lần có thời hạn đến ngày 31/12/2065 tại thửa đất số 554, tờ bản đồ số 23 có địa chỉ: Xã Đồng Tiến, huyện Đồng Phú, tỉnh Bình Phước (nay là xã </w:t>
            </w:r>
            <w:r>
              <w:rPr>
                <w:b/>
                <w:bCs/>
                <w:color w:val="000000"/>
              </w:rPr>
              <w:t xml:space="preserve">Đồng Tâm, thành phố Đồng Nai) theo Giấy chứng nhận quyền sử dụng đất quyền sở hữu nhà ở và tài sản khác gắn liền với đất số BX 189978 có số vào sổ cấp GCN: CT 06400 do UBND tỉnh Bình Phước cấp ngày 21/03/2016; Chủ sử dụng đất là Công ty TNHH Cao su Quốc Vi</w:t>
            </w:r>
            <w:r>
              <w:rPr>
                <w:b/>
                <w:bCs/>
                <w:color w:val="000000"/>
              </w:rPr>
              <w:t xml:space="preserve">ệt.</w:t>
            </w:r>
            <w:r>
              <w:rPr>
                <w:b/>
                <w:bCs/>
                <w:color w:val="000000" w:themeColor="text1"/>
              </w:rPr>
            </w:r>
            <w:r>
              <w:rPr>
                <w:b/>
                <w:bCs/>
                <w:color w:val="000000" w:themeColor="text1"/>
              </w:rPr>
            </w:r>
          </w:p>
        </w:tc>
        <w:tc>
          <w:tcPr>
            <w:shd w:val="clear" w:color="000000" w:fill="ffffff"/>
            <w:tcBorders/>
            <w:tcW w:w="2096" w:type="dxa"/>
            <w:vAlign w:val="center"/>
            <w:vMerge w:val="restart"/>
            <w:textDirection w:val="lrTb"/>
            <w:noWrap w:val="false"/>
          </w:tcPr>
          <w:p>
            <w:pPr>
              <w:pBdr/>
              <w:spacing w:after="40" w:before="40" w:line="283" w:lineRule="atLeast"/>
              <w:ind/>
              <w:jc w:val="right"/>
              <w:rPr>
                <w:color w:val="000000" w:themeColor="text1"/>
              </w:rPr>
            </w:pPr>
            <w:r>
              <w:rPr>
                <w:color w:val="000000" w:themeColor="text1"/>
              </w:rPr>
            </w:r>
            <w:r>
              <w:rPr>
                <w:color w:val="000000" w:themeColor="text1"/>
              </w:rPr>
            </w:r>
            <w:r>
              <w:rPr>
                <w:color w:val="000000" w:themeColor="text1"/>
              </w:rPr>
            </w:r>
          </w:p>
        </w:tc>
      </w:tr>
      <w:tr>
        <w:trPr>
          <w:trHeight w:val="20"/>
        </w:trPr>
        <w:tc>
          <w:tcPr>
            <w:shd w:val="clear" w:color="000000" w:fill="ffffff"/>
            <w:tcBorders/>
            <w:tcW w:w="675" w:type="dxa"/>
            <w:vAlign w:val="center"/>
            <w:vMerge w:val="restart"/>
            <w:textDirection w:val="lrTb"/>
            <w:noWrap w:val="false"/>
          </w:tcPr>
          <w:p>
            <w:pPr>
              <w:pBdr/>
              <w:spacing w:after="40" w:before="40" w:line="283" w:lineRule="atLeast"/>
              <w:ind/>
              <w:jc w:val="center"/>
              <w:rPr>
                <w:b/>
                <w:bCs/>
              </w:rPr>
            </w:pPr>
            <w:r>
              <w:rPr>
                <w:b/>
                <w:bCs/>
              </w:rPr>
              <w:t xml:space="preserve">-</w:t>
            </w:r>
            <w:r>
              <w:rPr>
                <w:b/>
                <w:bCs/>
              </w:rPr>
            </w:r>
            <w:r>
              <w:rPr>
                <w:b/>
                <w:bCs/>
              </w:rPr>
            </w:r>
          </w:p>
        </w:tc>
        <w:tc>
          <w:tcPr>
            <w:shd w:val="clear" w:color="000000" w:fill="ffffff"/>
            <w:tcBorders/>
            <w:tcW w:w="2376" w:type="dxa"/>
            <w:vAlign w:val="center"/>
            <w:vMerge w:val="restart"/>
            <w:textDirection w:val="lrTb"/>
            <w:noWrap w:val="false"/>
          </w:tcPr>
          <w:p>
            <w:pPr>
              <w:pBdr/>
              <w:spacing w:after="40" w:before="40" w:line="283" w:lineRule="atLeast"/>
              <w:ind/>
              <w:jc w:val="both"/>
              <w:rPr>
                <w:b w:val="0"/>
                <w:bCs w:val="0"/>
              </w:rPr>
            </w:pPr>
            <w:r>
              <w:rPr>
                <w:b w:val="0"/>
                <w:bCs w:val="0"/>
              </w:rPr>
              <w:t xml:space="preserve">Đất cơ sở sản xuất phi nông nghiệp</w:t>
            </w:r>
            <w:r>
              <w:rPr>
                <w:b w:val="0"/>
                <w:bCs w:val="0"/>
              </w:rPr>
            </w:r>
            <w:r>
              <w:rPr>
                <w:b w:val="0"/>
                <w:bCs w:val="0"/>
              </w:rPr>
            </w:r>
          </w:p>
        </w:tc>
        <w:tc>
          <w:tcPr>
            <w:tcBorders/>
            <w:tcW w:w="1877" w:type="dxa"/>
            <w:vAlign w:val="center"/>
            <w:vMerge w:val="restart"/>
            <w:textDirection w:val="lrTb"/>
            <w:noWrap/>
          </w:tcPr>
          <w:p>
            <w:pPr>
              <w:pBdr/>
              <w:spacing w:after="0" w:before="0" w:line="283" w:lineRule="atLeast"/>
              <w:ind/>
              <w:jc w:val="center"/>
              <w:rPr/>
            </w:pPr>
            <w:r>
              <w:rPr>
                <w:rFonts w:ascii="Times New Roman" w:hAnsi="Times New Roman" w:eastAsia="Times New Roman" w:cs="Times New Roman"/>
                <w:color w:val="000000"/>
                <w:sz w:val="24"/>
              </w:rPr>
              <w:t xml:space="preserve">3.969,4</w:t>
            </w:r>
            <w:r/>
          </w:p>
        </w:tc>
        <w:tc>
          <w:tcPr>
            <w:shd w:val="clear" w:color="000000" w:fill="ffffff"/>
            <w:tcBorders/>
            <w:tcW w:w="2689" w:type="dxa"/>
            <w:vAlign w:val="center"/>
            <w:vMerge w:val="restart"/>
            <w:textDirection w:val="lrTb"/>
            <w:noWrap w:val="false"/>
          </w:tcPr>
          <w:p>
            <w:pPr>
              <w:pBdr/>
              <w:spacing w:after="0" w:before="0" w:line="283" w:lineRule="atLeast"/>
              <w:ind/>
              <w:rPr/>
            </w:pPr>
            <w:r>
              <w:rPr>
                <w:rFonts w:ascii="Times New Roman" w:hAnsi="Times New Roman" w:eastAsia="Times New Roman" w:cs="Times New Roman"/>
                <w:color w:val="000000"/>
                <w:sz w:val="24"/>
              </w:rPr>
              <w:t xml:space="preserve">           1.600.000 </w:t>
            </w:r>
            <w:r/>
          </w:p>
        </w:tc>
        <w:tc>
          <w:tcPr>
            <w:shd w:val="clear" w:color="000000" w:fill="ffffff"/>
            <w:tcBorders/>
            <w:tcW w:w="2096" w:type="dxa"/>
            <w:vAlign w:val="center"/>
            <w:vMerge w:val="restart"/>
            <w:textDirection w:val="lrTb"/>
            <w:noWrap w:val="false"/>
          </w:tcPr>
          <w:p>
            <w:pPr>
              <w:pBdr/>
              <w:spacing w:after="0" w:before="0" w:line="283" w:lineRule="atLeast"/>
              <w:ind/>
              <w:jc w:val="right"/>
              <w:rPr/>
            </w:pPr>
            <w:r>
              <w:rPr>
                <w:rFonts w:ascii="Times New Roman" w:hAnsi="Times New Roman" w:eastAsia="Times New Roman" w:cs="Times New Roman"/>
                <w:color w:val="000000"/>
                <w:sz w:val="24"/>
              </w:rPr>
              <w:t xml:space="preserve">        6.351.040.000 </w:t>
            </w:r>
            <w:r/>
          </w:p>
        </w:tc>
      </w:tr>
      <w:tr>
        <w:trPr>
          <w:trHeight w:val="20"/>
        </w:trPr>
        <w:tc>
          <w:tcPr>
            <w:shd w:val="clear" w:color="000000" w:fill="ffffff"/>
            <w:tcBorders/>
            <w:tcW w:w="675" w:type="dxa"/>
            <w:vAlign w:val="center"/>
            <w:vMerge w:val="restart"/>
            <w:textDirection w:val="lrTb"/>
            <w:noWrap w:val="false"/>
          </w:tcPr>
          <w:p>
            <w:pPr>
              <w:pBdr/>
              <w:spacing w:after="40" w:before="40" w:line="283" w:lineRule="atLeast"/>
              <w:ind/>
              <w:jc w:val="center"/>
              <w:rPr>
                <w:b/>
                <w:bCs/>
              </w:rPr>
            </w:pPr>
            <w:r>
              <w:rPr>
                <w:b/>
                <w:bCs/>
              </w:rPr>
              <w:t xml:space="preserve">3</w:t>
            </w:r>
            <w:r>
              <w:rPr>
                <w:b/>
                <w:bCs/>
              </w:rPr>
            </w:r>
            <w:r>
              <w:rPr>
                <w:b/>
                <w:bCs/>
              </w:rPr>
            </w:r>
          </w:p>
        </w:tc>
        <w:tc>
          <w:tcPr>
            <w:gridSpan w:val="3"/>
            <w:shd w:val="clear" w:color="000000" w:fill="ffffff"/>
            <w:tcBorders/>
            <w:tcW w:w="6941" w:type="dxa"/>
            <w:vAlign w:val="center"/>
            <w:vMerge w:val="restart"/>
            <w:textDirection w:val="lrTb"/>
            <w:noWrap w:val="false"/>
          </w:tcPr>
          <w:p>
            <w:pPr>
              <w:pBdr/>
              <w:spacing w:after="40" w:before="40" w:line="283" w:lineRule="atLeast"/>
              <w:ind/>
              <w:jc w:val="both"/>
              <w:rPr>
                <w:b/>
                <w:bCs/>
                <w:color w:val="000000" w:themeColor="text1"/>
              </w:rPr>
            </w:pPr>
            <w:r>
              <w:rPr>
                <w:b/>
                <w:bCs/>
                <w:color w:val="000000" w:themeColor="text1"/>
              </w:rPr>
            </w:r>
            <w:r>
              <w:rPr>
                <w:b/>
                <w:bCs/>
                <w:color w:val="000000"/>
              </w:rPr>
              <w:t xml:space="preserve"> </w:t>
            </w:r>
            <w:r>
              <w:rPr>
                <w:b/>
                <w:bCs/>
                <w:color w:val="000000"/>
              </w:rPr>
              <w:t xml:space="preserve">Tài sản số 03: Quyền sử dụng đất thuê trả tiền một lần có thời hạn đến ngày 26/01/2061 và tài sản gắn liền với đất tại thửa đất số 63, tờ bản đồ số 24 có địa chỉ: Ấp 1, xã Đồng Tiến, huyện Đồng Phú, tỉnh Bình Phước (nay là xã Đồng Tâm, thành phố Đồng N</w:t>
            </w:r>
            <w:r>
              <w:rPr>
                <w:b/>
                <w:bCs/>
                <w:color w:val="000000"/>
              </w:rPr>
              <w:t xml:space="preserve">ai) theo Giấy chứng nhận quyền sử dụng đất quyền sở hữu nhà ở và tài sản khác gắn liền với đất số BN 971526 có số vào sổ cấp GCN: CT 05916 do Sở Tài nguyên và Môi trường tỉnh Bình Phước cấp ngày 20/05/2015; Chủ sử dụng đất là Công ty TNHH Cao su Quốc Việt.</w:t>
            </w:r>
            <w:r>
              <w:rPr>
                <w:b/>
                <w:bCs/>
                <w:color w:val="000000" w:themeColor="text1"/>
              </w:rPr>
            </w:r>
            <w:r>
              <w:rPr>
                <w:b/>
                <w:bCs/>
                <w:color w:val="000000" w:themeColor="text1"/>
              </w:rPr>
            </w:r>
          </w:p>
        </w:tc>
        <w:tc>
          <w:tcPr>
            <w:shd w:val="clear" w:color="000000" w:fill="ffffff"/>
            <w:tcBorders/>
            <w:tcW w:w="2096" w:type="dxa"/>
            <w:vAlign w:val="center"/>
            <w:vMerge w:val="restart"/>
            <w:textDirection w:val="lrTb"/>
            <w:noWrap w:val="false"/>
          </w:tcPr>
          <w:p>
            <w:pPr>
              <w:pBdr/>
              <w:spacing w:after="40" w:before="40" w:line="283" w:lineRule="atLeast"/>
              <w:ind/>
              <w:jc w:val="right"/>
              <w:rPr>
                <w:color w:val="000000" w:themeColor="text1"/>
              </w:rPr>
            </w:pPr>
            <w:r>
              <w:rPr>
                <w:color w:val="000000" w:themeColor="text1"/>
              </w:rPr>
            </w:r>
            <w:r>
              <w:rPr>
                <w:color w:val="000000" w:themeColor="text1"/>
              </w:rPr>
            </w:r>
            <w:r>
              <w:rPr>
                <w:color w:val="000000" w:themeColor="text1"/>
              </w:rPr>
            </w:r>
          </w:p>
        </w:tc>
      </w:tr>
      <w:tr>
        <w:trPr>
          <w:trHeight w:val="20"/>
        </w:trPr>
        <w:tc>
          <w:tcPr>
            <w:shd w:val="clear" w:color="000000" w:fill="ffffff"/>
            <w:tcBorders/>
            <w:tcW w:w="675" w:type="dxa"/>
            <w:vAlign w:val="center"/>
            <w:vMerge w:val="restart"/>
            <w:textDirection w:val="lrTb"/>
            <w:noWrap w:val="false"/>
          </w:tcPr>
          <w:p>
            <w:pPr>
              <w:pBdr/>
              <w:spacing w:after="40" w:before="40" w:line="283" w:lineRule="atLeast"/>
              <w:ind/>
              <w:jc w:val="center"/>
              <w:rPr>
                <w:b/>
                <w:bCs/>
              </w:rPr>
            </w:pPr>
            <w:r>
              <w:rPr>
                <w:b/>
                <w:bCs/>
              </w:rPr>
              <w:t xml:space="preserve">-</w:t>
            </w:r>
            <w:r>
              <w:rPr>
                <w:b/>
                <w:bCs/>
              </w:rPr>
            </w:r>
            <w:r>
              <w:rPr>
                <w:b/>
                <w:bCs/>
              </w:rPr>
            </w:r>
          </w:p>
        </w:tc>
        <w:tc>
          <w:tcPr>
            <w:shd w:val="clear" w:color="000000" w:fill="ffffff"/>
            <w:tcBorders/>
            <w:tcW w:w="2376" w:type="dxa"/>
            <w:vAlign w:val="center"/>
            <w:vMerge w:val="restart"/>
            <w:textDirection w:val="lrTb"/>
            <w:noWrap w:val="false"/>
          </w:tcPr>
          <w:p>
            <w:pPr>
              <w:pBdr/>
              <w:spacing w:after="40" w:before="40" w:line="283" w:lineRule="atLeast"/>
              <w:ind/>
              <w:jc w:val="both"/>
              <w:rPr>
                <w:b w:val="0"/>
                <w:bCs w:val="0"/>
              </w:rPr>
            </w:pPr>
            <w:r>
              <w:rPr>
                <w:b w:val="0"/>
                <w:bCs w:val="0"/>
              </w:rPr>
              <w:t xml:space="preserve">Đất cơ sở sản xuất phi nông nghiệp</w:t>
            </w:r>
            <w:r>
              <w:rPr>
                <w:b w:val="0"/>
                <w:bCs w:val="0"/>
              </w:rPr>
            </w:r>
            <w:r>
              <w:rPr>
                <w:b w:val="0"/>
                <w:bCs w:val="0"/>
              </w:rPr>
            </w:r>
          </w:p>
        </w:tc>
        <w:tc>
          <w:tcPr>
            <w:tcBorders/>
            <w:tcW w:w="1877" w:type="dxa"/>
            <w:vAlign w:val="center"/>
            <w:vMerge w:val="restart"/>
            <w:textDirection w:val="lrTb"/>
            <w:noWrap/>
          </w:tcPr>
          <w:p>
            <w:pPr>
              <w:pBdr/>
              <w:spacing w:after="40" w:before="40" w:line="283" w:lineRule="atLeast"/>
              <w:ind/>
              <w:jc w:val="center"/>
              <w:rPr>
                <w:color w:val="000000"/>
              </w:rPr>
            </w:pPr>
            <w:r>
              <w:rPr>
                <w:color w:val="000000" w:themeColor="text1"/>
              </w:rPr>
              <w:t xml:space="preserve">24.962</w:t>
            </w:r>
            <w:r>
              <w:rPr>
                <w:color w:val="000000"/>
              </w:rPr>
            </w:r>
            <w:r>
              <w:rPr>
                <w:color w:val="000000"/>
              </w:rPr>
            </w:r>
          </w:p>
        </w:tc>
        <w:tc>
          <w:tcPr>
            <w:shd w:val="clear" w:color="000000" w:fill="ffffff"/>
            <w:tcBorders/>
            <w:tcW w:w="2689" w:type="dxa"/>
            <w:vAlign w:val="center"/>
            <w:vMerge w:val="restart"/>
            <w:textDirection w:val="lrTb"/>
            <w:noWrap w:val="false"/>
          </w:tcPr>
          <w:p>
            <w:pPr>
              <w:pBdr/>
              <w:spacing w:after="40" w:before="40" w:line="283" w:lineRule="atLeast"/>
              <w:ind/>
              <w:jc w:val="center"/>
              <w:rPr/>
            </w:pPr>
            <w:r>
              <w:rPr>
                <w:color w:val="000000" w:themeColor="text1"/>
              </w:rPr>
              <w:t xml:space="preserve">1.600.000</w:t>
            </w:r>
            <w:r/>
          </w:p>
        </w:tc>
        <w:tc>
          <w:tcPr>
            <w:shd w:val="clear" w:color="000000" w:fill="ffffff"/>
            <w:tcBorders/>
            <w:tcW w:w="2096" w:type="dxa"/>
            <w:vAlign w:val="center"/>
            <w:vMerge w:val="restart"/>
            <w:textDirection w:val="lrTb"/>
            <w:noWrap w:val="false"/>
          </w:tcPr>
          <w:p>
            <w:pPr>
              <w:pBdr/>
              <w:spacing w:after="40" w:before="40" w:line="283" w:lineRule="atLeast"/>
              <w:ind/>
              <w:jc w:val="right"/>
              <w:rPr/>
            </w:pPr>
            <w:r>
              <w:rPr>
                <w:color w:val="000000" w:themeColor="text1"/>
              </w:rPr>
              <w:t xml:space="preserve">39.939.200.000</w:t>
            </w:r>
            <w:r/>
          </w:p>
        </w:tc>
      </w:tr>
      <w:tr>
        <w:trPr>
          <w:trHeight w:val="20"/>
        </w:trPr>
        <w:tc>
          <w:tcPr>
            <w:gridSpan w:val="4"/>
            <w:tcBorders/>
            <w:tcW w:w="7616" w:type="dxa"/>
            <w:vAlign w:val="center"/>
            <w:textDirection w:val="lrTb"/>
            <w:noWrap/>
          </w:tcPr>
          <w:p>
            <w:pPr>
              <w:pBdr/>
              <w:spacing w:after="40" w:before="40" w:line="283" w:lineRule="atLeast"/>
              <w:ind/>
              <w:jc w:val="center"/>
              <w:rPr>
                <w:b/>
                <w:bCs/>
                <w:color w:val="000000"/>
              </w:rPr>
            </w:pPr>
            <w:r>
              <w:rPr>
                <w:b/>
                <w:bCs/>
                <w:color w:val="000000"/>
              </w:rPr>
              <w:t xml:space="preserve">TỔNG CỘNG</w:t>
            </w:r>
            <w:r>
              <w:rPr>
                <w:b/>
                <w:bCs/>
                <w:color w:val="000000"/>
              </w:rPr>
            </w:r>
            <w:r>
              <w:rPr>
                <w:b/>
                <w:bCs/>
                <w:color w:val="000000"/>
              </w:rPr>
            </w:r>
          </w:p>
        </w:tc>
        <w:tc>
          <w:tcPr>
            <w:tcBorders/>
            <w:tcW w:w="2096" w:type="dxa"/>
            <w:vAlign w:val="center"/>
            <w:textDirection w:val="lrTb"/>
            <w:noWrap/>
          </w:tcPr>
          <w:p>
            <w:pPr>
              <w:pBdr/>
              <w:spacing w:after="0" w:before="0" w:line="283" w:lineRule="atLeast"/>
              <w:ind/>
              <w:jc w:val="right"/>
              <w:rPr/>
            </w:pPr>
            <w:r>
              <w:rPr>
                <w:rFonts w:ascii="Times New Roman" w:hAnsi="Times New Roman" w:eastAsia="Times New Roman" w:cs="Times New Roman"/>
                <w:b/>
                <w:color w:val="000000"/>
                <w:sz w:val="24"/>
              </w:rPr>
              <w:t xml:space="preserve">      54.079.200.000 </w:t>
            </w:r>
            <w:r/>
          </w:p>
        </w:tc>
      </w:tr>
      <w:tr>
        <w:trPr>
          <w:trHeight w:val="20"/>
        </w:trPr>
        <w:tc>
          <w:tcPr>
            <w:gridSpan w:val="4"/>
            <w:tcBorders/>
            <w:tcW w:w="7616" w:type="dxa"/>
            <w:vAlign w:val="center"/>
            <w:textDirection w:val="lrTb"/>
            <w:noWrap/>
          </w:tcPr>
          <w:p>
            <w:pPr>
              <w:pBdr/>
              <w:spacing w:after="40" w:before="40" w:line="283" w:lineRule="atLeast"/>
              <w:ind/>
              <w:jc w:val="center"/>
              <w:rPr>
                <w:b/>
                <w:bCs/>
                <w:color w:val="000000"/>
              </w:rPr>
            </w:pPr>
            <w:r>
              <w:rPr>
                <w:b/>
                <w:bCs/>
                <w:color w:val="000000"/>
              </w:rPr>
              <w:t xml:space="preserve">LÀM TRÒN</w:t>
            </w:r>
            <w:r>
              <w:rPr>
                <w:b/>
                <w:bCs/>
                <w:color w:val="000000"/>
              </w:rPr>
            </w:r>
            <w:r>
              <w:rPr>
                <w:b/>
                <w:bCs/>
                <w:color w:val="000000"/>
              </w:rPr>
            </w:r>
          </w:p>
        </w:tc>
        <w:tc>
          <w:tcPr>
            <w:tcBorders/>
            <w:tcW w:w="2096" w:type="dxa"/>
            <w:vAlign w:val="center"/>
            <w:textDirection w:val="lrTb"/>
            <w:noWrap/>
          </w:tcPr>
          <w:p>
            <w:pPr>
              <w:pBdr/>
              <w:spacing w:after="0" w:before="0" w:line="283" w:lineRule="atLeast"/>
              <w:ind/>
              <w:jc w:val="right"/>
              <w:rPr/>
            </w:pPr>
            <w:r>
              <w:rPr>
                <w:rFonts w:ascii="Times New Roman" w:hAnsi="Times New Roman" w:eastAsia="Times New Roman" w:cs="Times New Roman"/>
                <w:b/>
                <w:color w:val="000000"/>
                <w:sz w:val="24"/>
              </w:rPr>
              <w:t xml:space="preserve">      54.079.000.000 </w:t>
            </w:r>
            <w:r/>
          </w:p>
        </w:tc>
      </w:tr>
      <w:tr>
        <w:trPr>
          <w:trHeight w:val="20"/>
        </w:trPr>
        <w:tc>
          <w:tcPr>
            <w:gridSpan w:val="5"/>
            <w:tcBorders/>
            <w:tcW w:w="9712" w:type="dxa"/>
            <w:vAlign w:val="center"/>
            <w:textDirection w:val="lrTb"/>
            <w:noWrap w:val="false"/>
          </w:tcPr>
          <w:p>
            <w:pPr>
              <w:pBdr/>
              <w:spacing w:after="40" w:before="40" w:line="283" w:lineRule="atLeast"/>
              <w:ind/>
              <w:jc w:val="center"/>
              <w:rPr>
                <w:b/>
                <w:bCs/>
                <w:i/>
                <w:iCs/>
                <w:color w:val="000000"/>
              </w:rPr>
            </w:pPr>
            <w:r>
              <w:rPr>
                <w:b/>
                <w:bCs/>
                <w:i/>
                <w:iCs/>
                <w:color w:val="000000"/>
              </w:rPr>
              <w:t xml:space="preserve">(Bằng chữ: </w:t>
            </w:r>
            <w:r>
              <w:rPr>
                <w:b/>
                <w:bCs/>
                <w:i/>
                <w:iCs/>
                <w:color w:val="000000"/>
              </w:rPr>
              <w:t xml:space="preserve">Năm mươi tư tỷ, không trăm bảy mươi chín triệu đồng chẵn</w:t>
            </w:r>
            <w:r>
              <w:rPr>
                <w:b/>
                <w:bCs/>
                <w:i/>
                <w:iCs/>
                <w:color w:val="000000"/>
              </w:rPr>
              <w:t xml:space="preserve">./.)</w:t>
            </w:r>
            <w:r>
              <w:rPr>
                <w:b/>
                <w:bCs/>
                <w:i/>
                <w:iCs/>
                <w:color w:val="000000"/>
              </w:rPr>
            </w:r>
            <w:r>
              <w:rPr>
                <w:b/>
                <w:bCs/>
                <w:i/>
                <w:iCs/>
                <w:color w:val="000000"/>
              </w:rPr>
            </w:r>
          </w:p>
        </w:tc>
      </w:tr>
    </w:tbl>
    <w:p>
      <w:pPr>
        <w:pStyle w:val="1052"/>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52"/>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52"/>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52"/>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52"/>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52"/>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52"/>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52"/>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52"/>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52"/>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52"/>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52"/>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52"/>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52"/>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52"/>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52"/>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52"/>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52"/>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52"/>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52"/>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52"/>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Theo khảo</w:t>
      </w:r>
      <w:r>
        <w:rPr>
          <w:rFonts w:ascii="Times New Roman" w:hAnsi="Times New Roman" w:eastAsia="Times New Roman" w:cs="Times New Roman"/>
          <w:color w:val="000000"/>
          <w:sz w:val="24"/>
        </w:rPr>
        <w:t xml:space="preserve"> sát thực tế, tại thời điểm thẩm định giá tài sản gắn liền với các thửa đất gồm có: Các hệ thống nhà xưởng sản xuất, nhà văn phòng, nhà căng teen và phòng lab, nhà kho sản xuất, nhà để xe, tường rào…. Tuy nhiên, theo đề nghị của Ngân hàng/Khách hàng, Tổ th</w:t>
      </w:r>
      <w:r>
        <w:rPr>
          <w:rFonts w:ascii="Times New Roman" w:hAnsi="Times New Roman" w:eastAsia="Times New Roman" w:cs="Times New Roman"/>
          <w:color w:val="000000"/>
          <w:sz w:val="24"/>
        </w:rPr>
        <w:t xml:space="preserve">ẩm định không xác định giá trị của những công trình xây dựng nêu trên vào tổng giá trị, nhưng vẫn coi đó là phần không thể tách rời của tài sản thẩm định. Kính đề nghị đơn vị sử dụng kết quả lưu ý</w:t>
      </w:r>
      <w:r>
        <w:rPr>
          <w:highlight w:val="none"/>
          <w:lang w:val="vi-VN"/>
        </w:rPr>
      </w:r>
      <w:r>
        <w:rPr>
          <w:lang w:val="vi-VN"/>
        </w:rPr>
      </w:r>
    </w:p>
    <w:p>
      <w:pPr>
        <w:pStyle w:val="1052"/>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52"/>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52"/>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52"/>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52"/>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52"/>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275/2026/1051/VFI-CT.17.A</w:t>
      </w:r>
      <w:r>
        <w:rPr>
          <w:color w:val="ff0000"/>
          <w:lang w:val="vi-VN"/>
        </w:rPr>
        <w:t xml:space="preserve"> </w:t>
      </w:r>
      <w:r>
        <w:rPr>
          <w:color w:val="000000" w:themeColor="text1"/>
        </w:rPr>
        <w:t xml:space="preserve">ngày 11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983" w:type="pct"/>
        <w:tblBorders/>
        <w:tblLayout w:type="fixed"/>
        <w:tblLook w:val="01E0" w:firstRow="1" w:lastRow="1" w:firstColumn="1" w:lastColumn="1" w:noHBand="0" w:noVBand="0"/>
      </w:tblPr>
      <w:tblGrid>
        <w:gridCol w:w="4643"/>
        <w:gridCol w:w="5244"/>
      </w:tblGrid>
      <w:tr>
        <w:trPr>
          <w:trHeight w:val="20"/>
        </w:trPr>
        <w:tc>
          <w:tcPr>
            <w:tcBorders/>
            <w:tcW w:w="464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43"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43"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44"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275/2026/1051/VFI-BC.17.A</w:t>
      </w:r>
      <w:r>
        <w:rPr>
          <w:i/>
          <w:lang w:val="pt-BR"/>
        </w:rPr>
        <w:t xml:space="preserve"> </w:t>
      </w:r>
      <w:r>
        <w:rPr>
          <w:i/>
          <w:lang w:val="pt-BR"/>
        </w:rPr>
        <w:t xml:space="preserve">11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5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887"/>
        <w:gridCol w:w="4887"/>
      </w:tblGrid>
      <w:tr>
        <w:trPr/>
        <w:tc>
          <w:tcPr>
            <w:tcBorders/>
            <w:tcW w:w="4887"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88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88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88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88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88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88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88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88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88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88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88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275/2026/1051/VFI-BC.17.A</w:t>
      </w:r>
      <w:r>
        <w:rPr>
          <w:i/>
          <w:lang w:val="pt-BR"/>
        </w:rPr>
        <w:t xml:space="preserve"> </w:t>
      </w:r>
      <w:r>
        <w:rPr>
          <w:i/>
          <w:lang w:val="pt-BR"/>
        </w:rPr>
        <w:t xml:space="preserve">11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888" w:type="dxa"/>
        <w:tblBorders/>
        <w:tblLayout w:type="fixed"/>
        <w:tblLook w:val="04A0" w:firstRow="1" w:lastRow="0" w:firstColumn="1" w:lastColumn="0" w:noHBand="0" w:noVBand="1"/>
      </w:tblPr>
      <w:tblGrid>
        <w:gridCol w:w="632"/>
        <w:gridCol w:w="3161"/>
        <w:gridCol w:w="60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0979223428</w:t>
            </w:r>
            <w:r>
              <w:rPr>
                <w:sz w:val="22"/>
                <w:szCs w:val="22"/>
              </w:rPr>
              <w:t xml:space="preserve"> </w:t>
            </w:r>
            <w:r>
              <w:rPr>
                <w:sz w:val="22"/>
                <w:szCs w:val="22"/>
              </w:rPr>
              <w:br/>
              <w:t xml:space="preserve">(Long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rao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cơ sở sản xuất phi nông nghiệp (52818.4m²)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sz w:val="22"/>
                <w:szCs w:val="22"/>
              </w:rPr>
            </w:pPr>
            <w:r>
              <w:rPr>
                <w:color w:val="000000" w:themeColor="text1"/>
                <w:sz w:val="22"/>
                <w:szCs w:val="22"/>
              </w:rPr>
              <w:t xml:space="preserve">Có thời hạn (đến 20/06/2066, 40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pPr>
            <w:r>
              <w:rPr>
                <w:color w:val="000000" w:themeColor="text1"/>
                <w:sz w:val="22"/>
                <w:szCs w:val="22"/>
              </w:rPr>
              <w:t xml:space="preserve">Tài sản tại: Xã Tiến Hưng, Thị xã Đồng Xoài, Tỉnh Bình Phước. Cách trục chính đường DT 753 khoảng 500mm.</w:t>
            </w:r>
            <w:r>
              <w:rPr>
                <w:color w:val="000000"/>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đá dăm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52.818,4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180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256"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30803" cy="359528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430802" cy="35952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7.62pt;height:283.09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42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4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4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16783" cy="4443614"/>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616783" cy="44436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2.27pt;height:349.8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1958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195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2.6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458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745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6.9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888" w:type="dxa"/>
        <w:tblBorders/>
        <w:tblLayout w:type="fixed"/>
        <w:tblLook w:val="04A0" w:firstRow="1" w:lastRow="0" w:firstColumn="1" w:lastColumn="0" w:noHBand="0" w:noVBand="1"/>
      </w:tblPr>
      <w:tblGrid>
        <w:gridCol w:w="9888"/>
      </w:tblGrid>
      <w:tr>
        <w:trPr>
          <w:trHeight w:val="298"/>
        </w:trPr>
        <w:tc>
          <w:tcPr>
            <w:tcBorders/>
            <w:tcW w:w="9888"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88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811" w:type="dxa"/>
        <w:tblBorders/>
        <w:tblLayout w:type="fixed"/>
        <w:tblLook w:val="04A0" w:firstRow="1" w:lastRow="0" w:firstColumn="1" w:lastColumn="0" w:noHBand="0" w:noVBand="1"/>
      </w:tblPr>
      <w:tblGrid>
        <w:gridCol w:w="632"/>
        <w:gridCol w:w="3226"/>
        <w:gridCol w:w="5953"/>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0398859698</w:t>
            </w:r>
            <w:r>
              <w:rPr>
                <w:sz w:val="22"/>
                <w:szCs w:val="22"/>
              </w:rPr>
              <w:t xml:space="preserve"> </w:t>
            </w:r>
            <w:r>
              <w:rPr>
                <w:sz w:val="22"/>
                <w:szCs w:val="22"/>
              </w:rPr>
              <w:br/>
              <w:t xml:space="preserve">(Dũng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63.288.753.552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56.959.878.197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cụm công nghiệp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ind/>
              <w:jc w:val="center"/>
              <w:rPr>
                <w:sz w:val="22"/>
                <w:szCs w:val="22"/>
              </w:rPr>
            </w:pPr>
            <w:r>
              <w:rPr>
                <w:color w:val="000000" w:themeColor="text1"/>
                <w:sz w:val="22"/>
                <w:szCs w:val="22"/>
              </w:rPr>
              <w:t xml:space="preserve"> Có thời hạn (đến 31/12/2069, 43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ind/>
              <w:jc w:val="center"/>
              <w:rPr/>
            </w:pPr>
            <w:r>
              <w:rPr>
                <w:color w:val="000000" w:themeColor="text1"/>
                <w:sz w:val="22"/>
                <w:szCs w:val="22"/>
              </w:rPr>
              <w:t xml:space="preserve">Tài sản tại: Huyện Đồng Phú, Tỉnh Bình Phước. Cách đường DT 741 khoảng 700m</w:t>
            </w:r>
            <w:r>
              <w:rPr>
                <w:color w:val="000000"/>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28.128,96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147,3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nội bộ CCN chưa hoàn thiện (Chưa san lấp mặt bằng)</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3"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79"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7007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1700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7.0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52131" cy="343066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1852131" cy="3430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5.84pt;height:270.13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67916" cy="343066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1567916" cy="3430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23.46pt;height:270.13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82984" cy="343066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095295145" name="" descr=""/>
                              <pic:cNvPicPr/>
                              <pic:nvPr/>
                            </pic:nvPicPr>
                            <pic:blipFill rotWithShape="1">
                              <a:blip r:embed="rId35"/>
                              <a:stretch/>
                            </pic:blipFill>
                            <pic:spPr bwMode="auto">
                              <a:xfrm flipH="0" flipV="0">
                                <a:off x="0" y="0"/>
                                <a:ext cx="1682983" cy="3430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32.52pt;height:270.13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95617" cy="2502028"/>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5495617" cy="25020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2.73pt;height:197.01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811" w:type="dxa"/>
        <w:tblBorders/>
        <w:tblLayout w:type="fixed"/>
        <w:tblLook w:val="04A0" w:firstRow="1" w:lastRow="0" w:firstColumn="1" w:lastColumn="0" w:noHBand="0" w:noVBand="1"/>
      </w:tblPr>
      <w:tblGrid>
        <w:gridCol w:w="632"/>
        <w:gridCol w:w="2943"/>
        <w:gridCol w:w="623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0989569770</w:t>
            </w:r>
            <w:r>
              <w:rPr>
                <w:sz w:val="22"/>
                <w:szCs w:val="22"/>
              </w:rPr>
              <w:t xml:space="preserve"> </w:t>
            </w:r>
            <w:r>
              <w:rPr>
                <w:sz w:val="22"/>
                <w:szCs w:val="22"/>
              </w:rPr>
              <w:br/>
              <w:t xml:space="preserve">(Tùng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43.160.000.000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rao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cơ sở sản xuất phi nông nghiệp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sz w:val="22"/>
                <w:szCs w:val="22"/>
              </w:rPr>
            </w:pPr>
            <w:r>
              <w:rPr>
                <w:color w:val="000000" w:themeColor="text1"/>
                <w:sz w:val="22"/>
                <w:szCs w:val="22"/>
              </w:rPr>
              <w:t xml:space="preserve">Có thời hạn (đến 22/08/2048, 22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pPr>
            <w:r>
              <w:rPr>
                <w:color w:val="000000" w:themeColor="text1"/>
                <w:sz w:val="22"/>
                <w:szCs w:val="22"/>
              </w:rPr>
              <w:t xml:space="preserve">Tài sản tại: Xã Đồng Tiến, Huyện Đồng Phú, Tỉnh Bình Phước. Cách trục chính đường QL 14 khoảng 3kmm</w:t>
            </w:r>
            <w:r>
              <w:rPr>
                <w:color w:val="000000"/>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17.602,5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79"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24797" cy="4064458"/>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5424796" cy="40644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27.15pt;height:320.04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03678" cy="3821185"/>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5503678" cy="3821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33.36pt;height:300.88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23581" cy="3890679"/>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2023581" cy="38906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59.34pt;height:306.35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87016" cy="3890679"/>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1987016" cy="38906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56.46pt;height:306.35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87734" cy="3890679"/>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1587733" cy="38906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25.02pt;height:306.35pt;mso-wrap-distance-left:0.00pt;mso-wrap-distance-top:0.00pt;mso-wrap-distance-right:0.00pt;mso-wrap-distance-bottom:0.00pt;z-index:1;" stroked="false">
                      <v:imagedata r:id="rId4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r>
            <w:r>
              <w:rPr>
                <w:color w:val="000000"/>
                <w:sz w:val="22"/>
                <w:szCs w:val="22"/>
                <w:highlight w:val="none"/>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87685" cy="3750747"/>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flipH="0" flipV="0">
                                <a:off x="0" y="0"/>
                                <a:ext cx="5287685" cy="3750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16.35pt;height:295.33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highlight w:val="none"/>
              </w:rPr>
            </w:r>
            <w:r>
              <w:rPr>
                <w:color w:val="000000"/>
                <w:sz w:val="22"/>
                <w:szCs w:val="22"/>
                <w:highlight w:val="none"/>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25785" cy="4306016"/>
                      <wp:effectExtent l="0" t="0" r="0" b="0"/>
                      <wp:docPr id="31" name=""/>
                      <wp:cNvGraphicFramePr/>
                      <a:graphic xmlns:a="http://schemas.openxmlformats.org/drawingml/2006/main">
                        <a:graphicData uri="http://schemas.openxmlformats.org/drawingml/2006/picture">
                          <pic:pic xmlns:pic="http://schemas.openxmlformats.org/drawingml/2006/picture">
                            <pic:nvPicPr>
                              <pic:cNvPr id="1201424718" name="" descr=""/>
                              <pic:cNvPicPr/>
                              <pic:nvPr/>
                            </pic:nvPicPr>
                            <pic:blipFill rotWithShape="1">
                              <a:blip r:embed="rId43"/>
                              <a:stretch/>
                            </pic:blipFill>
                            <pic:spPr bwMode="auto">
                              <a:xfrm flipH="0" flipV="0">
                                <a:off x="0" y="0"/>
                                <a:ext cx="5325785" cy="43060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19.35pt;height:339.06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23461" cy="3792610"/>
                      <wp:effectExtent l="0" t="0" r="0" b="0"/>
                      <wp:docPr id="32" name=""/>
                      <wp:cNvGraphicFramePr/>
                      <a:graphic xmlns:a="http://schemas.openxmlformats.org/drawingml/2006/main">
                        <a:graphicData uri="http://schemas.openxmlformats.org/drawingml/2006/picture">
                          <pic:pic xmlns:pic="http://schemas.openxmlformats.org/drawingml/2006/picture">
                            <pic:nvPicPr>
                              <pic:cNvPr id="1619705074" name="" descr=""/>
                              <pic:cNvPicPr/>
                              <pic:nvPr/>
                            </pic:nvPicPr>
                            <pic:blipFill rotWithShape="1">
                              <a:blip r:embed="rId44"/>
                              <a:stretch/>
                            </pic:blipFill>
                            <pic:spPr bwMode="auto">
                              <a:xfrm flipH="0" flipV="0">
                                <a:off x="0" y="0"/>
                                <a:ext cx="5223460" cy="3792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11.30pt;height:298.63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highlight w:val="none"/>
              </w:rPr>
            </w:r>
            <w:r>
              <w:rPr>
                <w:color w:val="000000"/>
                <w:sz w:val="22"/>
                <w:szCs w:val="22"/>
              </w:rPr>
            </w:r>
          </w:p>
          <w:p>
            <w:pPr>
              <w:pBdr/>
              <w:spacing w:line="276" w:lineRule="auto"/>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jc w:val="center"/>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5187673"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330038161" name="" descr=""/>
                              <pic:cNvPicPr/>
                              <pic:nvPr/>
                            </pic:nvPicPr>
                            <pic:blipFill rotWithShape="1">
                              <a:blip r:embed="rId45"/>
                              <a:stretch/>
                            </pic:blipFill>
                            <pic:spPr bwMode="auto">
                              <a:xfrm flipH="0" flipV="0">
                                <a:off x="0" y="0"/>
                                <a:ext cx="518767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08.48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highlight w:val="none"/>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51" w:right="455" w:bottom="681"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758F8368"/>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758F8368"/>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58F8368"/>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58F8368"/>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758F8368"/>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166D639D"/>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166D639D"/>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6">
    <w:nsid w:val="3274BA1E"/>
    <w:lvl w:ilvl="0">
      <w:isLgl w:val="false"/>
      <w:lvlJc w:val="left"/>
      <w:lvlText w:val="-"/>
      <w:numFmt w:val="bullet"/>
      <w:pPr>
        <w:pBdr/>
        <w:spacing/>
        <w:ind w:hanging="360" w:left="643"/>
      </w:pPr>
      <w:rPr>
        <w:rFonts w:hint="default" w:ascii="Symbol" w:hAnsi="Symbol" w:eastAsia="Symbol" w:cs="Symbol"/>
      </w:rPr>
      <w:start w:val="1"/>
      <w:suff w:val="tab"/>
    </w:lvl>
    <w:lvl w:ilvl="1">
      <w:isLgl w:val="false"/>
      <w:lvlJc w:val="left"/>
      <w:lvlText w:val="o"/>
      <w:numFmt w:val="bullet"/>
      <w:pPr>
        <w:pBdr/>
        <w:spacing/>
        <w:ind w:hanging="360" w:left="1363"/>
      </w:pPr>
      <w:rPr>
        <w:rFonts w:hint="default" w:ascii="Courier New" w:hAnsi="Courier New" w:eastAsia="Courier New" w:cs="Courier New"/>
      </w:rPr>
      <w:start w:val="1"/>
      <w:suff w:val="tab"/>
    </w:lvl>
    <w:lvl w:ilvl="2">
      <w:isLgl w:val="false"/>
      <w:lvlJc w:val="left"/>
      <w:lvlText w:val=""/>
      <w:numFmt w:val="bullet"/>
      <w:pPr>
        <w:pBdr/>
        <w:spacing/>
        <w:ind w:hanging="360" w:left="2083"/>
      </w:pPr>
      <w:rPr>
        <w:rFonts w:hint="default" w:ascii="Wingdings" w:hAnsi="Wingdings" w:eastAsia="Wingdings" w:cs="Wingdings"/>
      </w:rPr>
      <w:start w:val="1"/>
      <w:suff w:val="tab"/>
    </w:lvl>
    <w:lvl w:ilvl="3">
      <w:isLgl w:val="false"/>
      <w:lvlJc w:val="left"/>
      <w:lvlText w:val=""/>
      <w:numFmt w:val="bullet"/>
      <w:pPr>
        <w:pBdr/>
        <w:spacing/>
        <w:ind w:hanging="360" w:left="2803"/>
      </w:pPr>
      <w:rPr>
        <w:rFonts w:hint="default" w:ascii="Symbol" w:hAnsi="Symbol" w:eastAsia="Symbol" w:cs="Symbol"/>
      </w:rPr>
      <w:start w:val="1"/>
      <w:suff w:val="tab"/>
    </w:lvl>
    <w:lvl w:ilvl="4">
      <w:isLgl w:val="false"/>
      <w:lvlJc w:val="left"/>
      <w:lvlText w:val="o"/>
      <w:numFmt w:val="bullet"/>
      <w:pPr>
        <w:pBdr/>
        <w:spacing/>
        <w:ind w:hanging="360" w:left="3523"/>
      </w:pPr>
      <w:rPr>
        <w:rFonts w:hint="default" w:ascii="Courier New" w:hAnsi="Courier New" w:eastAsia="Courier New" w:cs="Courier New"/>
      </w:rPr>
      <w:start w:val="1"/>
      <w:suff w:val="tab"/>
    </w:lvl>
    <w:lvl w:ilvl="5">
      <w:isLgl w:val="false"/>
      <w:lvlJc w:val="left"/>
      <w:lvlText w:val=""/>
      <w:numFmt w:val="bullet"/>
      <w:pPr>
        <w:pBdr/>
        <w:spacing/>
        <w:ind w:hanging="360" w:left="4243"/>
      </w:pPr>
      <w:rPr>
        <w:rFonts w:hint="default" w:ascii="Wingdings" w:hAnsi="Wingdings" w:eastAsia="Wingdings" w:cs="Wingdings"/>
      </w:rPr>
      <w:start w:val="1"/>
      <w:suff w:val="tab"/>
    </w:lvl>
    <w:lvl w:ilvl="6">
      <w:isLgl w:val="false"/>
      <w:lvlJc w:val="left"/>
      <w:lvlText w:val=""/>
      <w:numFmt w:val="bullet"/>
      <w:pPr>
        <w:pBdr/>
        <w:spacing/>
        <w:ind w:hanging="360" w:left="4963"/>
      </w:pPr>
      <w:rPr>
        <w:rFonts w:hint="default" w:ascii="Symbol" w:hAnsi="Symbol" w:eastAsia="Symbol" w:cs="Symbol"/>
      </w:rPr>
      <w:start w:val="1"/>
      <w:suff w:val="tab"/>
    </w:lvl>
    <w:lvl w:ilvl="7">
      <w:isLgl w:val="false"/>
      <w:lvlJc w:val="left"/>
      <w:lvlText w:val="o"/>
      <w:numFmt w:val="bullet"/>
      <w:pPr>
        <w:pBdr/>
        <w:spacing/>
        <w:ind w:hanging="360" w:left="5683"/>
      </w:pPr>
      <w:rPr>
        <w:rFonts w:hint="default" w:ascii="Courier New" w:hAnsi="Courier New" w:eastAsia="Courier New" w:cs="Courier New"/>
      </w:rPr>
      <w:start w:val="1"/>
      <w:suff w:val="tab"/>
    </w:lvl>
    <w:lvl w:ilvl="8">
      <w:isLgl w:val="false"/>
      <w:lvlJc w:val="left"/>
      <w:lvlText w:val=""/>
      <w:numFmt w:val="bullet"/>
      <w:pPr>
        <w:pBdr/>
        <w:spacing/>
        <w:ind w:hanging="360" w:left="6403"/>
      </w:pPr>
      <w:rPr>
        <w:rFonts w:hint="default" w:ascii="Wingdings" w:hAnsi="Wingdings" w:eastAsia="Wingdings" w:cs="Wingdings"/>
      </w:rPr>
      <w:start w:val="1"/>
      <w:suff w:val="tab"/>
    </w:lvl>
  </w:abstractNum>
  <w:abstractNum w:abstractNumId="47">
    <w:nsid w:val="166D639D"/>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8">
    <w:nsid w:val="166D639D"/>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9">
    <w:nsid w:val="166D639D"/>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4">
    <w:name w:val="Table Grid Light"/>
    <w:basedOn w:val="103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Plain Table 1"/>
    <w:basedOn w:val="103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Plain Table 2"/>
    <w:basedOn w:val="103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Plain Table 3"/>
    <w:basedOn w:val="103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Plain Table 4"/>
    <w:basedOn w:val="103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Plain Table 5"/>
    <w:basedOn w:val="103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w:basedOn w:val="103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1"/>
    <w:basedOn w:val="103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1 Light - Accent 2"/>
    <w:basedOn w:val="103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 Accent 3"/>
    <w:basedOn w:val="103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1 Light - Accent 4"/>
    <w:basedOn w:val="103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1 Light - Accent 5"/>
    <w:basedOn w:val="103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1 Light - Accent 6"/>
    <w:basedOn w:val="103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w:basedOn w:val="103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1"/>
    <w:basedOn w:val="103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2 - Accent 2"/>
    <w:basedOn w:val="103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 Accent 3"/>
    <w:basedOn w:val="103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2 - Accent 4"/>
    <w:basedOn w:val="103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2 - Accent 5"/>
    <w:basedOn w:val="103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2 - Accent 6"/>
    <w:basedOn w:val="103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w:basedOn w:val="103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1"/>
    <w:basedOn w:val="103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3 - Accent 2"/>
    <w:basedOn w:val="103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 Accent 3"/>
    <w:basedOn w:val="103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3 - Accent 4"/>
    <w:basedOn w:val="103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3 - Accent 5"/>
    <w:basedOn w:val="103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3 - Accent 6"/>
    <w:basedOn w:val="103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w:basedOn w:val="103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1"/>
    <w:basedOn w:val="103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4 - Accent 2"/>
    <w:basedOn w:val="103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 Accent 3"/>
    <w:basedOn w:val="103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4 - Accent 4"/>
    <w:basedOn w:val="103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4 - Accent 5"/>
    <w:basedOn w:val="103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4 - Accent 6"/>
    <w:basedOn w:val="103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w:basedOn w:val="10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Accent 1"/>
    <w:basedOn w:val="10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5 Dark - Accent 2"/>
    <w:basedOn w:val="10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 Accent 3"/>
    <w:basedOn w:val="10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5 Dark- Accent 4"/>
    <w:basedOn w:val="10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5 Dark - Accent 5"/>
    <w:basedOn w:val="10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5 Dark - Accent 6"/>
    <w:basedOn w:val="10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6 Colorful"/>
    <w:basedOn w:val="103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6">
    <w:name w:val="Grid Table 6 Colorful - Accent 1"/>
    <w:basedOn w:val="103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7">
    <w:name w:val="Grid Table 6 Colorful - Accent 2"/>
    <w:basedOn w:val="103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8">
    <w:name w:val="Grid Table 6 Colorful - Accent 3"/>
    <w:basedOn w:val="103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9">
    <w:name w:val="Grid Table 6 Colorful - Accent 4"/>
    <w:basedOn w:val="103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0">
    <w:name w:val="Grid Table 6 Colorful - Accent 5"/>
    <w:basedOn w:val="103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1">
    <w:name w:val="Grid Table 6 Colorful - Accent 6"/>
    <w:basedOn w:val="103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2">
    <w:name w:val="Grid Table 7 Colorful"/>
    <w:basedOn w:val="103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1"/>
    <w:basedOn w:val="103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7 Colorful - Accent 2"/>
    <w:basedOn w:val="103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7 Colorful - Accent 3"/>
    <w:basedOn w:val="103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7 Colorful - Accent 4"/>
    <w:basedOn w:val="103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7 Colorful - Accent 5"/>
    <w:basedOn w:val="103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7 Colorful - Accent 6"/>
    <w:basedOn w:val="103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w:basedOn w:val="10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1"/>
    <w:basedOn w:val="10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1 Light - Accent 2"/>
    <w:basedOn w:val="10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 Accent 3"/>
    <w:basedOn w:val="10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1 Light - Accent 4"/>
    <w:basedOn w:val="10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1 Light - Accent 5"/>
    <w:basedOn w:val="10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1 Light - Accent 6"/>
    <w:basedOn w:val="10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w:basedOn w:val="103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1"/>
    <w:basedOn w:val="103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2 - Accent 2"/>
    <w:basedOn w:val="103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 Accent 3"/>
    <w:basedOn w:val="103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2 - Accent 4"/>
    <w:basedOn w:val="103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2 - Accent 5"/>
    <w:basedOn w:val="103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2 - Accent 6"/>
    <w:basedOn w:val="103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w:basedOn w:val="103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1"/>
    <w:basedOn w:val="103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3 - Accent 2"/>
    <w:basedOn w:val="103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 Accent 3"/>
    <w:basedOn w:val="103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3 - Accent 4"/>
    <w:basedOn w:val="103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3 - Accent 5"/>
    <w:basedOn w:val="103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3 - Accent 6"/>
    <w:basedOn w:val="103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w:basedOn w:val="103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1"/>
    <w:basedOn w:val="103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4 - Accent 2"/>
    <w:basedOn w:val="103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 Accent 3"/>
    <w:basedOn w:val="103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4 - Accent 4"/>
    <w:basedOn w:val="103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4 - Accent 5"/>
    <w:basedOn w:val="103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4 - Accent 6"/>
    <w:basedOn w:val="103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5 Dark"/>
    <w:basedOn w:val="103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1"/>
    <w:basedOn w:val="103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5 Dark - Accent 2"/>
    <w:basedOn w:val="103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0">
    <w:name w:val="List Table 5 Dark - Accent 3"/>
    <w:basedOn w:val="103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5 Dark - Accent 4"/>
    <w:basedOn w:val="103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2">
    <w:name w:val="List Table 5 Dark - Accent 5"/>
    <w:basedOn w:val="103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3">
    <w:name w:val="List Table 5 Dark - Accent 6"/>
    <w:basedOn w:val="103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4">
    <w:name w:val="List Table 6 Colorful"/>
    <w:basedOn w:val="103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1"/>
    <w:basedOn w:val="103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6 Colorful - Accent 2"/>
    <w:basedOn w:val="103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6 Colorful - Accent 3"/>
    <w:basedOn w:val="103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6 Colorful - Accent 4"/>
    <w:basedOn w:val="103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6 Colorful - Accent 5"/>
    <w:basedOn w:val="103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6 Colorful - Accent 6"/>
    <w:basedOn w:val="103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7 Colorful"/>
    <w:basedOn w:val="103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2">
    <w:name w:val="List Table 7 Colorful - Accent 1"/>
    <w:basedOn w:val="103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3">
    <w:name w:val="List Table 7 Colorful - Accent 2"/>
    <w:basedOn w:val="103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4">
    <w:name w:val="List Table 7 Colorful - Accent 3"/>
    <w:basedOn w:val="103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5">
    <w:name w:val="List Table 7 Colorful - Accent 4"/>
    <w:basedOn w:val="103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6">
    <w:name w:val="List Table 7 Colorful - Accent 5"/>
    <w:basedOn w:val="103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7">
    <w:name w:val="List Table 7 Colorful - Accent 6"/>
    <w:basedOn w:val="103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8">
    <w:name w:val="Lined - Accent"/>
    <w:basedOn w:val="10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1"/>
    <w:basedOn w:val="10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ned - Accent 2"/>
    <w:basedOn w:val="10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ned - Accent 3"/>
    <w:basedOn w:val="10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ned - Accent 4"/>
    <w:basedOn w:val="10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ned - Accent 5"/>
    <w:basedOn w:val="10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ned - Accent 6"/>
    <w:basedOn w:val="10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w:basedOn w:val="103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1"/>
    <w:basedOn w:val="103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amp; Lined - Accent 2"/>
    <w:basedOn w:val="103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3"/>
    <w:basedOn w:val="103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amp; Lined - Accent 4"/>
    <w:basedOn w:val="103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amp; Lined - Accent 5"/>
    <w:basedOn w:val="103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amp; Lined - Accent 6"/>
    <w:basedOn w:val="103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w:basedOn w:val="103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1"/>
    <w:basedOn w:val="103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 Accent 2"/>
    <w:basedOn w:val="103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 Accent 3"/>
    <w:basedOn w:val="103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 Accent 4"/>
    <w:basedOn w:val="103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 Accent 5"/>
    <w:basedOn w:val="103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 Accent 6"/>
    <w:basedOn w:val="103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9">
    <w:name w:val="Heading 5"/>
    <w:basedOn w:val="1030"/>
    <w:next w:val="1030"/>
    <w:link w:val="99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0">
    <w:name w:val="Heading 6"/>
    <w:basedOn w:val="1030"/>
    <w:next w:val="1030"/>
    <w:link w:val="99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1">
    <w:name w:val="Heading 7"/>
    <w:basedOn w:val="1030"/>
    <w:next w:val="1030"/>
    <w:link w:val="99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2">
    <w:name w:val="Heading 8"/>
    <w:basedOn w:val="1030"/>
    <w:next w:val="1030"/>
    <w:link w:val="99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3">
    <w:name w:val="Heading 9"/>
    <w:basedOn w:val="1030"/>
    <w:next w:val="1030"/>
    <w:link w:val="99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4">
    <w:name w:val="Heading 5 Char"/>
    <w:basedOn w:val="1035"/>
    <w:link w:val="989"/>
    <w:uiPriority w:val="9"/>
    <w:pPr>
      <w:pBdr/>
      <w:spacing/>
      <w:ind/>
    </w:pPr>
    <w:rPr>
      <w:rFonts w:ascii="Arial" w:hAnsi="Arial" w:eastAsia="Arial" w:cs="Arial"/>
      <w:color w:val="0f4761" w:themeColor="accent1" w:themeShade="BF"/>
    </w:rPr>
  </w:style>
  <w:style w:type="character" w:styleId="995">
    <w:name w:val="Heading 6 Char"/>
    <w:basedOn w:val="1035"/>
    <w:link w:val="990"/>
    <w:uiPriority w:val="9"/>
    <w:pPr>
      <w:pBdr/>
      <w:spacing/>
      <w:ind/>
    </w:pPr>
    <w:rPr>
      <w:rFonts w:ascii="Arial" w:hAnsi="Arial" w:eastAsia="Arial" w:cs="Arial"/>
      <w:i/>
      <w:iCs/>
      <w:color w:val="595959" w:themeColor="text1" w:themeTint="A6"/>
    </w:rPr>
  </w:style>
  <w:style w:type="character" w:styleId="996">
    <w:name w:val="Heading 7 Char"/>
    <w:basedOn w:val="1035"/>
    <w:link w:val="991"/>
    <w:uiPriority w:val="9"/>
    <w:pPr>
      <w:pBdr/>
      <w:spacing/>
      <w:ind/>
    </w:pPr>
    <w:rPr>
      <w:rFonts w:ascii="Arial" w:hAnsi="Arial" w:eastAsia="Arial" w:cs="Arial"/>
      <w:color w:val="595959" w:themeColor="text1" w:themeTint="A6"/>
    </w:rPr>
  </w:style>
  <w:style w:type="character" w:styleId="997">
    <w:name w:val="Heading 8 Char"/>
    <w:basedOn w:val="1035"/>
    <w:link w:val="992"/>
    <w:uiPriority w:val="9"/>
    <w:pPr>
      <w:pBdr/>
      <w:spacing/>
      <w:ind/>
    </w:pPr>
    <w:rPr>
      <w:rFonts w:ascii="Arial" w:hAnsi="Arial" w:eastAsia="Arial" w:cs="Arial"/>
      <w:i/>
      <w:iCs/>
      <w:color w:val="272727" w:themeColor="text1" w:themeTint="D8"/>
    </w:rPr>
  </w:style>
  <w:style w:type="character" w:styleId="998">
    <w:name w:val="Heading 9 Char"/>
    <w:basedOn w:val="1035"/>
    <w:link w:val="993"/>
    <w:uiPriority w:val="9"/>
    <w:pPr>
      <w:pBdr/>
      <w:spacing/>
      <w:ind/>
    </w:pPr>
    <w:rPr>
      <w:rFonts w:ascii="Arial" w:hAnsi="Arial" w:eastAsia="Arial" w:cs="Arial"/>
      <w:i/>
      <w:iCs/>
      <w:color w:val="272727" w:themeColor="text1" w:themeTint="D8"/>
    </w:rPr>
  </w:style>
  <w:style w:type="paragraph" w:styleId="999">
    <w:name w:val="Subtitle"/>
    <w:basedOn w:val="1030"/>
    <w:next w:val="1030"/>
    <w:link w:val="1000"/>
    <w:uiPriority w:val="11"/>
    <w:qFormat/>
    <w:pPr>
      <w:numPr>
        <w:ilvl w:val="1"/>
      </w:numPr>
      <w:pBdr/>
      <w:spacing/>
      <w:ind/>
    </w:pPr>
    <w:rPr>
      <w:color w:val="595959" w:themeColor="text1" w:themeTint="A6"/>
      <w:spacing w:val="15"/>
      <w:sz w:val="28"/>
      <w:szCs w:val="28"/>
    </w:rPr>
  </w:style>
  <w:style w:type="character" w:styleId="1000">
    <w:name w:val="Subtitle Char"/>
    <w:basedOn w:val="1035"/>
    <w:link w:val="999"/>
    <w:uiPriority w:val="11"/>
    <w:pPr>
      <w:pBdr/>
      <w:spacing/>
      <w:ind/>
    </w:pPr>
    <w:rPr>
      <w:color w:val="595959" w:themeColor="text1" w:themeTint="A6"/>
      <w:spacing w:val="15"/>
      <w:sz w:val="28"/>
      <w:szCs w:val="28"/>
    </w:rPr>
  </w:style>
  <w:style w:type="paragraph" w:styleId="1001">
    <w:name w:val="Quote"/>
    <w:basedOn w:val="1030"/>
    <w:next w:val="1030"/>
    <w:link w:val="1002"/>
    <w:uiPriority w:val="29"/>
    <w:qFormat/>
    <w:pPr>
      <w:pBdr/>
      <w:spacing w:before="160"/>
      <w:ind/>
      <w:jc w:val="center"/>
    </w:pPr>
    <w:rPr>
      <w:i/>
      <w:iCs/>
      <w:color w:val="404040" w:themeColor="text1" w:themeTint="BF"/>
    </w:rPr>
  </w:style>
  <w:style w:type="character" w:styleId="1002">
    <w:name w:val="Quote Char"/>
    <w:basedOn w:val="1035"/>
    <w:link w:val="1001"/>
    <w:uiPriority w:val="29"/>
    <w:pPr>
      <w:pBdr/>
      <w:spacing/>
      <w:ind/>
    </w:pPr>
    <w:rPr>
      <w:i/>
      <w:iCs/>
      <w:color w:val="404040" w:themeColor="text1" w:themeTint="BF"/>
    </w:rPr>
  </w:style>
  <w:style w:type="character" w:styleId="1003">
    <w:name w:val="Intense Emphasis"/>
    <w:basedOn w:val="1035"/>
    <w:uiPriority w:val="21"/>
    <w:qFormat/>
    <w:pPr>
      <w:pBdr/>
      <w:spacing/>
      <w:ind/>
    </w:pPr>
    <w:rPr>
      <w:i/>
      <w:iCs/>
      <w:color w:val="0f4761" w:themeColor="accent1" w:themeShade="BF"/>
    </w:rPr>
  </w:style>
  <w:style w:type="paragraph" w:styleId="1004">
    <w:name w:val="Intense Quote"/>
    <w:basedOn w:val="1030"/>
    <w:next w:val="1030"/>
    <w:link w:val="100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5">
    <w:name w:val="Intense Quote Char"/>
    <w:basedOn w:val="1035"/>
    <w:link w:val="1004"/>
    <w:uiPriority w:val="30"/>
    <w:pPr>
      <w:pBdr/>
      <w:spacing/>
      <w:ind/>
    </w:pPr>
    <w:rPr>
      <w:i/>
      <w:iCs/>
      <w:color w:val="0f4761" w:themeColor="accent1" w:themeShade="BF"/>
    </w:rPr>
  </w:style>
  <w:style w:type="character" w:styleId="1006">
    <w:name w:val="Intense Reference"/>
    <w:basedOn w:val="1035"/>
    <w:uiPriority w:val="32"/>
    <w:qFormat/>
    <w:pPr>
      <w:pBdr/>
      <w:spacing/>
      <w:ind/>
    </w:pPr>
    <w:rPr>
      <w:b/>
      <w:bCs/>
      <w:smallCaps/>
      <w:color w:val="0f4761" w:themeColor="accent1" w:themeShade="BF"/>
      <w:spacing w:val="5"/>
    </w:rPr>
  </w:style>
  <w:style w:type="paragraph" w:styleId="1007">
    <w:name w:val="No Spacing"/>
    <w:basedOn w:val="1030"/>
    <w:uiPriority w:val="1"/>
    <w:qFormat/>
    <w:pPr>
      <w:pBdr/>
      <w:spacing w:after="0" w:line="240" w:lineRule="auto"/>
      <w:ind/>
    </w:pPr>
  </w:style>
  <w:style w:type="character" w:styleId="1008">
    <w:name w:val="Subtle Emphasis"/>
    <w:basedOn w:val="1035"/>
    <w:uiPriority w:val="19"/>
    <w:qFormat/>
    <w:pPr>
      <w:pBdr/>
      <w:spacing/>
      <w:ind/>
    </w:pPr>
    <w:rPr>
      <w:i/>
      <w:iCs/>
      <w:color w:val="404040" w:themeColor="text1" w:themeTint="BF"/>
    </w:rPr>
  </w:style>
  <w:style w:type="character" w:styleId="1009">
    <w:name w:val="Subtle Reference"/>
    <w:basedOn w:val="1035"/>
    <w:uiPriority w:val="31"/>
    <w:qFormat/>
    <w:pPr>
      <w:pBdr/>
      <w:spacing/>
      <w:ind/>
    </w:pPr>
    <w:rPr>
      <w:smallCaps/>
      <w:color w:val="5a5a5a" w:themeColor="text1" w:themeTint="A5"/>
    </w:rPr>
  </w:style>
  <w:style w:type="character" w:styleId="1010">
    <w:name w:val="Book Title"/>
    <w:basedOn w:val="1035"/>
    <w:uiPriority w:val="33"/>
    <w:qFormat/>
    <w:pPr>
      <w:pBdr/>
      <w:spacing/>
      <w:ind/>
    </w:pPr>
    <w:rPr>
      <w:b/>
      <w:bCs/>
      <w:i/>
      <w:iCs/>
      <w:spacing w:val="5"/>
    </w:rPr>
  </w:style>
  <w:style w:type="paragraph" w:styleId="1011">
    <w:name w:val="Caption"/>
    <w:basedOn w:val="1030"/>
    <w:next w:val="1030"/>
    <w:uiPriority w:val="35"/>
    <w:unhideWhenUsed/>
    <w:qFormat/>
    <w:pPr>
      <w:pBdr/>
      <w:spacing w:after="200" w:line="240" w:lineRule="auto"/>
      <w:ind/>
    </w:pPr>
    <w:rPr>
      <w:i/>
      <w:iCs/>
      <w:color w:val="0e2841" w:themeColor="text2"/>
      <w:sz w:val="18"/>
      <w:szCs w:val="18"/>
    </w:rPr>
  </w:style>
  <w:style w:type="paragraph" w:styleId="1012">
    <w:name w:val="footnote text"/>
    <w:basedOn w:val="1030"/>
    <w:link w:val="1013"/>
    <w:uiPriority w:val="99"/>
    <w:semiHidden/>
    <w:unhideWhenUsed/>
    <w:pPr>
      <w:pBdr/>
      <w:spacing w:after="0" w:line="240" w:lineRule="auto"/>
      <w:ind/>
    </w:pPr>
    <w:rPr>
      <w:sz w:val="20"/>
      <w:szCs w:val="20"/>
    </w:rPr>
  </w:style>
  <w:style w:type="character" w:styleId="1013">
    <w:name w:val="Footnote Text Char"/>
    <w:basedOn w:val="1035"/>
    <w:link w:val="1012"/>
    <w:uiPriority w:val="99"/>
    <w:semiHidden/>
    <w:pPr>
      <w:pBdr/>
      <w:spacing/>
      <w:ind/>
    </w:pPr>
    <w:rPr>
      <w:sz w:val="20"/>
      <w:szCs w:val="20"/>
    </w:rPr>
  </w:style>
  <w:style w:type="character" w:styleId="1014">
    <w:name w:val="footnote reference"/>
    <w:basedOn w:val="1035"/>
    <w:uiPriority w:val="99"/>
    <w:semiHidden/>
    <w:unhideWhenUsed/>
    <w:pPr>
      <w:pBdr/>
      <w:spacing/>
      <w:ind/>
    </w:pPr>
    <w:rPr>
      <w:vertAlign w:val="superscript"/>
    </w:rPr>
  </w:style>
  <w:style w:type="paragraph" w:styleId="1015">
    <w:name w:val="endnote text"/>
    <w:basedOn w:val="1030"/>
    <w:link w:val="1016"/>
    <w:uiPriority w:val="99"/>
    <w:semiHidden/>
    <w:unhideWhenUsed/>
    <w:pPr>
      <w:pBdr/>
      <w:spacing w:after="0" w:line="240" w:lineRule="auto"/>
      <w:ind/>
    </w:pPr>
    <w:rPr>
      <w:sz w:val="20"/>
      <w:szCs w:val="20"/>
    </w:rPr>
  </w:style>
  <w:style w:type="character" w:styleId="1016">
    <w:name w:val="Endnote Text Char"/>
    <w:basedOn w:val="1035"/>
    <w:link w:val="1015"/>
    <w:uiPriority w:val="99"/>
    <w:semiHidden/>
    <w:pPr>
      <w:pBdr/>
      <w:spacing/>
      <w:ind/>
    </w:pPr>
    <w:rPr>
      <w:sz w:val="20"/>
      <w:szCs w:val="20"/>
    </w:rPr>
  </w:style>
  <w:style w:type="character" w:styleId="1017">
    <w:name w:val="endnote reference"/>
    <w:basedOn w:val="1035"/>
    <w:uiPriority w:val="99"/>
    <w:semiHidden/>
    <w:unhideWhenUsed/>
    <w:pPr>
      <w:pBdr/>
      <w:spacing/>
      <w:ind/>
    </w:pPr>
    <w:rPr>
      <w:vertAlign w:val="superscript"/>
    </w:rPr>
  </w:style>
  <w:style w:type="paragraph" w:styleId="1018">
    <w:name w:val="toc 1"/>
    <w:basedOn w:val="1030"/>
    <w:next w:val="1030"/>
    <w:uiPriority w:val="39"/>
    <w:unhideWhenUsed/>
    <w:pPr>
      <w:pBdr/>
      <w:spacing w:after="100"/>
      <w:ind/>
    </w:pPr>
  </w:style>
  <w:style w:type="paragraph" w:styleId="1019">
    <w:name w:val="toc 2"/>
    <w:basedOn w:val="1030"/>
    <w:next w:val="1030"/>
    <w:uiPriority w:val="39"/>
    <w:unhideWhenUsed/>
    <w:pPr>
      <w:pBdr/>
      <w:spacing w:after="100"/>
      <w:ind w:left="220"/>
    </w:pPr>
  </w:style>
  <w:style w:type="paragraph" w:styleId="1020">
    <w:name w:val="toc 3"/>
    <w:basedOn w:val="1030"/>
    <w:next w:val="1030"/>
    <w:uiPriority w:val="39"/>
    <w:unhideWhenUsed/>
    <w:pPr>
      <w:pBdr/>
      <w:spacing w:after="100"/>
      <w:ind w:left="440"/>
    </w:pPr>
  </w:style>
  <w:style w:type="paragraph" w:styleId="1021">
    <w:name w:val="toc 4"/>
    <w:basedOn w:val="1030"/>
    <w:next w:val="1030"/>
    <w:uiPriority w:val="39"/>
    <w:unhideWhenUsed/>
    <w:pPr>
      <w:pBdr/>
      <w:spacing w:after="100"/>
      <w:ind w:left="660"/>
    </w:pPr>
  </w:style>
  <w:style w:type="paragraph" w:styleId="1022">
    <w:name w:val="toc 5"/>
    <w:basedOn w:val="1030"/>
    <w:next w:val="1030"/>
    <w:uiPriority w:val="39"/>
    <w:unhideWhenUsed/>
    <w:pPr>
      <w:pBdr/>
      <w:spacing w:after="100"/>
      <w:ind w:left="880"/>
    </w:pPr>
  </w:style>
  <w:style w:type="paragraph" w:styleId="1023">
    <w:name w:val="toc 6"/>
    <w:basedOn w:val="1030"/>
    <w:next w:val="1030"/>
    <w:uiPriority w:val="39"/>
    <w:unhideWhenUsed/>
    <w:pPr>
      <w:pBdr/>
      <w:spacing w:after="100"/>
      <w:ind w:left="1100"/>
    </w:pPr>
  </w:style>
  <w:style w:type="paragraph" w:styleId="1024">
    <w:name w:val="toc 7"/>
    <w:basedOn w:val="1030"/>
    <w:next w:val="1030"/>
    <w:uiPriority w:val="39"/>
    <w:unhideWhenUsed/>
    <w:pPr>
      <w:pBdr/>
      <w:spacing w:after="100"/>
      <w:ind w:left="1320"/>
    </w:pPr>
  </w:style>
  <w:style w:type="paragraph" w:styleId="1025">
    <w:name w:val="toc 8"/>
    <w:basedOn w:val="1030"/>
    <w:next w:val="1030"/>
    <w:uiPriority w:val="39"/>
    <w:unhideWhenUsed/>
    <w:pPr>
      <w:pBdr/>
      <w:spacing w:after="100"/>
      <w:ind w:left="1540"/>
    </w:pPr>
  </w:style>
  <w:style w:type="paragraph" w:styleId="1026">
    <w:name w:val="toc 9"/>
    <w:basedOn w:val="1030"/>
    <w:next w:val="1030"/>
    <w:uiPriority w:val="39"/>
    <w:unhideWhenUsed/>
    <w:pPr>
      <w:pBdr/>
      <w:spacing w:after="100"/>
      <w:ind w:left="1760"/>
    </w:pPr>
  </w:style>
  <w:style w:type="character" w:styleId="1027">
    <w:name w:val="Placeholder Text"/>
    <w:basedOn w:val="1035"/>
    <w:uiPriority w:val="99"/>
    <w:semiHidden/>
    <w:pPr>
      <w:pBdr/>
      <w:spacing/>
      <w:ind/>
    </w:pPr>
    <w:rPr>
      <w:color w:val="666666"/>
    </w:rPr>
  </w:style>
  <w:style w:type="paragraph" w:styleId="1028">
    <w:name w:val="TOC Heading"/>
    <w:uiPriority w:val="39"/>
    <w:unhideWhenUsed/>
    <w:pPr>
      <w:pBdr/>
      <w:spacing/>
      <w:ind/>
    </w:pPr>
  </w:style>
  <w:style w:type="paragraph" w:styleId="1029">
    <w:name w:val="table of figures"/>
    <w:basedOn w:val="1030"/>
    <w:next w:val="1030"/>
    <w:uiPriority w:val="99"/>
    <w:unhideWhenUsed/>
    <w:pPr>
      <w:pBdr/>
      <w:spacing w:after="0" w:afterAutospacing="0"/>
      <w:ind/>
    </w:pPr>
  </w:style>
  <w:style w:type="paragraph" w:styleId="1030" w:default="1">
    <w:name w:val="Normal"/>
    <w:qFormat/>
    <w:pPr>
      <w:pBdr/>
      <w:spacing w:after="0" w:line="240" w:lineRule="auto"/>
      <w:ind/>
    </w:pPr>
    <w:rPr>
      <w:rFonts w:ascii="Times New Roman" w:hAnsi="Times New Roman" w:eastAsia="Times New Roman" w:cs="Times New Roman"/>
      <w:sz w:val="24"/>
      <w:szCs w:val="24"/>
    </w:rPr>
  </w:style>
  <w:style w:type="paragraph" w:styleId="1031">
    <w:name w:val="Heading 1"/>
    <w:basedOn w:val="1030"/>
    <w:next w:val="1030"/>
    <w:link w:val="1038"/>
    <w:qFormat/>
    <w:pPr>
      <w:keepNext w:val="true"/>
      <w:pBdr/>
      <w:spacing w:after="120" w:before="120"/>
      <w:ind/>
      <w:jc w:val="center"/>
      <w:outlineLvl w:val="0"/>
    </w:pPr>
    <w:rPr>
      <w:b/>
      <w:bCs/>
      <w:sz w:val="27"/>
      <w:szCs w:val="27"/>
    </w:rPr>
  </w:style>
  <w:style w:type="paragraph" w:styleId="1032">
    <w:name w:val="Heading 2"/>
    <w:basedOn w:val="1030"/>
    <w:next w:val="1030"/>
    <w:link w:val="103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3">
    <w:name w:val="Heading 3"/>
    <w:basedOn w:val="1030"/>
    <w:next w:val="1030"/>
    <w:link w:val="1040"/>
    <w:qFormat/>
    <w:pPr>
      <w:keepNext w:val="true"/>
      <w:pBdr/>
      <w:spacing w:before="60"/>
      <w:ind/>
      <w:outlineLvl w:val="2"/>
    </w:pPr>
    <w:rPr>
      <w:sz w:val="28"/>
      <w:szCs w:val="28"/>
    </w:rPr>
  </w:style>
  <w:style w:type="paragraph" w:styleId="1034">
    <w:name w:val="Heading 4"/>
    <w:basedOn w:val="1030"/>
    <w:next w:val="1030"/>
    <w:link w:val="1041"/>
    <w:qFormat/>
    <w:pPr>
      <w:keepNext w:val="true"/>
      <w:pBdr/>
      <w:spacing/>
      <w:ind/>
      <w:jc w:val="center"/>
      <w:outlineLvl w:val="3"/>
    </w:pPr>
    <w:rPr>
      <w:b/>
      <w:bCs/>
    </w:rPr>
  </w:style>
  <w:style w:type="character" w:styleId="1035" w:default="1">
    <w:name w:val="Default Paragraph Font"/>
    <w:uiPriority w:val="1"/>
    <w:semiHidden/>
    <w:unhideWhenUsed/>
    <w:pPr>
      <w:pBdr/>
      <w:spacing/>
      <w:ind/>
    </w:pPr>
  </w:style>
  <w:style w:type="table" w:styleId="103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7" w:default="1">
    <w:name w:val="No List"/>
    <w:uiPriority w:val="99"/>
    <w:semiHidden/>
    <w:unhideWhenUsed/>
    <w:pPr>
      <w:pBdr/>
      <w:spacing/>
      <w:ind/>
    </w:pPr>
  </w:style>
  <w:style w:type="character" w:styleId="1038" w:customStyle="1">
    <w:name w:val="Heading 1 Char"/>
    <w:basedOn w:val="1035"/>
    <w:link w:val="1031"/>
    <w:pPr>
      <w:pBdr/>
      <w:spacing/>
      <w:ind/>
    </w:pPr>
    <w:rPr>
      <w:rFonts w:ascii="Times New Roman" w:hAnsi="Times New Roman" w:eastAsia="Times New Roman" w:cs="Times New Roman"/>
      <w:b/>
      <w:bCs/>
      <w:sz w:val="27"/>
      <w:szCs w:val="27"/>
    </w:rPr>
  </w:style>
  <w:style w:type="character" w:styleId="1039" w:customStyle="1">
    <w:name w:val="Heading 2 Char"/>
    <w:basedOn w:val="1035"/>
    <w:link w:val="1032"/>
    <w:uiPriority w:val="9"/>
    <w:pPr>
      <w:pBdr/>
      <w:spacing/>
      <w:ind/>
    </w:pPr>
    <w:rPr>
      <w:rFonts w:asciiTheme="majorHAnsi" w:hAnsiTheme="majorHAnsi" w:eastAsiaTheme="majorEastAsia" w:cstheme="majorBidi"/>
      <w:color w:val="365f91" w:themeColor="accent1" w:themeShade="BF"/>
      <w:sz w:val="26"/>
      <w:szCs w:val="26"/>
    </w:rPr>
  </w:style>
  <w:style w:type="character" w:styleId="1040" w:customStyle="1">
    <w:name w:val="Heading 3 Char"/>
    <w:basedOn w:val="1035"/>
    <w:link w:val="1033"/>
    <w:pPr>
      <w:pBdr/>
      <w:spacing/>
      <w:ind/>
    </w:pPr>
    <w:rPr>
      <w:rFonts w:ascii="Times New Roman" w:hAnsi="Times New Roman" w:eastAsia="Times New Roman" w:cs="Times New Roman"/>
      <w:sz w:val="28"/>
      <w:szCs w:val="28"/>
    </w:rPr>
  </w:style>
  <w:style w:type="character" w:styleId="1041" w:customStyle="1">
    <w:name w:val="Heading 4 Char"/>
    <w:basedOn w:val="1035"/>
    <w:link w:val="1034"/>
    <w:pPr>
      <w:pBdr/>
      <w:spacing/>
      <w:ind/>
    </w:pPr>
    <w:rPr>
      <w:rFonts w:ascii="Times New Roman" w:hAnsi="Times New Roman" w:eastAsia="Times New Roman" w:cs="Times New Roman"/>
      <w:b/>
      <w:bCs/>
      <w:sz w:val="24"/>
      <w:szCs w:val="24"/>
    </w:rPr>
  </w:style>
  <w:style w:type="character" w:styleId="1042">
    <w:name w:val="Hyperlink"/>
    <w:uiPriority w:val="99"/>
    <w:pPr>
      <w:pBdr/>
      <w:spacing/>
      <w:ind/>
    </w:pPr>
    <w:rPr>
      <w:color w:val="000000"/>
      <w:u w:val="single"/>
    </w:rPr>
  </w:style>
  <w:style w:type="character" w:styleId="1043">
    <w:name w:val="Strong"/>
    <w:uiPriority w:val="22"/>
    <w:qFormat/>
    <w:pPr>
      <w:pBdr/>
      <w:spacing/>
      <w:ind/>
    </w:pPr>
    <w:rPr>
      <w:b/>
      <w:bCs/>
    </w:rPr>
  </w:style>
  <w:style w:type="paragraph" w:styleId="1044">
    <w:name w:val="Balloon Text"/>
    <w:basedOn w:val="1030"/>
    <w:link w:val="1045"/>
    <w:uiPriority w:val="99"/>
    <w:semiHidden/>
    <w:unhideWhenUsed/>
    <w:pPr>
      <w:pBdr/>
      <w:spacing/>
      <w:ind/>
    </w:pPr>
    <w:rPr>
      <w:rFonts w:ascii="Tahoma" w:hAnsi="Tahoma" w:cs="Tahoma"/>
      <w:sz w:val="16"/>
      <w:szCs w:val="16"/>
    </w:rPr>
  </w:style>
  <w:style w:type="character" w:styleId="1045" w:customStyle="1">
    <w:name w:val="Balloon Text Char"/>
    <w:basedOn w:val="1035"/>
    <w:link w:val="1044"/>
    <w:uiPriority w:val="99"/>
    <w:semiHidden/>
    <w:pPr>
      <w:pBdr/>
      <w:spacing/>
      <w:ind/>
    </w:pPr>
    <w:rPr>
      <w:rFonts w:ascii="Tahoma" w:hAnsi="Tahoma" w:eastAsia="Times New Roman" w:cs="Tahoma"/>
      <w:sz w:val="16"/>
      <w:szCs w:val="16"/>
    </w:rPr>
  </w:style>
  <w:style w:type="paragraph" w:styleId="1046">
    <w:name w:val="Header"/>
    <w:basedOn w:val="1030"/>
    <w:link w:val="1047"/>
    <w:unhideWhenUsed/>
    <w:pPr>
      <w:pBdr/>
      <w:tabs>
        <w:tab w:val="center" w:leader="none" w:pos="4680"/>
        <w:tab w:val="right" w:leader="none" w:pos="9360"/>
      </w:tabs>
      <w:spacing/>
      <w:ind/>
    </w:pPr>
  </w:style>
  <w:style w:type="character" w:styleId="1047" w:customStyle="1">
    <w:name w:val="Header Char"/>
    <w:basedOn w:val="1035"/>
    <w:link w:val="1046"/>
    <w:pPr>
      <w:pBdr/>
      <w:spacing/>
      <w:ind/>
    </w:pPr>
    <w:rPr>
      <w:rFonts w:ascii="Times New Roman" w:hAnsi="Times New Roman" w:eastAsia="Times New Roman" w:cs="Times New Roman"/>
      <w:sz w:val="24"/>
      <w:szCs w:val="24"/>
    </w:rPr>
  </w:style>
  <w:style w:type="paragraph" w:styleId="1048">
    <w:name w:val="Footer"/>
    <w:basedOn w:val="1030"/>
    <w:link w:val="1049"/>
    <w:uiPriority w:val="99"/>
    <w:unhideWhenUsed/>
    <w:pPr>
      <w:pBdr/>
      <w:tabs>
        <w:tab w:val="center" w:leader="none" w:pos="4680"/>
        <w:tab w:val="right" w:leader="none" w:pos="9360"/>
      </w:tabs>
      <w:spacing/>
      <w:ind/>
    </w:pPr>
  </w:style>
  <w:style w:type="character" w:styleId="1049" w:customStyle="1">
    <w:name w:val="Footer Char"/>
    <w:basedOn w:val="1035"/>
    <w:link w:val="1048"/>
    <w:uiPriority w:val="99"/>
    <w:pPr>
      <w:pBdr/>
      <w:spacing/>
      <w:ind/>
    </w:pPr>
    <w:rPr>
      <w:rFonts w:ascii="Times New Roman" w:hAnsi="Times New Roman" w:eastAsia="Times New Roman" w:cs="Times New Roman"/>
      <w:sz w:val="24"/>
      <w:szCs w:val="24"/>
    </w:rPr>
  </w:style>
  <w:style w:type="character" w:styleId="1050" w:customStyle="1">
    <w:name w:val="normal-h1"/>
    <w:pPr>
      <w:pBdr/>
      <w:spacing/>
      <w:ind/>
    </w:pPr>
    <w:rPr>
      <w:rFonts w:hint="default" w:ascii=".VnTime" w:hAnsi=".VnTime"/>
      <w:color w:val="0000ff"/>
      <w:sz w:val="24"/>
      <w:szCs w:val="24"/>
    </w:rPr>
  </w:style>
  <w:style w:type="paragraph" w:styleId="1051" w:customStyle="1">
    <w:name w:val="normal-p"/>
    <w:basedOn w:val="1030"/>
    <w:pPr>
      <w:pBdr/>
      <w:spacing/>
      <w:ind/>
      <w:jc w:val="both"/>
    </w:pPr>
    <w:rPr>
      <w:sz w:val="20"/>
      <w:szCs w:val="20"/>
    </w:rPr>
  </w:style>
  <w:style w:type="paragraph" w:styleId="1052">
    <w:name w:val="List Paragraph"/>
    <w:basedOn w:val="1030"/>
    <w:link w:val="1139"/>
    <w:uiPriority w:val="34"/>
    <w:qFormat/>
    <w:pPr>
      <w:pBdr/>
      <w:spacing/>
      <w:ind w:left="720"/>
    </w:pPr>
  </w:style>
  <w:style w:type="paragraph" w:styleId="1053">
    <w:name w:val="Normal (Web)"/>
    <w:basedOn w:val="1030"/>
    <w:uiPriority w:val="99"/>
    <w:pPr>
      <w:pBdr/>
      <w:spacing w:after="100" w:afterAutospacing="1" w:before="100" w:beforeAutospacing="1"/>
      <w:ind/>
    </w:pPr>
  </w:style>
  <w:style w:type="paragraph" w:styleId="1054">
    <w:name w:val="Body Text"/>
    <w:basedOn w:val="1030"/>
    <w:link w:val="1055"/>
    <w:pPr>
      <w:pBdr/>
      <w:spacing w:after="120"/>
      <w:ind/>
      <w:jc w:val="both"/>
    </w:pPr>
  </w:style>
  <w:style w:type="character" w:styleId="1055" w:customStyle="1">
    <w:name w:val="Body Text Char"/>
    <w:basedOn w:val="1035"/>
    <w:link w:val="1054"/>
    <w:pPr>
      <w:pBdr/>
      <w:spacing/>
      <w:ind/>
    </w:pPr>
    <w:rPr>
      <w:rFonts w:ascii="Times New Roman" w:hAnsi="Times New Roman" w:eastAsia="Times New Roman" w:cs="Times New Roman"/>
      <w:sz w:val="24"/>
      <w:szCs w:val="24"/>
    </w:rPr>
  </w:style>
  <w:style w:type="table" w:styleId="1056">
    <w:name w:val="Table Grid"/>
    <w:basedOn w:val="103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8">
    <w:name w:val="annotation reference"/>
    <w:basedOn w:val="1035"/>
    <w:uiPriority w:val="99"/>
    <w:semiHidden/>
    <w:unhideWhenUsed/>
    <w:pPr>
      <w:pBdr/>
      <w:spacing/>
      <w:ind/>
    </w:pPr>
    <w:rPr>
      <w:sz w:val="16"/>
      <w:szCs w:val="16"/>
    </w:rPr>
  </w:style>
  <w:style w:type="paragraph" w:styleId="1059">
    <w:name w:val="annotation text"/>
    <w:basedOn w:val="1030"/>
    <w:link w:val="1060"/>
    <w:uiPriority w:val="99"/>
    <w:unhideWhenUsed/>
    <w:pPr>
      <w:pBdr/>
      <w:spacing/>
      <w:ind/>
    </w:pPr>
    <w:rPr>
      <w:sz w:val="20"/>
      <w:szCs w:val="20"/>
    </w:rPr>
  </w:style>
  <w:style w:type="character" w:styleId="1060" w:customStyle="1">
    <w:name w:val="Comment Text Char"/>
    <w:basedOn w:val="1035"/>
    <w:link w:val="1059"/>
    <w:uiPriority w:val="99"/>
    <w:pPr>
      <w:pBdr/>
      <w:spacing/>
      <w:ind/>
    </w:pPr>
    <w:rPr>
      <w:rFonts w:ascii="Times New Roman" w:hAnsi="Times New Roman" w:eastAsia="Times New Roman" w:cs="Times New Roman"/>
      <w:sz w:val="20"/>
      <w:szCs w:val="20"/>
    </w:rPr>
  </w:style>
  <w:style w:type="paragraph" w:styleId="1061">
    <w:name w:val="annotation subject"/>
    <w:basedOn w:val="1059"/>
    <w:next w:val="1059"/>
    <w:link w:val="1062"/>
    <w:uiPriority w:val="99"/>
    <w:semiHidden/>
    <w:unhideWhenUsed/>
    <w:pPr>
      <w:pBdr/>
      <w:spacing/>
      <w:ind/>
    </w:pPr>
    <w:rPr>
      <w:b/>
      <w:bCs/>
    </w:rPr>
  </w:style>
  <w:style w:type="character" w:styleId="1062" w:customStyle="1">
    <w:name w:val="Comment Subject Char"/>
    <w:basedOn w:val="1060"/>
    <w:link w:val="1061"/>
    <w:uiPriority w:val="99"/>
    <w:semiHidden/>
    <w:pPr>
      <w:pBdr/>
      <w:spacing/>
      <w:ind/>
    </w:pPr>
    <w:rPr>
      <w:rFonts w:ascii="Times New Roman" w:hAnsi="Times New Roman" w:eastAsia="Times New Roman" w:cs="Times New Roman"/>
      <w:b/>
      <w:bCs/>
      <w:sz w:val="20"/>
      <w:szCs w:val="20"/>
    </w:rPr>
  </w:style>
  <w:style w:type="paragraph" w:styleId="1063" w:customStyle="1">
    <w:name w:val="font5"/>
    <w:basedOn w:val="1030"/>
    <w:pPr>
      <w:pBdr/>
      <w:spacing w:after="100" w:afterAutospacing="1" w:before="100" w:beforeAutospacing="1"/>
      <w:ind/>
    </w:pPr>
    <w:rPr>
      <w:rFonts w:ascii="Tahoma" w:hAnsi="Tahoma" w:cs="Tahoma"/>
      <w:color w:val="000000"/>
      <w:sz w:val="18"/>
      <w:szCs w:val="18"/>
    </w:rPr>
  </w:style>
  <w:style w:type="paragraph" w:styleId="1064" w:customStyle="1">
    <w:name w:val="font6"/>
    <w:basedOn w:val="1030"/>
    <w:pPr>
      <w:pBdr/>
      <w:spacing w:after="100" w:afterAutospacing="1" w:before="100" w:beforeAutospacing="1"/>
      <w:ind/>
    </w:pPr>
    <w:rPr>
      <w:rFonts w:ascii="Tahoma" w:hAnsi="Tahoma" w:cs="Tahoma"/>
      <w:b/>
      <w:bCs/>
      <w:color w:val="000000"/>
      <w:sz w:val="18"/>
      <w:szCs w:val="18"/>
    </w:rPr>
  </w:style>
  <w:style w:type="paragraph" w:styleId="1065" w:customStyle="1">
    <w:name w:val="xl233"/>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customStyle="1">
    <w:name w:val="xl234"/>
    <w:basedOn w:val="1030"/>
    <w:pPr>
      <w:pBdr/>
      <w:spacing w:after="100" w:afterAutospacing="1" w:before="100" w:beforeAutospacing="1"/>
      <w:ind/>
      <w:jc w:val="center"/>
    </w:pPr>
  </w:style>
  <w:style w:type="paragraph" w:styleId="1067" w:customStyle="1">
    <w:name w:val="xl235"/>
    <w:basedOn w:val="1030"/>
    <w:pPr>
      <w:pBdr/>
      <w:spacing w:after="100" w:afterAutospacing="1" w:before="100" w:beforeAutospacing="1"/>
      <w:ind/>
      <w:jc w:val="center"/>
    </w:pPr>
    <w:rPr>
      <w:b/>
      <w:bCs/>
    </w:rPr>
  </w:style>
  <w:style w:type="paragraph" w:styleId="1068" w:customStyle="1">
    <w:name w:val="xl236"/>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37"/>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38"/>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39"/>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2" w:customStyle="1">
    <w:name w:val="xl240"/>
    <w:basedOn w:val="1030"/>
    <w:pPr>
      <w:pBdr/>
      <w:spacing w:after="100" w:afterAutospacing="1" w:before="100" w:beforeAutospacing="1"/>
      <w:ind/>
    </w:pPr>
  </w:style>
  <w:style w:type="paragraph" w:styleId="1073" w:customStyle="1">
    <w:name w:val="xl241"/>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42"/>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43"/>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44"/>
    <w:basedOn w:val="1030"/>
    <w:pPr>
      <w:pBdr/>
      <w:spacing w:after="100" w:afterAutospacing="1" w:before="100" w:beforeAutospacing="1"/>
      <w:ind/>
    </w:pPr>
    <w:rPr>
      <w:b/>
      <w:bCs/>
    </w:rPr>
  </w:style>
  <w:style w:type="paragraph" w:styleId="1077" w:customStyle="1">
    <w:name w:val="xl245"/>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46"/>
    <w:basedOn w:val="103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47"/>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48"/>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49"/>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50"/>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51"/>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52"/>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3"/>
    <w:basedOn w:val="103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4"/>
    <w:basedOn w:val="103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55"/>
    <w:basedOn w:val="103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56"/>
    <w:basedOn w:val="103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57"/>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58"/>
    <w:basedOn w:val="103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59"/>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60"/>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61"/>
    <w:basedOn w:val="103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62"/>
    <w:basedOn w:val="103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63"/>
    <w:basedOn w:val="1030"/>
    <w:pPr>
      <w:pBdr/>
      <w:shd w:val="clear" w:color="000000" w:fill="ffffff"/>
      <w:spacing w:after="100" w:afterAutospacing="1" w:before="100" w:beforeAutospacing="1"/>
      <w:ind/>
    </w:pPr>
  </w:style>
  <w:style w:type="paragraph" w:styleId="1096" w:customStyle="1">
    <w:name w:val="xl264"/>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65"/>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66"/>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9" w:customStyle="1">
    <w:name w:val="xl267"/>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0" w:customStyle="1">
    <w:name w:val="xl268"/>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1" w:customStyle="1">
    <w:name w:val="xl269"/>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2" w:customStyle="1">
    <w:name w:val="xl270"/>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71"/>
    <w:basedOn w:val="103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4" w:customStyle="1">
    <w:name w:val="xl272"/>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5" w:customStyle="1">
    <w:name w:val="xl273"/>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74"/>
    <w:basedOn w:val="103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75"/>
    <w:basedOn w:val="1030"/>
    <w:pPr>
      <w:pBdr/>
      <w:spacing w:after="100" w:afterAutospacing="1" w:before="100" w:beforeAutospacing="1"/>
      <w:ind/>
    </w:pPr>
  </w:style>
  <w:style w:type="paragraph" w:styleId="1108" w:customStyle="1">
    <w:name w:val="xl276"/>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77"/>
    <w:basedOn w:val="103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0" w:customStyle="1">
    <w:name w:val="xl278"/>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customStyle="1">
    <w:name w:val="xl279"/>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0"/>
    <w:basedOn w:val="103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3" w:customStyle="1">
    <w:name w:val="xl281"/>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4" w:customStyle="1">
    <w:name w:val="xl282"/>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5" w:customStyle="1">
    <w:name w:val="xl283"/>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6" w:customStyle="1">
    <w:name w:val="xl284"/>
    <w:basedOn w:val="1030"/>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85"/>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8" w:customStyle="1">
    <w:name w:val="xl286"/>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9" w:customStyle="1">
    <w:name w:val="xl287"/>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0" w:customStyle="1">
    <w:name w:val="xl288"/>
    <w:basedOn w:val="1030"/>
    <w:pPr>
      <w:pBdr>
        <w:top w:val="single" w:color="000000" w:sz="4" w:space="0"/>
        <w:left w:val="single" w:color="000000" w:sz="4" w:space="0"/>
        <w:right w:val="single" w:color="000000" w:sz="4" w:space="0"/>
      </w:pBdr>
      <w:spacing w:after="100" w:afterAutospacing="1" w:before="100" w:beforeAutospacing="1"/>
      <w:ind/>
    </w:pPr>
  </w:style>
  <w:style w:type="paragraph" w:styleId="1121" w:customStyle="1">
    <w:name w:val="xl289"/>
    <w:basedOn w:val="1030"/>
    <w:pPr>
      <w:pBdr>
        <w:left w:val="single" w:color="000000" w:sz="4" w:space="0"/>
        <w:right w:val="single" w:color="000000" w:sz="4" w:space="0"/>
      </w:pBdr>
      <w:spacing w:after="100" w:afterAutospacing="1" w:before="100" w:beforeAutospacing="1"/>
      <w:ind/>
    </w:pPr>
    <w:rPr>
      <w:b/>
      <w:bCs/>
    </w:rPr>
  </w:style>
  <w:style w:type="paragraph" w:styleId="1122" w:customStyle="1">
    <w:name w:val="xl290"/>
    <w:basedOn w:val="103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3" w:customStyle="1">
    <w:name w:val="xl291"/>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4" w:customStyle="1">
    <w:name w:val="xl292"/>
    <w:basedOn w:val="1030"/>
    <w:pPr>
      <w:pBdr>
        <w:top w:val="single" w:color="000000" w:sz="4" w:space="0"/>
        <w:left w:val="single" w:color="000000" w:sz="4" w:space="0"/>
        <w:right w:val="single" w:color="000000" w:sz="4" w:space="0"/>
      </w:pBdr>
      <w:spacing w:after="100" w:afterAutospacing="1" w:before="100" w:beforeAutospacing="1"/>
      <w:ind/>
    </w:pPr>
  </w:style>
  <w:style w:type="paragraph" w:styleId="1125" w:customStyle="1">
    <w:name w:val="xl293"/>
    <w:basedOn w:val="1030"/>
    <w:pPr>
      <w:pBdr>
        <w:left w:val="single" w:color="000000" w:sz="4" w:space="0"/>
        <w:bottom w:val="single" w:color="000000" w:sz="4" w:space="0"/>
        <w:right w:val="single" w:color="000000" w:sz="4" w:space="0"/>
      </w:pBdr>
      <w:spacing w:after="100" w:afterAutospacing="1" w:before="100" w:beforeAutospacing="1"/>
      <w:ind/>
    </w:pPr>
  </w:style>
  <w:style w:type="paragraph" w:styleId="1126" w:customStyle="1">
    <w:name w:val="xl294"/>
    <w:basedOn w:val="103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7">
    <w:name w:val="Title"/>
    <w:basedOn w:val="1030"/>
    <w:link w:val="1128"/>
    <w:qFormat/>
    <w:pPr>
      <w:pBdr/>
      <w:spacing/>
      <w:ind/>
      <w:jc w:val="center"/>
    </w:pPr>
    <w:rPr>
      <w:b/>
      <w:bCs/>
      <w:sz w:val="32"/>
      <w:szCs w:val="26"/>
    </w:rPr>
  </w:style>
  <w:style w:type="character" w:styleId="1128" w:customStyle="1">
    <w:name w:val="Title Char"/>
    <w:basedOn w:val="1035"/>
    <w:link w:val="1127"/>
    <w:pPr>
      <w:pBdr/>
      <w:spacing/>
      <w:ind/>
    </w:pPr>
    <w:rPr>
      <w:rFonts w:ascii="Times New Roman" w:hAnsi="Times New Roman" w:eastAsia="Times New Roman" w:cs="Times New Roman"/>
      <w:b/>
      <w:bCs/>
      <w:sz w:val="32"/>
      <w:szCs w:val="26"/>
    </w:rPr>
  </w:style>
  <w:style w:type="character" w:styleId="1129" w:customStyle="1">
    <w:name w:val="Unresolved Mention1"/>
    <w:basedOn w:val="1035"/>
    <w:uiPriority w:val="99"/>
    <w:semiHidden/>
    <w:unhideWhenUsed/>
    <w:pPr>
      <w:pBdr/>
      <w:spacing/>
      <w:ind/>
    </w:pPr>
    <w:rPr>
      <w:color w:val="605e5c"/>
      <w:shd w:val="clear" w:color="auto" w:fill="e1dfdd"/>
    </w:rPr>
  </w:style>
  <w:style w:type="character" w:styleId="1130" w:customStyle="1">
    <w:name w:val="Body text (3)_"/>
    <w:link w:val="1131"/>
    <w:pPr>
      <w:pBdr/>
      <w:spacing/>
      <w:ind/>
    </w:pPr>
    <w:rPr>
      <w:rFonts w:ascii="Times New Roman" w:hAnsi="Times New Roman" w:cs="Times New Roman"/>
      <w:i/>
      <w:iCs/>
      <w:spacing w:val="4"/>
      <w:shd w:val="clear" w:color="auto" w:fill="ffffff"/>
    </w:rPr>
  </w:style>
  <w:style w:type="paragraph" w:styleId="1131" w:customStyle="1">
    <w:name w:val="Body text (3)1"/>
    <w:basedOn w:val="1030"/>
    <w:link w:val="113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2" w:customStyle="1">
    <w:name w:val="t-j"/>
    <w:basedOn w:val="1030"/>
    <w:pPr>
      <w:pBdr/>
      <w:spacing w:after="100" w:afterAutospacing="1" w:before="100" w:beforeAutospacing="1"/>
      <w:ind/>
    </w:pPr>
  </w:style>
  <w:style w:type="character" w:styleId="1133" w:customStyle="1">
    <w:name w:val="Unresolved Mention2"/>
    <w:basedOn w:val="1035"/>
    <w:uiPriority w:val="99"/>
    <w:semiHidden/>
    <w:unhideWhenUsed/>
    <w:pPr>
      <w:pBdr/>
      <w:spacing/>
      <w:ind/>
    </w:pPr>
    <w:rPr>
      <w:color w:val="605e5c"/>
      <w:shd w:val="clear" w:color="auto" w:fill="e1dfdd"/>
    </w:rPr>
  </w:style>
  <w:style w:type="character" w:styleId="1134">
    <w:name w:val="FollowedHyperlink"/>
    <w:basedOn w:val="1035"/>
    <w:uiPriority w:val="99"/>
    <w:semiHidden/>
    <w:unhideWhenUsed/>
    <w:pPr>
      <w:pBdr/>
      <w:spacing/>
      <w:ind/>
    </w:pPr>
    <w:rPr>
      <w:color w:val="800080" w:themeColor="followedHyperlink"/>
      <w:u w:val="single"/>
    </w:rPr>
  </w:style>
  <w:style w:type="character" w:styleId="1135" w:customStyle="1">
    <w:name w:val="text"/>
    <w:basedOn w:val="1035"/>
    <w:pPr>
      <w:pBdr/>
      <w:spacing/>
      <w:ind/>
    </w:pPr>
  </w:style>
  <w:style w:type="character" w:styleId="1136" w:customStyle="1">
    <w:name w:val="card-send-time__sendtime"/>
    <w:basedOn w:val="1035"/>
    <w:pPr>
      <w:pBdr/>
      <w:spacing/>
      <w:ind/>
    </w:pPr>
  </w:style>
  <w:style w:type="character" w:styleId="1137" w:customStyle="1">
    <w:name w:val="Đề cập Chưa giải quyết1"/>
    <w:basedOn w:val="1035"/>
    <w:uiPriority w:val="99"/>
    <w:semiHidden/>
    <w:unhideWhenUsed/>
    <w:pPr>
      <w:pBdr/>
      <w:spacing/>
      <w:ind/>
    </w:pPr>
    <w:rPr>
      <w:color w:val="605e5c"/>
      <w:shd w:val="clear" w:color="auto" w:fill="e1dfdd"/>
    </w:rPr>
  </w:style>
  <w:style w:type="paragraph" w:styleId="1138" w:customStyle="1">
    <w:name w:val="nqtitle"/>
    <w:basedOn w:val="1030"/>
    <w:pPr>
      <w:pBdr/>
      <w:spacing w:after="100" w:afterAutospacing="1" w:before="100" w:beforeAutospacing="1"/>
      <w:ind/>
    </w:pPr>
    <w:rPr>
      <w:lang w:val="vi-VN" w:eastAsia="vi-VN"/>
    </w:rPr>
  </w:style>
  <w:style w:type="character" w:styleId="1139" w:customStyle="1">
    <w:name w:val="List Paragraph Char"/>
    <w:link w:val="1052"/>
    <w:uiPriority w:val="34"/>
    <w:qFormat/>
    <w:pPr>
      <w:pBdr/>
      <w:spacing/>
      <w:ind/>
    </w:pPr>
    <w:rPr>
      <w:rFonts w:ascii="Times New Roman" w:hAnsi="Times New Roman" w:eastAsia="Times New Roman" w:cs="Times New Roman"/>
      <w:sz w:val="24"/>
      <w:szCs w:val="24"/>
    </w:rPr>
  </w:style>
  <w:style w:type="character" w:styleId="1140" w:customStyle="1">
    <w:name w:val="Đề cập Chưa giải quyết2"/>
    <w:basedOn w:val="1035"/>
    <w:uiPriority w:val="99"/>
    <w:semiHidden/>
    <w:unhideWhenUsed/>
    <w:pPr>
      <w:pBdr/>
      <w:spacing/>
      <w:ind/>
    </w:pPr>
    <w:rPr>
      <w:color w:val="605e5c"/>
      <w:shd w:val="clear" w:color="auto" w:fill="e1dfdd"/>
    </w:rPr>
  </w:style>
  <w:style w:type="character" w:styleId="1141" w:customStyle="1">
    <w:name w:val="Unresolved Mention3"/>
    <w:basedOn w:val="1035"/>
    <w:uiPriority w:val="99"/>
    <w:semiHidden/>
    <w:unhideWhenUsed/>
    <w:pPr>
      <w:pBdr/>
      <w:spacing/>
      <w:ind/>
    </w:pPr>
    <w:rPr>
      <w:color w:val="605e5c"/>
      <w:shd w:val="clear" w:color="auto" w:fill="e1dfdd"/>
    </w:rPr>
  </w:style>
  <w:style w:type="character" w:styleId="1142" w:customStyle="1">
    <w:name w:val="copy"/>
    <w:basedOn w:val="1035"/>
    <w:pPr>
      <w:pBdr/>
      <w:spacing/>
      <w:ind/>
    </w:pPr>
  </w:style>
  <w:style w:type="paragraph" w:styleId="1143" w:customStyle="1">
    <w:name w:val="align-justify"/>
    <w:basedOn w:val="1030"/>
    <w:pPr>
      <w:pBdr/>
      <w:spacing w:after="100" w:afterAutospacing="1" w:before="100" w:beforeAutospacing="1"/>
      <w:ind/>
    </w:pPr>
  </w:style>
  <w:style w:type="character" w:styleId="1144" w:customStyle="1">
    <w:name w:val="btn"/>
    <w:basedOn w:val="1035"/>
    <w:pPr>
      <w:pBdr/>
      <w:spacing/>
      <w:ind/>
    </w:pPr>
  </w:style>
  <w:style w:type="character" w:styleId="1145" w:customStyle="1">
    <w:name w:val="hide_mobile"/>
    <w:basedOn w:val="1035"/>
    <w:pPr>
      <w:pBdr/>
      <w:spacing/>
      <w:ind/>
    </w:pPr>
  </w:style>
  <w:style w:type="character" w:styleId="1146">
    <w:name w:val="Emphasis"/>
    <w:basedOn w:val="1035"/>
    <w:uiPriority w:val="20"/>
    <w:qFormat/>
    <w:pPr>
      <w:pBdr/>
      <w:spacing/>
      <w:ind/>
    </w:pPr>
    <w:rPr>
      <w:i/>
      <w:iCs/>
    </w:rPr>
  </w:style>
  <w:style w:type="character" w:styleId="1147" w:customStyle="1">
    <w:name w:val="t1"/>
    <w:basedOn w:val="1035"/>
    <w:pPr>
      <w:pBdr/>
      <w:spacing/>
      <w:ind/>
    </w:pPr>
  </w:style>
  <w:style w:type="character" w:styleId="1148" w:customStyle="1">
    <w:name w:val="Unresolved Mention4"/>
    <w:basedOn w:val="1035"/>
    <w:uiPriority w:val="99"/>
    <w:semiHidden/>
    <w:unhideWhenUsed/>
    <w:pPr>
      <w:pBdr/>
      <w:spacing/>
      <w:ind/>
    </w:pPr>
    <w:rPr>
      <w:color w:val="605e5c"/>
      <w:shd w:val="clear" w:color="auto" w:fill="e1dfdd"/>
    </w:rPr>
  </w:style>
  <w:style w:type="character" w:styleId="1149">
    <w:name w:val="Unresolved Mention"/>
    <w:basedOn w:val="103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jpg"/><Relationship Id="rId44" Type="http://schemas.openxmlformats.org/officeDocument/2006/relationships/image" Target="media/image30.jpg"/><Relationship Id="rId45" Type="http://schemas.openxmlformats.org/officeDocument/2006/relationships/image" Target="media/image3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280</cp:revision>
  <dcterms:created xsi:type="dcterms:W3CDTF">2025-09-15T09:58:00Z</dcterms:created>
  <dcterms:modified xsi:type="dcterms:W3CDTF">2026-07-11T08:06:05Z</dcterms:modified>
</cp:coreProperties>
</file>