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t xml:space="preserve">ok</w:t>
      </w: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1980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1980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275/2026/1044/VFI-CT.53.A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XUÂN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168, tờ bản đồ số 218, địa chỉ: Phường Từ Sơn, tỉnh</w:t>
                            </w:r>
                            <w:r>
                              <w:rPr>
                                <w:color w:val="000000"/>
                              </w:rPr>
                              <w:t xml:space="preserve"> Bắc Ninh theo Giấy chứng nhận quyền sử dụng đất, quyền sở hữu tài sản gắn liền với đất số: AA 02207290, số vào sổ cấp GCN: VP 91 do Văn phòng Đăng ký đất đai Bắc Ninh số 2 cấp ngày 24/7/2025; Chủ sử dụng đất là Ông Trần Văn Xuân và vợ Ngô Thị Ánh Tuyết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9.91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275/2026/1044/VFI-CT.53.A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XUÂN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168, tờ bản đồ số 218, địa chỉ: Phường Từ Sơn, tỉnh</w:t>
                      </w:r>
                      <w:r>
                        <w:rPr>
                          <w:color w:val="000000"/>
                        </w:rPr>
                        <w:t xml:space="preserve"> Bắc Ninh theo Giấy chứng nhận quyền sử dụng đất, quyền sở hữu tài sản gắn liền với đất số: AA 02207290, số vào sổ cấp GCN: VP 91 do Văn phòng Đăng ký đất đai Bắc Ninh số 2 cấp ngày 24/7/2025; Chủ sử dụng đất là Ông Trần Văn Xuân và vợ Ngô Thị Ánh Tuyết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4-22</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 + Hồ sơ pháp lý + BBKS</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24</w:t>
            </w:r>
            <w:r>
              <w:rPr>
                <w:b/>
                <w:bCs/>
                <w:highlight w:val="white"/>
              </w:rPr>
              <w:t xml:space="preserve">-32</w:t>
            </w:r>
            <w:r>
              <w:rPr>
                <w:b/>
                <w:bCs/>
                <w:highlight w:val="white"/>
              </w:rPr>
            </w:r>
            <w:r>
              <w:rPr>
                <w:b/>
                <w:bCs/>
                <w:highlight w:val="white"/>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1729"/>
        <w:gridCol w:w="3827"/>
        <w:gridCol w:w="8002"/>
        <w:gridCol w:w="856"/>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556"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275/2026/1044/VFI-CT.53.A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8002" w:type="dxa"/>
            <w:textDirection w:val="lrTb"/>
            <w:noWrap w:val="false"/>
          </w:tcPr>
          <w:p>
            <w:pPr>
              <w:pStyle w:val="1040"/>
              <w:pBdr/>
              <w:spacing w:after="60"/>
              <w:ind w:right="-56"/>
              <w:jc w:val="lef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10 tháng 7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VĂN XUÂN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275/2026/1044/VFI-HĐTĐ.53.A</w:t>
      </w:r>
      <w:r>
        <w:rPr>
          <w:spacing w:val="-4"/>
          <w:lang w:val="vi-VN"/>
        </w:rPr>
        <w:t xml:space="preserve"> ký ngày </w:t>
      </w:r>
      <w:r>
        <w:rPr>
          <w:color w:val="000000" w:themeColor="text1"/>
          <w:spacing w:val="-4"/>
        </w:rPr>
        <w:t xml:space="preserve">09 tháng 7 năm 2026</w:t>
      </w:r>
      <w:r>
        <w:rPr>
          <w:spacing w:val="-4"/>
          <w:lang w:val="vi-VN"/>
        </w:rPr>
        <w:t xml:space="preserve"> </w:t>
      </w:r>
      <w:r>
        <w:rPr>
          <w:spacing w:val="-4"/>
          <w:lang w:val="vi-VN"/>
        </w:rPr>
        <w:t xml:space="preserve">giữa </w:t>
      </w:r>
      <w:r>
        <w:rPr>
          <w:spacing w:val="-6"/>
        </w:rPr>
        <w:t xml:space="preserve">Ông TRần Văn Xuân 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275/2026/1044/VFI-BC.53.A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TRẦN VĂN XUÂN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027078011465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Phường Từ Sơn, tỉnh Bắc Ninh</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jc w:val="both"/>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và tài sản gắn liền với đất tại Thửa đất số: 168, tờ bản đồ số 218, địa chỉ: Phường Từ Sơn, tỉnh</w:t>
      </w:r>
      <w:r>
        <w:rPr>
          <w:color w:val="000000"/>
        </w:rPr>
        <w:t xml:space="preserve"> Bắc Ninh theo Giấy chứng nhận quyền sử dụng đất, quyền sở hữu tài sản gắn liền với đất số: AA 02207290, số vào sổ cấp GCN: VP 91 do Văn phòng Đăng ký đất đai Bắc Ninh số 2 cấp ngày 24/7/2025; Chủ sử dụng đất là Ông Trần Văn Xuân và vợ Ngô Thị Ánh Tuyết</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7/2026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8"/>
        <w:gridCol w:w="3357"/>
        <w:gridCol w:w="1417"/>
        <w:gridCol w:w="1417"/>
        <w:gridCol w:w="1189"/>
        <w:gridCol w:w="1646"/>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35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Diện tích (m²)</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Đơn giá (đồng/m²)</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89"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CLCL </w:t>
              <w:br/>
              <w:t xml:space="preserve">(%)</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Thành tiền (đồng)</w:t>
            </w:r>
            <w:r>
              <w:rPr>
                <w:color w:val="000000" w:themeColor="text1"/>
              </w:rPr>
            </w:r>
            <w:r>
              <w:rPr>
                <w:color w:val="000000" w:themeColor="text1"/>
              </w:rPr>
            </w:r>
          </w:p>
        </w:tc>
      </w:tr>
      <w:tr>
        <w:trPr>
          <w:trHeight w:val="208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1" w:type="dxa"/>
            <w:vAlign w:val="center"/>
            <w:textDirection w:val="lrTb"/>
            <w:noWrap w:val="false"/>
          </w:tcPr>
          <w:p>
            <w:pPr>
              <w:pBdr/>
              <w:spacing w:after="60" w:before="60" w:line="324" w:lineRule="auto"/>
              <w:ind w:right="154" w:firstLine="0" w:left="142"/>
              <w:jc w:val="both"/>
              <w:rPr>
                <w:b/>
                <w:bCs/>
                <w:color w:val="000000" w:themeColor="text1"/>
                <w:spacing w:val="2"/>
              </w:rPr>
            </w:pPr>
            <w:r>
              <w:rPr>
                <w:bCs/>
                <w:color w:val="000000" w:themeColor="text1"/>
                <w:lang w:val="pt-BR"/>
              </w:rPr>
            </w:r>
            <w:r>
              <w:rPr>
                <w:b/>
                <w:bCs/>
                <w:color w:val="000000" w:themeColor="text1"/>
              </w:rPr>
              <w:t xml:space="preserve">Quyền sử dụng đất và tài sản gắn liền với đất tại Thửa đất số: 168, tờ bản đồ số 218, địa chỉ: Phường Từ Sơn, tỉnh</w:t>
            </w:r>
            <w:r>
              <w:rPr>
                <w:b/>
                <w:bCs/>
                <w:color w:val="000000" w:themeColor="text1"/>
              </w:rPr>
              <w:t xml:space="preserve"> Bắc Ninh theo Giấy chứng nhận quyền sử dụng đất, quyền sở hữu tài sản gắn liền với đất số: AA 02207290, số vào sổ cấp GCN: VP 91 do Văn phòng Đăng ký đất đai Bắc Ninh số 2 cấp ngày 24/7/2025; Chủ sử dụng đất là Ông Trần Văn Xuân và vợ Ngô Thị Ánh Tuyết</w:t>
            </w:r>
            <w:r>
              <w:rPr>
                <w:b/>
                <w:bCs/>
                <w:i/>
                <w:iCs/>
                <w:color w:val="000000" w:themeColor="text1"/>
              </w:rPr>
              <w:t xml:space="preserve">.</w:t>
            </w:r>
            <w:r>
              <w:rPr>
                <w:b/>
                <w:bCs/>
                <w:color w:val="000000" w:themeColor="text1"/>
                <w:spacing w:val="2"/>
              </w:rPr>
            </w:r>
            <w:r>
              <w:rPr>
                <w:b/>
                <w:bCs/>
                <w:color w:val="000000" w:themeColor="text1"/>
                <w:spacing w:val="2"/>
              </w:rP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76" w:lineRule="auto"/>
              <w:ind/>
              <w:jc w:val="right"/>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01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3357" w:type="dxa"/>
            <w:vAlign w:val="center"/>
            <w:textDirection w:val="lrTb"/>
            <w:noWrap w:val="false"/>
          </w:tcPr>
          <w:p>
            <w:pPr>
              <w:pBdr/>
              <w:spacing w:after="0" w:before="0" w:line="276" w:lineRule="auto"/>
              <w:ind w:right="0" w:firstLine="0" w:left="142"/>
              <w:rPr>
                <w:color w:val="000000" w:themeColor="text1"/>
              </w:rPr>
            </w:pPr>
            <w:r>
              <w:rPr>
                <w:rFonts w:ascii="Times New Roman" w:hAnsi="Times New Roman" w:eastAsia="Times New Roman" w:cs="Times New Roman"/>
                <w:color w:val="000000" w:themeColor="text1"/>
                <w:sz w:val="24"/>
              </w:rPr>
              <w:t xml:space="preserve">Quyền sử dụng đất ở tại đô thị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168,0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126.500.000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189"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100%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76" w:lineRule="auto"/>
              <w:ind w:right="87" w:firstLine="0" w:left="0"/>
              <w:jc w:val="right"/>
              <w:rPr>
                <w:color w:val="000000" w:themeColor="text1"/>
              </w:rPr>
            </w:pPr>
            <w:r>
              <w:rPr>
                <w:rFonts w:ascii="Times New Roman" w:hAnsi="Times New Roman" w:eastAsia="Times New Roman" w:cs="Times New Roman"/>
                <w:color w:val="000000" w:themeColor="text1"/>
                <w:sz w:val="24"/>
              </w:rPr>
              <w:t xml:space="preserve">21.252.000.000</w:t>
            </w:r>
            <w:r>
              <w:rPr>
                <w:color w:val="000000" w:themeColor="text1"/>
              </w:rPr>
            </w:r>
            <w:r>
              <w:rPr>
                <w:color w:val="000000" w:themeColor="text1"/>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02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3357" w:type="dxa"/>
            <w:vAlign w:val="center"/>
            <w:textDirection w:val="lrTb"/>
            <w:noWrap w:val="false"/>
          </w:tcPr>
          <w:p>
            <w:pPr>
              <w:pBdr/>
              <w:spacing w:after="0" w:before="0" w:line="276" w:lineRule="auto"/>
              <w:ind w:right="0" w:firstLine="0" w:left="142"/>
              <w:rPr>
                <w:color w:val="000000" w:themeColor="text1"/>
              </w:rPr>
            </w:pPr>
            <w:r>
              <w:rPr>
                <w:rFonts w:ascii="Times New Roman" w:hAnsi="Times New Roman" w:eastAsia="Times New Roman" w:cs="Times New Roman"/>
                <w:color w:val="000000" w:themeColor="text1"/>
                <w:sz w:val="24"/>
              </w:rPr>
              <w:t xml:space="preserve">Nhà 05 tầng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600,3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4.428.190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189"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98%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76" w:lineRule="auto"/>
              <w:ind w:right="87" w:firstLine="0" w:left="0"/>
              <w:jc w:val="right"/>
              <w:rPr>
                <w:color w:val="000000" w:themeColor="text1"/>
              </w:rPr>
            </w:pPr>
            <w:r>
              <w:rPr>
                <w:rFonts w:ascii="Times New Roman" w:hAnsi="Times New Roman" w:eastAsia="Times New Roman" w:cs="Times New Roman"/>
                <w:color w:val="000000" w:themeColor="text1"/>
                <w:sz w:val="24"/>
              </w:rPr>
              <w:t xml:space="preserve">2.605.077.608</w:t>
            </w:r>
            <w:r>
              <w:rPr>
                <w:color w:val="000000" w:themeColor="text1"/>
              </w:rPr>
            </w:r>
            <w:r>
              <w:rPr>
                <w:color w:val="000000" w:themeColor="text1"/>
              </w:rP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79"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646" w:type="dxa"/>
            <w:vAlign w:val="center"/>
            <w:textDirection w:val="lrTb"/>
            <w:noWrap/>
          </w:tcPr>
          <w:p>
            <w:pPr>
              <w:pBdr/>
              <w:spacing w:after="0" w:before="0" w:line="276" w:lineRule="auto"/>
              <w:ind w:right="87" w:firstLine="0" w:left="0"/>
              <w:jc w:val="right"/>
              <w:rPr>
                <w:color w:val="000000" w:themeColor="text1"/>
              </w:rPr>
            </w:pPr>
            <w:r>
              <w:rPr>
                <w:rFonts w:ascii="Times New Roman" w:hAnsi="Times New Roman" w:eastAsia="Times New Roman" w:cs="Times New Roman"/>
                <w:b/>
                <w:color w:val="000000" w:themeColor="text1"/>
                <w:sz w:val="24"/>
              </w:rPr>
              <w:t xml:space="preserve">23.857.077.608</w:t>
            </w:r>
            <w:r>
              <w:rPr>
                <w:color w:val="000000" w:themeColor="text1"/>
              </w:rPr>
            </w:r>
            <w:r>
              <w:rPr>
                <w:color w:val="000000" w:themeColor="text1"/>
              </w:rP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79"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646" w:type="dxa"/>
            <w:vAlign w:val="center"/>
            <w:textDirection w:val="lrTb"/>
            <w:noWrap/>
          </w:tcPr>
          <w:p>
            <w:pPr>
              <w:pBdr/>
              <w:spacing w:after="0" w:before="0" w:line="276" w:lineRule="auto"/>
              <w:ind w:right="87" w:firstLine="0" w:left="0"/>
              <w:jc w:val="right"/>
              <w:rPr>
                <w:color w:val="000000" w:themeColor="text1"/>
              </w:rPr>
            </w:pPr>
            <w:r>
              <w:rPr>
                <w:rFonts w:ascii="Times New Roman" w:hAnsi="Times New Roman" w:eastAsia="Times New Roman" w:cs="Times New Roman"/>
                <w:b/>
                <w:color w:val="000000" w:themeColor="text1"/>
                <w:sz w:val="24"/>
              </w:rPr>
              <w:t xml:space="preserve">23.857.000.000</w:t>
            </w:r>
            <w:r>
              <w:rPr>
                <w:color w:val="000000" w:themeColor="text1"/>
              </w:rPr>
            </w:r>
            <w:r>
              <w:rPr>
                <w:color w:val="000000" w:themeColor="text1"/>
              </w:rPr>
            </w:r>
          </w:p>
        </w:tc>
      </w:tr>
      <w:tr>
        <w:trPr>
          <w:trHeight w:val="309"/>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i/>
                <w:color w:val="000000" w:themeColor="text1"/>
                <w:sz w:val="24"/>
              </w:rPr>
              <w:t xml:space="preserve">(Bằng chữ: Hai mươi ba tỷ, tám trăm năm mươi bảy triệu đồng chẵn./.)</w:t>
            </w:r>
            <w:r>
              <w:rPr>
                <w:color w:val="000000" w:themeColor="text1"/>
              </w:rPr>
            </w:r>
            <w:r>
              <w:rPr>
                <w:color w:val="000000" w:themeColor="text1"/>
              </w:rPr>
            </w:r>
          </w:p>
        </w:tc>
      </w:tr>
    </w:tbl>
    <w:p>
      <w:pPr>
        <w:pBdr/>
        <w:spacing w:after="120" w:before="120" w:line="348" w:lineRule="auto"/>
        <w:ind/>
        <w:jc w:val="both"/>
        <w:rPr>
          <w:b/>
          <w:bCs/>
          <w:sz w:val="10"/>
          <w:szCs w:val="10"/>
        </w:rPr>
      </w:pPr>
      <w:r>
        <w:rPr>
          <w:b/>
          <w:bCs/>
          <w:highlight w:val="none"/>
          <w:lang w:val="vi-VN"/>
        </w:rPr>
      </w:r>
      <w:r>
        <w:rPr>
          <w:b/>
          <w:bCs/>
          <w:sz w:val="10"/>
          <w:szCs w:val="10"/>
        </w:rPr>
      </w:r>
      <w:r>
        <w:rPr>
          <w:b/>
          <w:bCs/>
          <w:sz w:val="10"/>
          <w:szCs w:val="10"/>
        </w:rPr>
      </w:r>
    </w:p>
    <w:p>
      <w:pPr>
        <w:pBdr/>
        <w:spacing w:after="120" w:before="120" w:line="348"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4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48" w:lineRule="auto"/>
        <w:ind/>
        <w:rPr/>
      </w:pPr>
      <w:r>
        <w:rPr>
          <w:b/>
          <w:bCs/>
          <w:lang w:val="vi-VN"/>
        </w:rPr>
        <w:t xml:space="preserve">11. Những điều khoản loại trừ và hạn chế của kết quả thẩm định giá:</w:t>
      </w:r>
      <w:r/>
    </w:p>
    <w:p>
      <w:pPr>
        <w:pBdr/>
        <w:spacing w:after="120" w:before="120" w:line="348" w:lineRule="auto"/>
        <w:ind w:firstLine="360"/>
        <w:rPr>
          <w:rFonts w:eastAsia="Calibri"/>
          <w:b/>
          <w:bCs/>
          <w:spacing w:val="-4"/>
          <w:highlight w:val="none"/>
          <w:lang w:val="pt-BR"/>
        </w:rPr>
      </w:pPr>
      <w:r>
        <w:rPr>
          <w:lang w:val="pt-BR"/>
        </w:rPr>
        <w:t xml:space="preserve">- </w:t>
      </w:r>
      <w:r>
        <w:rPr>
          <w:lang w:val="pt-BR"/>
        </w:rPr>
        <w:t xml:space="preserve">Chi tiết như Báo cáo kèm theo.</w:t>
      </w:r>
      <w:r>
        <w:rPr>
          <w:rFonts w:eastAsia="Calibri"/>
          <w:b/>
          <w:bCs/>
          <w:spacing w:val="-4"/>
          <w:highlight w:val="none"/>
          <w:lang w:val="pt-BR"/>
        </w:rPr>
      </w:r>
      <w:r>
        <w:rPr>
          <w:rFonts w:eastAsia="Calibri"/>
          <w:b/>
          <w:bCs/>
          <w:spacing w:val="-4"/>
          <w:highlight w:val="none"/>
          <w:lang w:val="pt-BR"/>
        </w:rPr>
      </w:r>
    </w:p>
    <w:p>
      <w:pPr>
        <w:pBdr/>
        <w:spacing w:after="120" w:before="120" w:line="348"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48"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48" w:lineRule="auto"/>
        <w:ind w:firstLine="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1871"/>
        <w:gridCol w:w="4252"/>
        <w:gridCol w:w="7438"/>
        <w:gridCol w:w="856"/>
      </w:tblGrid>
      <w:tr>
        <w:trPr>
          <w:trHeight w:val="1559"/>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6123"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275/2026/1044/VFI-CT.53.A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438" w:type="dxa"/>
            <w:textDirection w:val="lrTb"/>
            <w:noWrap w:val="false"/>
          </w:tcPr>
          <w:p>
            <w:pPr>
              <w:pStyle w:val="1040"/>
              <w:pBdr/>
              <w:spacing w:after="60"/>
              <w:ind w:right="-56"/>
              <w:jc w:val="lef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10 tháng 7 năm 2026</w:t>
            </w:r>
            <w:r>
              <w:rPr>
                <w:color w:val="000000" w:themeColor="text1"/>
                <w:sz w:val="24"/>
                <w:szCs w:val="24"/>
                <w:lang w:val="vi-VN"/>
              </w:rPr>
            </w:r>
            <w:r>
              <w:rPr>
                <w:color w:val="000000" w:themeColor="text1"/>
                <w:sz w:val="24"/>
                <w:szCs w:val="24"/>
                <w:lang w:val="vi-VN"/>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275/2026/1044/VFI-CT.53.A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TRẦN VĂN XUÂN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027078011465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Phường Từ Sơn, tỉnh Bắc Ninh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và tài sản gắn liền với đất tại Thửa đất số: 168, tờ bản đồ số 218, địa chỉ: Phường Từ Sơn, tỉnh</w:t>
            </w:r>
            <w:r>
              <w:rPr>
                <w:color w:val="000000"/>
              </w:rPr>
              <w:t xml:space="preserve"> Bắc Ninh theo Giấy chứng nhận quyền sử dụng đất, quyền sở hữu tài sản gắn liền với đất số: AA 02207290, số vào sổ cấp GCN: VP 91 do Văn phòng Đăng ký đất đai Bắc Ninh số 2 cấp ngày 24/7/2025; Chủ sử dụng đất là Ông Trần Văn Xuân và vợ Ngô Thị Ánh Tuyết</w:t>
            </w:r>
            <w:r>
              <w:rPr>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Từ Sơn,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(21.117944444444, 105.96869444444)</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09/7/2026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46"/>
        </w:numPr>
        <w:pBdr/>
        <w:spacing w:after="60" w:before="60" w:line="276" w:lineRule="auto"/>
        <w:ind w:right="0" w:hanging="425" w:left="425"/>
        <w:jc w:val="both"/>
        <w:rPr>
          <w:b/>
          <w:bCs/>
          <w:spacing w:val="2"/>
          <w:lang w:val="vi-VN"/>
        </w:rPr>
      </w:pPr>
      <w:r>
        <w:rPr>
          <w:bCs/>
          <w:color w:val="000000" w:themeColor="text1"/>
          <w:lang w:val="pt-BR"/>
        </w:rPr>
      </w:r>
      <w:r>
        <w:rPr>
          <w:color w:val="000000"/>
        </w:rPr>
        <w:t xml:space="preserve">Quyền sử dụng đất và tài sản gắn liền với đất tại Thửa đất số: 168, tờ bản đồ số 218, địa chỉ: Phường Từ Sơn, tỉnh</w:t>
      </w:r>
      <w:r>
        <w:rPr>
          <w:color w:val="000000"/>
        </w:rPr>
        <w:t xml:space="preserve"> Bắc Ninh theo Giấy chứng nhận quyền sử dụng đất, quyền sở hữu tài sản gắn liền với đất số: AA 02207290, số vào sổ cấp GCN: VP 91 do Văn phòng Đăng ký đất đai Bắc Ninh số 2 cấp ngày 24/7/2025; Chủ sử dụng đất là Ông Trần Văn Xuân và vợ Ngô Thị Ánh Tuyết</w:t>
      </w:r>
      <w:r>
        <w:rPr>
          <w:lang w:val="pt-BR"/>
        </w:rPr>
        <w:t xml:space="preserve">.</w:t>
      </w:r>
      <w:r>
        <w:rPr>
          <w:b/>
          <w:bCs/>
          <w:spacing w:val="2"/>
          <w:lang w:val="vi-VN"/>
        </w:rPr>
      </w:r>
      <w:r>
        <w:rPr>
          <w:b/>
          <w:bCs/>
          <w:spacing w:val="2"/>
          <w:lang w:val="vi-VN"/>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275/2026/1044/VFI-HĐTĐ.53.A ngày 09/7/2026 giữa Ông Trần Văn Xuân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abs>
          <w:tab w:val="left" w:leader="none" w:pos="426"/>
        </w:tabs>
        <w:spacing w:after="120" w:before="120" w:line="276" w:lineRule="auto"/>
        <w:ind w:right="0" w:firstLine="283" w:left="0"/>
        <w:jc w:val="both"/>
        <w:rPr>
          <w:rFonts w:ascii="Times New Roman" w:hAnsi="Times New Roman" w:cs="Times New Roman"/>
          <w:i/>
          <w:iCs/>
          <w:color w:val="000000" w:themeColor="text1"/>
          <w:sz w:val="24"/>
          <w:szCs w:val="24"/>
          <w:highlight w:val="white"/>
        </w:rPr>
      </w:pPr>
      <w:r>
        <w:rPr>
          <w:rFonts w:ascii="Times New Roman" w:hAnsi="Times New Roman" w:eastAsia="Times New Roman" w:cs="Times New Roman"/>
          <w:color w:val="000000" w:themeColor="text1"/>
          <w:sz w:val="24"/>
          <w:szCs w:val="24"/>
          <w:highlight w:val="white"/>
          <w:shd w:val="clear" w:color="auto" w:fill="ffffff"/>
        </w:rPr>
      </w:r>
      <w:r>
        <w:rPr>
          <w:rFonts w:ascii="Times New Roman" w:hAnsi="Times New Roman" w:eastAsia="Times New Roman" w:cs="Times New Roman"/>
          <w:color w:val="000000" w:themeColor="text1"/>
          <w:sz w:val="24"/>
          <w:szCs w:val="24"/>
          <w:highlight w:val="white"/>
        </w:rPr>
        <w:t xml:space="preserve">Từ ngày 1/7/2025, Bắc Ninh sẽ chính thức áp dụng tên gọi mới cho 99 xã, phường sau khi thực hiện sắp xếp đơn vị hành chính theo chủ trương tinh gọn bộ máy, nâng cao hiệu quả quản lý. Việc điều chỉnh này không chỉ nhằm phù hợp với thực tiễn phát triển mà cò</w:t>
      </w:r>
      <w:r>
        <w:rPr>
          <w:rFonts w:ascii="Times New Roman" w:hAnsi="Times New Roman" w:eastAsia="Times New Roman" w:cs="Times New Roman"/>
          <w:color w:val="000000" w:themeColor="text1"/>
          <w:sz w:val="24"/>
          <w:szCs w:val="24"/>
          <w:highlight w:val="white"/>
        </w:rPr>
        <w:t xml:space="preserve">n tạo tiền đề cho quá trình đô thị hóa nhanh của tỉnh.</w:t>
      </w:r>
      <w:r>
        <w:rPr>
          <w:rFonts w:ascii="Times New Roman" w:hAnsi="Times New Roman" w:cs="Times New Roman"/>
          <w:i/>
          <w:iCs/>
          <w:color w:val="000000" w:themeColor="text1"/>
          <w:sz w:val="24"/>
          <w:szCs w:val="24"/>
          <w:highlight w:val="white"/>
        </w:rPr>
      </w:r>
      <w:r>
        <w:rPr>
          <w:rFonts w:ascii="Times New Roman" w:hAnsi="Times New Roman" w:cs="Times New Roman"/>
          <w:i/>
          <w:iCs/>
          <w:color w:val="000000" w:themeColor="text1"/>
          <w:sz w:val="24"/>
          <w:szCs w:val="24"/>
          <w:highlight w:val="white"/>
        </w:rPr>
      </w:r>
    </w:p>
    <w:p>
      <w:pPr>
        <w:pBdr>
          <w:top w:val="single" w:color="e5e5ea" w:sz="0" w:space="0"/>
          <w:left w:val="single" w:color="e5e5ea" w:sz="0" w:space="0"/>
          <w:bottom w:val="single" w:color="e5e5ea" w:sz="0" w:space="0"/>
          <w:right w:val="single" w:color="e5e5ea" w:sz="0" w:space="0"/>
        </w:pBdr>
        <w:spacing w:after="299" w:before="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Tháng 6/2025, Ủy ban Thường vụ Quốc hội đã ban hành Nghị quyết 1658/NQ-UBTVQH15, chính thức thông qua phương án Bắc Ninh sắp xếp đơn vị hành chính cấp xã. Đây là một phần trong chủ trương Bắc Ninh sắp xếp tinh gọn bộ máy, nhằm nâng cao hiệu quả quản lý và </w:t>
      </w:r>
      <w:r>
        <w:rPr>
          <w:rFonts w:ascii="Times New Roman" w:hAnsi="Times New Roman" w:eastAsia="Times New Roman" w:cs="Times New Roman"/>
          <w:color w:val="000000" w:themeColor="text1"/>
          <w:sz w:val="24"/>
          <w:szCs w:val="24"/>
        </w:rPr>
        <w:t xml:space="preserve">phù hợp với thực tiễn phát triển.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Theo nghị quyết, tỉnh Bắc Ninh sau sắp xếp sẽ có tổng cộng 99 đơn vị hành chính cấp xã, bao gồm 66 xã và 33 phường. Trong đó, 65 xã và 33 phường được hình thành mới trên cơ sở sáp nhập các đơn vị hiện có; riêng xã Tuấn Đạo giữ nguyên hiện trạng. Việc sắp x</w:t>
      </w:r>
      <w:r>
        <w:rPr>
          <w:rFonts w:ascii="Times New Roman" w:hAnsi="Times New Roman" w:eastAsia="Times New Roman" w:cs="Times New Roman"/>
          <w:color w:val="000000" w:themeColor="text1"/>
          <w:sz w:val="24"/>
          <w:szCs w:val="24"/>
        </w:rPr>
        <w:t xml:space="preserve">ếp được thực hiện dựa trên quy mô dân số, diện tích tự nhiên và các tiêu chí do Trung ương quy định tại Nghị quyết 1662/NQ-UBTVQH15.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Đợt Bắc Ninh sắp xếp đơn vị hành chính năm 2025 không chỉ là việc tổ chức lại địa giới, mà còn là bước đi chiến lược nhằm nâng cao hiệu quả quản lý và sử dụng hợp lý nguồn lực địa phương. Khi các xã nhỏ được hợp nhất, bộ máy chính quyền được tinh giản, từ </w:t>
      </w:r>
      <w:r>
        <w:rPr>
          <w:rFonts w:ascii="Times New Roman" w:hAnsi="Times New Roman" w:eastAsia="Times New Roman" w:cs="Times New Roman"/>
          <w:color w:val="000000" w:themeColor="text1"/>
          <w:sz w:val="24"/>
          <w:szCs w:val="24"/>
        </w:rPr>
        <w:t xml:space="preserve">đó giảm trùng lặp chức năng, tiết kiệm chi phí và tập trung hơn vào phát triển hạ tầng, dịch vụ.</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Chủ trương Bắc Ninh sắp xếp tinh gọn bộ máy còn giúp hình thành các đơn vị hành chính có quy mô hợp lý, đủ sức trở thành trung tâm kinh tế - hành chính cấp vùng. Những xã, phường mới sau sáp nhập có điều kiện thuận lợi hơn để quy hoạch tổng thể, thu hút đầ</w:t>
      </w:r>
      <w:r>
        <w:rPr>
          <w:rFonts w:ascii="Times New Roman" w:hAnsi="Times New Roman" w:eastAsia="Times New Roman" w:cs="Times New Roman"/>
          <w:color w:val="000000" w:themeColor="text1"/>
          <w:sz w:val="24"/>
          <w:szCs w:val="24"/>
        </w:rPr>
        <w:t xml:space="preserve">u tư và đẩy mạnh cải cách hành chính.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Về lâu dài, việc tinh gọn này góp phần xây dựng nền hành chính hiện đại, hiệu quả và là bước chuẩn bị quan trọng để Bắc Ninh tiến tới phát triển đô thị loại I. Đây cũng là minh chứng rõ ràng cho quyết tâm cải cách toàn diện của tỉnh, nhằm phục vụ người dân</w:t>
      </w:r>
      <w:r>
        <w:rPr>
          <w:rFonts w:ascii="Times New Roman" w:hAnsi="Times New Roman" w:eastAsia="Times New Roman" w:cs="Times New Roman"/>
          <w:color w:val="000000" w:themeColor="text1"/>
          <w:sz w:val="24"/>
          <w:szCs w:val="24"/>
        </w:rPr>
        <w:t xml:space="preserve"> và doanh nghiệp tốt hơn trong giai đoạn mới.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Từ ngày 1/7/2025, 99 xã, phường mới sẽ chính thức hoạt động, đánh dấu một giai đoạn chuyển biến tích cực trong tổ chức hành chính địa phương. Đây là nền tảng để Bắc Ninh sắp xếp tinh gọn bộ máy, hướng tới xây dựng nền hành chính hiện đại, phục vụ tốt hơn c</w:t>
      </w:r>
      <w:r>
        <w:rPr>
          <w:rFonts w:ascii="Times New Roman" w:hAnsi="Times New Roman" w:eastAsia="Times New Roman" w:cs="Times New Roman"/>
          <w:color w:val="000000" w:themeColor="text1"/>
          <w:sz w:val="24"/>
          <w:szCs w:val="24"/>
        </w:rPr>
        <w:t xml:space="preserve">ho người dân và thúc đẩy phát triển bền vững.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jc w:val="center"/>
        <w:rPr>
          <w:rFonts w:ascii="Times New Roman" w:hAnsi="Times New Roman" w:cs="Times New Roman"/>
          <w:bCs/>
          <w:i/>
          <w:color w:val="000000" w:themeColor="text1"/>
          <w:sz w:val="24"/>
          <w:szCs w:val="24"/>
          <w:u w:val="none"/>
        </w:rPr>
      </w:pPr>
      <w:r>
        <w:rPr>
          <w:rFonts w:ascii="Times New Roman" w:hAnsi="Times New Roman" w:eastAsia="Times New Roman" w:cs="Times New Roman"/>
          <w:i/>
          <w:iCs/>
          <w:color w:val="000000" w:themeColor="text1"/>
          <w:sz w:val="24"/>
          <w:szCs w:val="24"/>
          <w:u w:val="none"/>
        </w:rPr>
        <w:t xml:space="preserve">(Nguồn tham khảo: </w:t>
      </w:r>
      <w:r>
        <w:rPr>
          <w:rFonts w:ascii="Times New Roman" w:hAnsi="Times New Roman" w:eastAsia="Times New Roman" w:cs="Times New Roman"/>
          <w:i/>
          <w:iCs/>
          <w:color w:val="000000" w:themeColor="text1"/>
          <w:sz w:val="24"/>
          <w:szCs w:val="24"/>
          <w:u w:val="none"/>
        </w:rPr>
        <w:t xml:space="preserve">https://onehousing.vn/blog/bac-ninh-sau-sap-xep-dvhc-ten-goi-99-xa-phuong-moi-tu-172025-n17t</w:t>
      </w:r>
      <w:r>
        <w:rPr>
          <w:rFonts w:ascii="Times New Roman" w:hAnsi="Times New Roman" w:eastAsia="Times New Roman" w:cs="Times New Roman"/>
          <w:i/>
          <w:iCs/>
          <w:color w:val="000000" w:themeColor="text1"/>
          <w:sz w:val="24"/>
          <w:szCs w:val="24"/>
          <w:u w:val="none"/>
        </w:rPr>
        <w:t xml:space="preserve">)</w:t>
      </w:r>
      <w:r>
        <w:rPr>
          <w:rFonts w:ascii="Times New Roman" w:hAnsi="Times New Roman" w:cs="Times New Roman"/>
          <w:bCs/>
          <w:i/>
          <w:color w:val="000000" w:themeColor="text1"/>
          <w:sz w:val="24"/>
          <w:szCs w:val="24"/>
          <w:u w:val="none"/>
        </w:rPr>
      </w:r>
      <w:r>
        <w:rPr>
          <w:rFonts w:ascii="Times New Roman" w:hAnsi="Times New Roman" w:cs="Times New Roman"/>
          <w:bCs/>
          <w:i/>
          <w:color w:val="000000" w:themeColor="text1"/>
          <w:sz w:val="24"/>
          <w:szCs w:val="24"/>
          <w:u w:val="none"/>
        </w:rPr>
      </w:r>
    </w:p>
    <w:p>
      <w:pPr>
        <w:pStyle w:val="1041"/>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7"/>
        <w:gridCol w:w="2325"/>
        <w:gridCol w:w="2043"/>
        <w:gridCol w:w="2443"/>
        <w:gridCol w:w="2396"/>
      </w:tblGrid>
      <w:tr>
        <w:trPr>
          <w:trHeight w:val="1544"/>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60" w:before="60" w:line="276" w:lineRule="auto"/>
              <w:ind w:right="154" w:firstLine="0" w:left="142"/>
              <w:jc w:val="both"/>
              <w:rPr>
                <w:b/>
                <w:bCs/>
                <w:spacing w:val="2"/>
              </w:rPr>
            </w:pPr>
            <w:r>
              <w:rPr>
                <w:bCs/>
                <w:color w:val="000000" w:themeColor="text1"/>
                <w:lang w:val="pt-BR"/>
              </w:rPr>
            </w:r>
            <w:r>
              <w:rPr>
                <w:b/>
                <w:bCs/>
                <w:color w:val="000000"/>
              </w:rPr>
              <w:t xml:space="preserve">Quyền sử dụng đất và tài sản gắn liền với đất tại Thửa đất số: 168, tờ bản đồ số 218, địa chỉ: Phường Từ Sơn, tỉnh</w:t>
            </w:r>
            <w:r>
              <w:rPr>
                <w:b/>
                <w:bCs/>
                <w:color w:val="000000"/>
              </w:rPr>
              <w:t xml:space="preserve"> Bắc Ninh theo Giấy chứng nhận quyền sử dụng đất, quyền sở hữu tài sản gắn liền với đất số: AA 02207290, số vào sổ cấp GCN: VP 91 do Văn phòng Đăng ký đất đai Bắc Ninh số 2 cấp ngày 24/7/2025; Chủ sử dụng đất là Ông Trần Văn Xuân và vợ Ngô Thị Ánh Tuyết</w:t>
            </w:r>
            <w:r>
              <w:rPr>
                <w:b/>
                <w:bCs/>
                <w:i/>
                <w:iCs/>
              </w:rPr>
              <w:t xml:space="preserve">.</w:t>
            </w:r>
            <w:r>
              <w:rPr>
                <w:b/>
                <w:bCs/>
                <w:spacing w:val="2"/>
              </w:rPr>
            </w:r>
            <w:r>
              <w:rPr>
                <w:b/>
                <w:bCs/>
                <w:spacing w:val="2"/>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168</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218</w:t>
            </w: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right="154" w:firstLine="0" w:left="142"/>
              <w:jc w:val="both"/>
              <w:rPr/>
            </w:pPr>
            <w:r>
              <w:rPr>
                <w:rFonts w:ascii="Times New Roman" w:hAnsi="Times New Roman" w:eastAsia="Times New Roman" w:cs="Times New Roman"/>
                <w:color w:val="000000"/>
                <w:sz w:val="24"/>
              </w:rPr>
              <w:t xml:space="preserve">Phường Từ Sơn, tỉnh Bắc Ninh.</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168,0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Sử dụng chung của vợ và chồng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Đường nhựa</w:t>
            </w:r>
            <w:r/>
          </w:p>
        </w:tc>
        <w:tc>
          <w:tcPr>
            <w:tcBorders>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02 mặt tiền </w:t>
            </w:r>
            <w:r/>
          </w:p>
        </w:tc>
      </w:tr>
      <w:tr>
        <w:trPr>
          <w:trHeight w:val="1248"/>
        </w:trPr>
        <w:tc>
          <w:tcPr>
            <w:tcBorders>
              <w:left w:val="single" w:color="000000" w:sz="5" w:space="0"/>
              <w:bottom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7m+ 4m vỉa hè </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7m+ 4m vỉa hè </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right="154" w:firstLine="0" w:left="142"/>
              <w:jc w:val="both"/>
              <w:rPr/>
            </w:pPr>
            <w:r>
              <w:rPr>
                <w:rFonts w:ascii="Times New Roman" w:hAnsi="Times New Roman" w:eastAsia="Times New Roman" w:cs="Times New Roman"/>
                <w:color w:val="000000"/>
                <w:sz w:val="24"/>
              </w:rPr>
              <w:t xml:space="preserve">Tài sản nằm trong KĐT Tân Hồng, Phường Từ Sơn, tỉnh Bắc Ninh.</w:t>
            </w:r>
            <w:r/>
          </w:p>
        </w:tc>
      </w:tr>
      <w:tr>
        <w:trPr>
          <w:trHeight w:val="96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76" w:lineRule="auto"/>
              <w:ind w:right="154" w:firstLine="0" w:left="14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Tây Bắc : Tiếp giáp đường nhựa rộng ~7m+ vỉa hè  4m;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76" w:lineRule="auto"/>
              <w:ind w:right="154" w:firstLine="0" w:left="14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Đông Bắc: Tiếp giáp đường nhựa rộng ~9m+ vỉa hè 4m;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76" w:lineRule="auto"/>
              <w:ind w:right="154" w:firstLine="0" w:left="142"/>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Vị trí trên bản đồ vệ tinh: </w:t>
            </w:r>
            <w:r>
              <w:rPr>
                <w:color w:val="000000"/>
              </w:rPr>
              <w:t xml:space="preserve">(21.117944444444, 105.96869444444)</w: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472596" cy="2671041"/>
                      <wp:effectExtent l="0" t="0" r="0" b="0"/>
                      <wp:docPr id="5" name=""/>
                      <wp:cNvGraphicFramePr/>
                      <a:graphic xmlns:a="http://schemas.openxmlformats.org/drawingml/2006/main">
                        <a:graphicData uri="http://schemas.openxmlformats.org/drawingml/2006/picture">
                          <pic:pic xmlns:pic="http://schemas.openxmlformats.org/drawingml/2006/picture">
                            <pic:nvPicPr>
                              <pic:cNvPr id="1785638120" name="" descr=""/>
                              <pic:cNvPicPr/>
                              <pic:nvPr/>
                            </pic:nvPicPr>
                            <pic:blipFill rotWithShape="1">
                              <a:blip r:embed="rId17"/>
                              <a:stretch/>
                            </pic:blipFill>
                            <pic:spPr bwMode="auto">
                              <a:xfrm rot="0" flipH="0" flipV="0">
                                <a:off x="0" y="0"/>
                                <a:ext cx="5472595" cy="2671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91pt;height:210.32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168,0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18; và 8,5</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15,0</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ind/>
              <w:jc w:val="center"/>
              <w:rPr/>
            </w:pPr>
            <w:r>
              <w:t xml:space="preserve">Hình chữ nhật, hơi vạt góc</w:t>
            </w:r>
            <w:r>
              <w:rPr>
                <w:rFonts w:ascii="Times New Roman" w:hAnsi="Times New Roman" w:eastAsia="Times New Roman" w:cs="Times New Roman"/>
                <w:color w:val="000000"/>
                <w:sz w:val="24"/>
              </w:rPr>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Bắc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ight="154" w:firstLine="0" w:left="142"/>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ight="154" w:firstLine="0" w:left="142"/>
              <w:rPr/>
            </w:pPr>
            <w:r>
              <w:rPr>
                <w:rFonts w:ascii="Times New Roman" w:hAnsi="Times New Roman" w:eastAsia="Times New Roman" w:cs="Times New Roman"/>
                <w:b/>
                <w:color w:val="000000"/>
                <w:sz w:val="24"/>
              </w:rPr>
              <w:t xml:space="preserve">Tài sản gắn liền với đất</w:t>
            </w:r>
            <w:r/>
          </w:p>
        </w:tc>
      </w:tr>
      <w:tr>
        <w:trPr>
          <w:trHeight w:val="108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207" w:type="dxa"/>
            <w:vAlign w:val="top"/>
            <w:textDirection w:val="lrTb"/>
            <w:noWrap w:val="false"/>
          </w:tcPr>
          <w:p>
            <w:pPr>
              <w:pBdr/>
              <w:spacing w:after="0" w:before="0" w:line="276" w:lineRule="auto"/>
              <w:ind w:right="154" w:firstLine="0" w:left="142"/>
              <w:jc w:val="both"/>
              <w:rPr/>
            </w:pPr>
            <w:r>
              <w:rPr>
                <w:rFonts w:ascii="Times New Roman" w:hAnsi="Times New Roman" w:eastAsia="Times New Roman" w:cs="Times New Roman"/>
                <w:color w:val="000000"/>
                <w:sz w:val="24"/>
                <w:highlight w:val="white"/>
              </w:rPr>
              <w:t xml:space="preserve">Tại thời điểm thẩm định giá, trên đất có công trình xây dựng là 01 Nhà 05 tầng, kết cấu BTCT. Công trình được xây dựng năm</w:t>
            </w:r>
            <w:r>
              <w:rPr>
                <w:rFonts w:ascii="Times New Roman" w:hAnsi="Times New Roman" w:eastAsia="Times New Roman" w:cs="Times New Roman"/>
                <w:color w:val="000000"/>
                <w:sz w:val="24"/>
                <w:highlight w:val="white"/>
              </w:rPr>
              <w:t xml:space="preserve"> 2025. H</w:t>
            </w:r>
            <w:r>
              <w:rPr>
                <w:rFonts w:ascii="Times New Roman" w:hAnsi="Times New Roman" w:eastAsia="Times New Roman" w:cs="Times New Roman"/>
                <w:color w:val="000000"/>
                <w:sz w:val="24"/>
                <w:highlight w:val="white"/>
              </w:rPr>
              <w:t xml:space="preserve">iện tại công trình đã hoàn thiện mặt ngoài, bên trong xây thô. Hiện tại công trình đã được chứng nhận trên GCN số: AA 02207290.</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rPr>
              <w:t xml:space="preserve">               </w:t>
            </w:r>
            <w:r/>
          </w:p>
        </w:tc>
      </w:tr>
    </w:tbl>
    <w:p>
      <w:pPr>
        <w:pBdr/>
        <w:spacing w:line="235" w:lineRule="auto"/>
        <w:ind w:left="0"/>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color w:val="auto"/>
                <w:highlight w:val="white"/>
              </w:rPr>
            </w:pPr>
            <w:r>
              <w:rPr>
                <w:b/>
                <w:bCs/>
                <w:color w:val="auto"/>
                <w:highlight w:val="white"/>
              </w:rPr>
              <w:t xml:space="preserve">STT</w:t>
            </w:r>
            <w:r>
              <w:rPr>
                <w:b/>
                <w:bCs/>
                <w:color w:val="auto"/>
                <w:highlight w:val="white"/>
              </w:rPr>
            </w:r>
            <w:r>
              <w:rPr>
                <w:b/>
                <w:bCs/>
                <w:color w:val="auto"/>
                <w:highlight w:val="white"/>
              </w:rPr>
            </w:r>
          </w:p>
        </w:tc>
        <w:tc>
          <w:tcPr>
            <w:tcBorders/>
            <w:tcW w:w="1663" w:type="dxa"/>
            <w:vAlign w:val="center"/>
            <w:textDirection w:val="lrTb"/>
            <w:noWrap w:val="false"/>
          </w:tcPr>
          <w:p>
            <w:pPr>
              <w:pBdr/>
              <w:spacing/>
              <w:ind/>
              <w:jc w:val="center"/>
              <w:rPr>
                <w:b/>
                <w:bCs/>
                <w:color w:val="auto"/>
                <w:highlight w:val="white"/>
              </w:rPr>
            </w:pPr>
            <w:r>
              <w:rPr>
                <w:b/>
                <w:bCs/>
                <w:color w:val="auto"/>
                <w:highlight w:val="white"/>
              </w:rPr>
              <w:t xml:space="preserve">Các yếu tố</w:t>
            </w:r>
            <w:r>
              <w:rPr>
                <w:b/>
                <w:bCs/>
                <w:color w:val="auto"/>
                <w:highlight w:val="white"/>
              </w:rPr>
            </w:r>
            <w:r>
              <w:rPr>
                <w:b/>
                <w:bCs/>
                <w:color w:val="auto"/>
                <w:highlight w:val="white"/>
              </w:rPr>
            </w:r>
          </w:p>
        </w:tc>
        <w:tc>
          <w:tcPr>
            <w:tcBorders/>
            <w:tcW w:w="1560" w:type="dxa"/>
            <w:vAlign w:val="center"/>
            <w:textDirection w:val="lrTb"/>
            <w:noWrap w:val="false"/>
          </w:tcPr>
          <w:p>
            <w:pPr>
              <w:pBdr/>
              <w:spacing/>
              <w:ind/>
              <w:jc w:val="center"/>
              <w:rPr>
                <w:b/>
                <w:bCs/>
                <w:color w:val="auto"/>
                <w:highlight w:val="white"/>
              </w:rPr>
            </w:pPr>
            <w:r>
              <w:rPr>
                <w:b/>
                <w:bCs/>
                <w:color w:val="auto"/>
                <w:highlight w:val="white"/>
              </w:rPr>
              <w:t xml:space="preserve">Thông tin TSTĐ</w:t>
            </w:r>
            <w:r>
              <w:rPr>
                <w:b/>
                <w:bCs/>
                <w:color w:val="auto"/>
                <w:highlight w:val="white"/>
              </w:rPr>
            </w:r>
            <w:r>
              <w:rPr>
                <w:b/>
                <w:bCs/>
                <w:color w:val="auto"/>
                <w:highlight w:val="white"/>
              </w:rPr>
            </w:r>
          </w:p>
        </w:tc>
        <w:tc>
          <w:tcPr>
            <w:tcBorders/>
            <w:tcW w:w="1605" w:type="dxa"/>
            <w:vAlign w:val="center"/>
            <w:textDirection w:val="lrTb"/>
            <w:noWrap w:val="false"/>
          </w:tcPr>
          <w:p>
            <w:pPr>
              <w:pBdr/>
              <w:spacing/>
              <w:ind/>
              <w:jc w:val="center"/>
              <w:rPr>
                <w:b/>
                <w:bCs/>
                <w:color w:val="auto"/>
                <w:highlight w:val="white"/>
              </w:rPr>
            </w:pPr>
            <w:r>
              <w:rPr>
                <w:b/>
                <w:bCs/>
                <w:color w:val="auto"/>
                <w:highlight w:val="white"/>
              </w:rPr>
              <w:t xml:space="preserve">Thông tin khảo sát</w:t>
            </w:r>
            <w:r>
              <w:rPr>
                <w:b/>
                <w:bCs/>
                <w:color w:val="auto"/>
                <w:highlight w:val="white"/>
              </w:rPr>
            </w:r>
            <w:r>
              <w:rPr>
                <w:b/>
                <w:bCs/>
                <w:color w:val="auto"/>
                <w:highlight w:val="white"/>
              </w:rPr>
            </w:r>
          </w:p>
        </w:tc>
        <w:tc>
          <w:tcPr>
            <w:tcBorders/>
            <w:tcW w:w="1371" w:type="dxa"/>
            <w:vAlign w:val="center"/>
            <w:textDirection w:val="lrTb"/>
            <w:noWrap w:val="false"/>
          </w:tcPr>
          <w:p>
            <w:pPr>
              <w:pBdr/>
              <w:spacing/>
              <w:ind/>
              <w:jc w:val="center"/>
              <w:rPr>
                <w:b/>
                <w:bCs/>
                <w:color w:val="auto"/>
                <w:highlight w:val="white"/>
              </w:rPr>
            </w:pPr>
            <w:r>
              <w:rPr>
                <w:b/>
                <w:bCs/>
                <w:color w:val="auto"/>
                <w:highlight w:val="white"/>
              </w:rPr>
              <w:t xml:space="preserve">Chênh lệch</w:t>
            </w:r>
            <w:r>
              <w:rPr>
                <w:b/>
                <w:bCs/>
                <w:color w:val="auto"/>
                <w:highlight w:val="white"/>
              </w:rPr>
            </w:r>
            <w:r>
              <w:rPr>
                <w:b/>
                <w:bCs/>
                <w:color w:val="auto"/>
                <w:highlight w:val="white"/>
              </w:rPr>
            </w:r>
          </w:p>
        </w:tc>
        <w:tc>
          <w:tcPr>
            <w:tcBorders/>
            <w:tcW w:w="2149" w:type="dxa"/>
            <w:vAlign w:val="center"/>
            <w:textDirection w:val="lrTb"/>
            <w:noWrap w:val="false"/>
          </w:tcPr>
          <w:p>
            <w:pPr>
              <w:pBdr/>
              <w:spacing/>
              <w:ind/>
              <w:jc w:val="center"/>
              <w:rPr>
                <w:b/>
                <w:bCs/>
                <w:color w:val="auto"/>
                <w:highlight w:val="white"/>
              </w:rPr>
            </w:pPr>
            <w:r>
              <w:rPr>
                <w:b/>
                <w:bCs/>
                <w:color w:val="auto"/>
                <w:highlight w:val="white"/>
              </w:rPr>
              <w:t xml:space="preserve">Nguyên nhân</w:t>
            </w:r>
            <w:r>
              <w:rPr>
                <w:b/>
                <w:bCs/>
                <w:color w:val="auto"/>
                <w:highlight w:val="white"/>
              </w:rPr>
            </w:r>
            <w:r>
              <w:rPr>
                <w:b/>
                <w:bCs/>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1</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Địa chỉ trên sổ</w:t>
            </w:r>
            <w:r>
              <w:rPr>
                <w:color w:val="auto"/>
                <w:highlight w:val="white"/>
              </w:rPr>
            </w:r>
            <w:r>
              <w:rPr>
                <w:color w:val="auto"/>
                <w:highlight w:val="white"/>
              </w:rPr>
            </w:r>
          </w:p>
        </w:tc>
        <w:tc>
          <w:tcPr>
            <w:tcBorders/>
            <w:tcW w:w="1560" w:type="dxa"/>
            <w:vAlign w:val="center"/>
            <w:textDirection w:val="lrTb"/>
            <w:noWrap w:val="false"/>
          </w:tcPr>
          <w:p>
            <w:pPr>
              <w:pBdr/>
              <w:spacing/>
              <w:ind/>
              <w:jc w:val="center"/>
              <w:rPr>
                <w:rFonts w:ascii="Times New Roman" w:hAnsi="Times New Roman" w:cs="Times New Roman"/>
                <w:color w:val="auto"/>
                <w:highlight w:val="white"/>
              </w:rPr>
            </w:pPr>
            <w:r>
              <w:rPr>
                <w:rFonts w:ascii="Times New Roman" w:hAnsi="Times New Roman" w:eastAsia="Times New Roman" w:cs="Times New Roman"/>
                <w:color w:val="auto"/>
                <w:highlight w:val="white"/>
              </w:rPr>
              <w:t xml:space="preserve">Phường Từ Sơn Tỉnh Bắc Ninh</w:t>
            </w:r>
            <w:r>
              <w:rPr>
                <w:rFonts w:ascii="Times New Roman" w:hAnsi="Times New Roman" w:cs="Times New Roman"/>
                <w:color w:val="auto"/>
                <w:highlight w:val="white"/>
              </w:rPr>
            </w:r>
            <w:r>
              <w:rPr>
                <w:rFonts w:ascii="Times New Roman" w:hAnsi="Times New Roman" w:cs="Times New Roman"/>
                <w:color w:val="auto"/>
                <w:highlight w:val="white"/>
              </w:rPr>
            </w:r>
          </w:p>
        </w:tc>
        <w:tc>
          <w:tcPr>
            <w:tcBorders/>
            <w:tcW w:w="1605" w:type="dxa"/>
            <w:vAlign w:val="center"/>
            <w:textDirection w:val="lrTb"/>
            <w:noWrap w:val="false"/>
          </w:tcPr>
          <w:p>
            <w:pPr>
              <w:pBdr/>
              <w:spacing/>
              <w:ind/>
              <w:jc w:val="center"/>
              <w:rPr>
                <w:rFonts w:ascii="Times New Roman" w:hAnsi="Times New Roman" w:cs="Times New Roman"/>
                <w:color w:val="auto"/>
                <w:highlight w:val="white"/>
              </w:rPr>
            </w:pPr>
            <w:r>
              <w:rPr>
                <w:rFonts w:ascii="Times New Roman" w:hAnsi="Times New Roman" w:eastAsia="Times New Roman" w:cs="Times New Roman"/>
                <w:color w:val="auto"/>
                <w:highlight w:val="white"/>
              </w:rPr>
              <w:t xml:space="preserve">Phường Từ Sơn, Tỉnh Bắc Ninh ✔</w:t>
            </w:r>
            <w:r>
              <w:rPr>
                <w:rFonts w:ascii="Times New Roman" w:hAnsi="Times New Roman" w:cs="Times New Roman"/>
                <w:color w:val="auto"/>
                <w:highlight w:val="white"/>
              </w:rPr>
            </w:r>
            <w:r>
              <w:rPr>
                <w:rFonts w:ascii="Times New Roman" w:hAnsi="Times New Roman" w:cs="Times New Roman"/>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Không</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2</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Địa chỉ thực tế</w:t>
            </w:r>
            <w:r>
              <w:rPr>
                <w:color w:val="auto"/>
                <w:highlight w:val="white"/>
              </w:rPr>
            </w:r>
            <w:r>
              <w:rPr>
                <w:color w:val="auto"/>
                <w:highlight w:val="white"/>
              </w:rPr>
            </w:r>
          </w:p>
        </w:tc>
        <w:tc>
          <w:tcPr>
            <w:tcBorders/>
            <w:tcW w:w="1560" w:type="dxa"/>
            <w:vAlign w:val="center"/>
            <w:textDirection w:val="lrTb"/>
            <w:noWrap w:val="false"/>
          </w:tcPr>
          <w:p>
            <w:pPr>
              <w:pBdr/>
              <w:spacing/>
              <w:ind/>
              <w:jc w:val="center"/>
              <w:rPr>
                <w:color w:val="auto"/>
                <w:highlight w:val="white"/>
              </w:rPr>
            </w:pPr>
            <w:r>
              <w:rPr>
                <w:color w:val="auto"/>
                <w:highlight w:val="white"/>
              </w:rPr>
              <w:t xml:space="preserve">Phường Từ Sơn, Tỉnh Bắc Ninh</w:t>
            </w:r>
            <w:r>
              <w:rPr>
                <w:color w:val="auto"/>
                <w:highlight w:val="white"/>
              </w:rPr>
            </w:r>
            <w:r>
              <w:rPr>
                <w:color w:val="auto"/>
                <w:highlight w:val="white"/>
              </w:rPr>
            </w:r>
          </w:p>
        </w:tc>
        <w:tc>
          <w:tcPr>
            <w:tcBorders/>
            <w:tcW w:w="1605" w:type="dxa"/>
            <w:vAlign w:val="center"/>
            <w:textDirection w:val="lrTb"/>
            <w:noWrap w:val="false"/>
          </w:tcPr>
          <w:p>
            <w:pPr>
              <w:pBdr/>
              <w:spacing/>
              <w:ind/>
              <w:jc w:val="center"/>
              <w:rPr>
                <w:color w:val="auto"/>
                <w:highlight w:val="white"/>
              </w:rPr>
            </w:pPr>
            <w:r>
              <w:rPr>
                <w:color w:val="auto"/>
                <w:highlight w:val="white"/>
              </w:rPr>
              <w:t xml:space="preserve">Phường Từ Sơn, Tỉnh Bắc Ninh ✔</w:t>
            </w:r>
            <w:r>
              <w:rPr>
                <w:color w:val="auto"/>
                <w:highlight w:val="white"/>
              </w:rPr>
            </w:r>
            <w:r>
              <w:rPr>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Không</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3</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Pháp lý</w:t>
            </w:r>
            <w:r>
              <w:rPr>
                <w:color w:val="auto"/>
                <w:highlight w:val="white"/>
              </w:rPr>
            </w:r>
            <w:r>
              <w:rPr>
                <w:color w:val="auto"/>
                <w:highlight w:val="white"/>
              </w:rPr>
            </w:r>
          </w:p>
        </w:tc>
        <w:tc>
          <w:tcPr>
            <w:tcBorders/>
            <w:tcW w:w="1560" w:type="dxa"/>
            <w:vAlign w:val="center"/>
            <w:textDirection w:val="lrTb"/>
            <w:noWrap w:val="false"/>
          </w:tcPr>
          <w:p>
            <w:pPr>
              <w:pBdr/>
              <w:spacing/>
              <w:ind/>
              <w:jc w:val="center"/>
              <w:rPr>
                <w:color w:val="auto"/>
                <w:highlight w:val="white"/>
              </w:rPr>
            </w:pPr>
            <w:r>
              <w:rPr>
                <w:color w:val="auto"/>
                <w:highlight w:val="white"/>
              </w:rPr>
              <w:t xml:space="preserve">Giấy chứng nhận quyền sử dụng đất, quyền sở hữu nhà ở và tài sản gắn liền với đất</w:t>
            </w:r>
            <w:r>
              <w:rPr>
                <w:color w:val="auto"/>
                <w:highlight w:val="white"/>
              </w:rPr>
            </w:r>
            <w:r>
              <w:rPr>
                <w:color w:val="auto"/>
                <w:highlight w:val="white"/>
              </w:rPr>
            </w:r>
          </w:p>
        </w:tc>
        <w:tc>
          <w:tcPr>
            <w:tcBorders/>
            <w:tcW w:w="1605" w:type="dxa"/>
            <w:vAlign w:val="center"/>
            <w:textDirection w:val="lrTb"/>
            <w:noWrap w:val="false"/>
          </w:tcPr>
          <w:p>
            <w:pPr>
              <w:pBdr/>
              <w:spacing/>
              <w:ind/>
              <w:jc w:val="center"/>
              <w:rPr>
                <w:color w:val="auto"/>
                <w:highlight w:val="white"/>
              </w:rPr>
            </w:pPr>
            <w:r>
              <w:rPr>
                <w:color w:val="auto"/>
                <w:highlight w:val="white"/>
              </w:rPr>
              <w:t xml:space="preserve">Giấy chứng nhận quyền sử dụng đất, quyền sở hữu nhà ở và tài sản gắn liền với đất ✔</w:t>
            </w:r>
            <w:r>
              <w:rPr>
                <w:color w:val="auto"/>
                <w:highlight w:val="white"/>
              </w:rPr>
            </w:r>
            <w:r>
              <w:rPr>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Không</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4</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Loại đất</w:t>
            </w:r>
            <w:r>
              <w:rPr>
                <w:color w:val="auto"/>
                <w:highlight w:val="white"/>
              </w:rPr>
            </w:r>
            <w:r>
              <w:rPr>
                <w:color w:val="auto"/>
                <w:highlight w:val="white"/>
              </w:rPr>
            </w:r>
          </w:p>
        </w:tc>
        <w:tc>
          <w:tcPr>
            <w:tcBorders/>
            <w:tcW w:w="1560" w:type="dxa"/>
            <w:vAlign w:val="center"/>
            <w:textDirection w:val="lrTb"/>
            <w:noWrap w:val="false"/>
          </w:tcPr>
          <w:p>
            <w:pPr>
              <w:pBdr/>
              <w:spacing/>
              <w:ind/>
              <w:jc w:val="center"/>
              <w:rPr>
                <w:color w:val="auto"/>
                <w:highlight w:val="white"/>
              </w:rPr>
            </w:pPr>
            <w:r>
              <w:rPr>
                <w:color w:val="auto"/>
                <w:highlight w:val="white"/>
              </w:rPr>
              <w:t xml:space="preserve">Đất ở tại đô thị</w:t>
            </w:r>
            <w:r>
              <w:rPr>
                <w:color w:val="auto"/>
                <w:highlight w:val="white"/>
              </w:rPr>
            </w:r>
            <w:r>
              <w:rPr>
                <w:color w:val="auto"/>
                <w:highlight w:val="white"/>
              </w:rPr>
            </w:r>
          </w:p>
        </w:tc>
        <w:tc>
          <w:tcPr>
            <w:tcBorders/>
            <w:tcW w:w="1605" w:type="dxa"/>
            <w:vAlign w:val="center"/>
            <w:textDirection w:val="lrTb"/>
            <w:noWrap w:val="false"/>
          </w:tcPr>
          <w:p>
            <w:pPr>
              <w:pBdr/>
              <w:spacing/>
              <w:ind/>
              <w:jc w:val="center"/>
              <w:rPr>
                <w:color w:val="auto"/>
                <w:highlight w:val="white"/>
              </w:rPr>
            </w:pPr>
            <w:r>
              <w:rPr>
                <w:color w:val="auto"/>
                <w:highlight w:val="white"/>
              </w:rPr>
              <w:t xml:space="preserve">Đất ở tại đô thị ✔</w:t>
            </w:r>
            <w:r>
              <w:rPr>
                <w:color w:val="auto"/>
                <w:highlight w:val="white"/>
              </w:rPr>
            </w:r>
            <w:r>
              <w:rPr>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Không</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5</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Thời hạn sử dụng</w:t>
            </w:r>
            <w:r>
              <w:rPr>
                <w:color w:val="auto"/>
                <w:highlight w:val="white"/>
              </w:rPr>
            </w:r>
            <w:r>
              <w:rPr>
                <w:color w:val="auto"/>
                <w:highlight w:val="white"/>
              </w:rPr>
            </w:r>
          </w:p>
        </w:tc>
        <w:tc>
          <w:tcPr>
            <w:tcBorders/>
            <w:tcW w:w="1560" w:type="dxa"/>
            <w:vAlign w:val="center"/>
            <w:textDirection w:val="lrTb"/>
            <w:noWrap w:val="false"/>
          </w:tcPr>
          <w:p>
            <w:pPr>
              <w:pBdr/>
              <w:spacing/>
              <w:ind/>
              <w:jc w:val="center"/>
              <w:rPr>
                <w:color w:val="auto"/>
                <w:highlight w:val="white"/>
              </w:rPr>
            </w:pPr>
            <w:r>
              <w:rPr>
                <w:color w:val="auto"/>
                <w:highlight w:val="white"/>
              </w:rPr>
              <w:t xml:space="preserve">Lâu dài</w:t>
            </w:r>
            <w:r>
              <w:rPr>
                <w:color w:val="auto"/>
                <w:highlight w:val="white"/>
              </w:rPr>
            </w:r>
            <w:r>
              <w:rPr>
                <w:color w:val="auto"/>
                <w:highlight w:val="white"/>
              </w:rPr>
            </w:r>
          </w:p>
        </w:tc>
        <w:tc>
          <w:tcPr>
            <w:tcBorders/>
            <w:tcW w:w="1605" w:type="dxa"/>
            <w:vAlign w:val="center"/>
            <w:textDirection w:val="lrTb"/>
            <w:noWrap w:val="false"/>
          </w:tcPr>
          <w:p>
            <w:pPr>
              <w:pBdr/>
              <w:spacing/>
              <w:ind/>
              <w:jc w:val="center"/>
              <w:rPr>
                <w:color w:val="auto"/>
                <w:highlight w:val="white"/>
              </w:rPr>
            </w:pPr>
            <w:r>
              <w:rPr>
                <w:color w:val="auto"/>
                <w:highlight w:val="white"/>
              </w:rPr>
              <w:t xml:space="preserve">Lâu dài ✔</w:t>
            </w:r>
            <w:r>
              <w:rPr>
                <w:color w:val="auto"/>
                <w:highlight w:val="white"/>
              </w:rPr>
            </w:r>
            <w:r>
              <w:rPr>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Không</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6</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Vị trí</w:t>
            </w:r>
            <w:r>
              <w:rPr>
                <w:color w:val="auto"/>
                <w:highlight w:val="white"/>
              </w:rPr>
            </w:r>
            <w:r>
              <w:rPr>
                <w:color w:val="auto"/>
                <w:highlight w:val="white"/>
              </w:rPr>
            </w:r>
          </w:p>
        </w:tc>
        <w:tc>
          <w:tcPr>
            <w:tcBorders/>
            <w:tcW w:w="1560" w:type="dxa"/>
            <w:vAlign w:val="center"/>
            <w:textDirection w:val="lrTb"/>
            <w:noWrap w:val="false"/>
          </w:tcPr>
          <w:p>
            <w:pPr>
              <w:pBdr/>
              <w:spacing/>
              <w:ind/>
              <w:jc w:val="center"/>
              <w:rPr>
                <w:color w:val="auto"/>
                <w:highlight w:val="white"/>
              </w:rPr>
            </w:pPr>
            <w:r>
              <w:rPr>
                <w:color w:val="auto"/>
                <w:highlight w:val="white"/>
              </w:rPr>
              <w:t xml:space="preserve">VT1</w:t>
            </w:r>
            <w:r>
              <w:rPr>
                <w:color w:val="auto"/>
                <w:highlight w:val="white"/>
              </w:rPr>
            </w:r>
            <w:r>
              <w:rPr>
                <w:color w:val="auto"/>
                <w:highlight w:val="white"/>
              </w:rPr>
            </w:r>
          </w:p>
        </w:tc>
        <w:tc>
          <w:tcPr>
            <w:tcBorders/>
            <w:tcW w:w="1605" w:type="dxa"/>
            <w:vAlign w:val="center"/>
            <w:textDirection w:val="lrTb"/>
            <w:noWrap w:val="false"/>
          </w:tcPr>
          <w:p>
            <w:pPr>
              <w:pBdr/>
              <w:spacing/>
              <w:ind/>
              <w:jc w:val="center"/>
              <w:rPr>
                <w:color w:val="auto"/>
                <w:highlight w:val="white"/>
              </w:rPr>
            </w:pPr>
            <w:r>
              <w:rPr>
                <w:color w:val="auto"/>
                <w:highlight w:val="white"/>
              </w:rPr>
              <w:t xml:space="preserve">VT1 ✔</w:t>
            </w:r>
            <w:r>
              <w:rPr>
                <w:color w:val="auto"/>
                <w:highlight w:val="white"/>
              </w:rPr>
            </w:r>
            <w:r>
              <w:rPr>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Không</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7</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Kết cấu mặt đường</w:t>
            </w:r>
            <w:r>
              <w:rPr>
                <w:color w:val="auto"/>
                <w:highlight w:val="white"/>
              </w:rPr>
            </w:r>
            <w:r>
              <w:rPr>
                <w:color w:val="auto"/>
                <w:highlight w:val="white"/>
              </w:rPr>
            </w:r>
          </w:p>
        </w:tc>
        <w:tc>
          <w:tcPr>
            <w:tcBorders/>
            <w:tcW w:w="1560" w:type="dxa"/>
            <w:vAlign w:val="center"/>
            <w:textDirection w:val="lrTb"/>
            <w:noWrap w:val="false"/>
          </w:tcPr>
          <w:p>
            <w:pPr>
              <w:pBdr/>
              <w:spacing/>
              <w:ind/>
              <w:jc w:val="center"/>
              <w:rPr>
                <w:color w:val="auto"/>
                <w:highlight w:val="white"/>
              </w:rPr>
            </w:pPr>
            <w:r>
              <w:rPr>
                <w:color w:val="auto"/>
                <w:highlight w:val="white"/>
              </w:rPr>
              <w:t xml:space="preserve">Đường nhựa có vỉa hè</w:t>
            </w:r>
            <w:r>
              <w:rPr>
                <w:color w:val="auto"/>
                <w:highlight w:val="white"/>
              </w:rPr>
            </w:r>
            <w:r>
              <w:rPr>
                <w:color w:val="auto"/>
                <w:highlight w:val="white"/>
              </w:rPr>
            </w:r>
          </w:p>
        </w:tc>
        <w:tc>
          <w:tcPr>
            <w:tcBorders/>
            <w:tcW w:w="1605" w:type="dxa"/>
            <w:vAlign w:val="center"/>
            <w:textDirection w:val="lrTb"/>
            <w:noWrap w:val="false"/>
          </w:tcPr>
          <w:p>
            <w:pPr>
              <w:pBdr/>
              <w:spacing/>
              <w:ind/>
              <w:jc w:val="center"/>
              <w:rPr>
                <w:color w:val="auto"/>
                <w:highlight w:val="white"/>
              </w:rPr>
            </w:pPr>
            <w:r>
              <w:rPr>
                <w:color w:val="auto"/>
                <w:highlight w:val="white"/>
              </w:rPr>
              <w:t xml:space="preserve">Đường nhựa có vỉa hè ✔</w:t>
            </w:r>
            <w:r>
              <w:rPr>
                <w:color w:val="auto"/>
                <w:highlight w:val="white"/>
              </w:rPr>
            </w:r>
            <w:r>
              <w:rPr>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Không</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8</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Diện tích</w:t>
            </w:r>
            <w:r>
              <w:rPr>
                <w:color w:val="auto"/>
                <w:highlight w:val="white"/>
              </w:rPr>
            </w:r>
            <w:r>
              <w:rPr>
                <w:color w:val="auto"/>
                <w:highlight w:val="white"/>
              </w:rPr>
            </w:r>
          </w:p>
        </w:tc>
        <w:tc>
          <w:tcPr>
            <w:tcBorders/>
            <w:tcW w:w="1560" w:type="dxa"/>
            <w:vAlign w:val="center"/>
            <w:textDirection w:val="lrTb"/>
            <w:noWrap w:val="false"/>
          </w:tcPr>
          <w:p>
            <w:pPr>
              <w:pBdr/>
              <w:spacing/>
              <w:ind/>
              <w:jc w:val="center"/>
              <w:rPr>
                <w:color w:val="auto"/>
                <w:highlight w:val="white"/>
              </w:rPr>
            </w:pPr>
            <w:r>
              <w:rPr>
                <w:color w:val="auto"/>
                <w:highlight w:val="white"/>
              </w:rPr>
              <w:t xml:space="preserve">168</w:t>
            </w:r>
            <w:r>
              <w:rPr>
                <w:color w:val="auto"/>
                <w:highlight w:val="white"/>
              </w:rPr>
            </w:r>
            <w:r>
              <w:rPr>
                <w:color w:val="auto"/>
                <w:highlight w:val="white"/>
              </w:rPr>
            </w:r>
          </w:p>
        </w:tc>
        <w:tc>
          <w:tcPr>
            <w:tcBorders/>
            <w:tcW w:w="1605" w:type="dxa"/>
            <w:vAlign w:val="center"/>
            <w:textDirection w:val="lrTb"/>
            <w:noWrap w:val="false"/>
          </w:tcPr>
          <w:p>
            <w:pPr>
              <w:pBdr/>
              <w:spacing/>
              <w:ind/>
              <w:jc w:val="center"/>
              <w:rPr>
                <w:color w:val="auto"/>
                <w:highlight w:val="white"/>
              </w:rPr>
            </w:pPr>
            <w:r>
              <w:rPr>
                <w:color w:val="auto"/>
                <w:highlight w:val="white"/>
              </w:rPr>
              <w:t xml:space="preserve">168 ✔</w:t>
            </w:r>
            <w:r>
              <w:rPr>
                <w:color w:val="auto"/>
                <w:highlight w:val="white"/>
              </w:rPr>
            </w:r>
            <w:r>
              <w:rPr>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0</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9</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Mặt tiếp giáp</w:t>
            </w:r>
            <w:r>
              <w:rPr>
                <w:color w:val="auto"/>
                <w:highlight w:val="white"/>
              </w:rPr>
            </w:r>
            <w:r>
              <w:rPr>
                <w:color w:val="auto"/>
                <w:highlight w:val="white"/>
              </w:rPr>
            </w:r>
          </w:p>
        </w:tc>
        <w:tc>
          <w:tcPr>
            <w:tcBorders/>
            <w:tcW w:w="1560" w:type="dxa"/>
            <w:vAlign w:val="center"/>
            <w:textDirection w:val="lrTb"/>
            <w:noWrap w:val="false"/>
          </w:tcPr>
          <w:p>
            <w:pPr>
              <w:pBdr/>
              <w:spacing/>
              <w:ind/>
              <w:jc w:val="center"/>
              <w:rPr>
                <w:color w:val="auto"/>
                <w:highlight w:val="white"/>
              </w:rPr>
            </w:pPr>
            <w:r>
              <w:rPr>
                <w:color w:val="auto"/>
                <w:highlight w:val="white"/>
              </w:rPr>
              <w:t xml:space="preserve">Tiếp giáp góc 2 mặt đường, phố</w:t>
            </w:r>
            <w:r>
              <w:rPr>
                <w:color w:val="auto"/>
                <w:highlight w:val="white"/>
              </w:rPr>
            </w:r>
            <w:r>
              <w:rPr>
                <w:color w:val="auto"/>
                <w:highlight w:val="white"/>
              </w:rPr>
            </w:r>
          </w:p>
        </w:tc>
        <w:tc>
          <w:tcPr>
            <w:tcBorders/>
            <w:tcW w:w="1605" w:type="dxa"/>
            <w:vAlign w:val="center"/>
            <w:textDirection w:val="lrTb"/>
            <w:noWrap w:val="false"/>
          </w:tcPr>
          <w:p>
            <w:pPr>
              <w:pBdr/>
              <w:spacing/>
              <w:ind/>
              <w:jc w:val="center"/>
              <w:rPr>
                <w:color w:val="auto"/>
                <w:highlight w:val="white"/>
              </w:rPr>
            </w:pPr>
            <w:r>
              <w:rPr>
                <w:color w:val="auto"/>
                <w:highlight w:val="white"/>
              </w:rPr>
              <w:t xml:space="preserve">Tiếp giáp góc 2 mặt đường, phố ✔</w:t>
            </w:r>
            <w:r>
              <w:rPr>
                <w:color w:val="auto"/>
                <w:highlight w:val="white"/>
              </w:rPr>
            </w:r>
            <w:r>
              <w:rPr>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Không</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r>
        <w:trPr>
          <w:jc w:val="center"/>
        </w:trPr>
        <w:tc>
          <w:tcPr>
            <w:tcBorders/>
            <w:tcW w:w="1167" w:type="dxa"/>
            <w:vAlign w:val="center"/>
            <w:textDirection w:val="lrTb"/>
            <w:noWrap w:val="false"/>
          </w:tcPr>
          <w:p>
            <w:pPr>
              <w:pBdr/>
              <w:spacing/>
              <w:ind/>
              <w:jc w:val="center"/>
              <w:rPr>
                <w:color w:val="auto"/>
                <w:highlight w:val="white"/>
              </w:rPr>
            </w:pPr>
            <w:r>
              <w:rPr>
                <w:color w:val="auto"/>
                <w:highlight w:val="white"/>
              </w:rPr>
              <w:t xml:space="preserve">10</w:t>
            </w:r>
            <w:r>
              <w:rPr>
                <w:color w:val="auto"/>
                <w:highlight w:val="white"/>
              </w:rPr>
            </w:r>
            <w:r>
              <w:rPr>
                <w:color w:val="auto"/>
                <w:highlight w:val="white"/>
              </w:rPr>
            </w:r>
          </w:p>
        </w:tc>
        <w:tc>
          <w:tcPr>
            <w:tcBorders/>
            <w:tcW w:w="1663" w:type="dxa"/>
            <w:vAlign w:val="center"/>
            <w:textDirection w:val="lrTb"/>
            <w:noWrap w:val="false"/>
          </w:tcPr>
          <w:p>
            <w:pPr>
              <w:pBdr/>
              <w:spacing/>
              <w:ind/>
              <w:jc w:val="center"/>
              <w:rPr>
                <w:color w:val="auto"/>
                <w:highlight w:val="white"/>
              </w:rPr>
            </w:pPr>
            <w:r>
              <w:rPr>
                <w:color w:val="auto"/>
                <w:highlight w:val="white"/>
              </w:rPr>
              <w:t xml:space="preserve">Hình dạng thửa đất</w:t>
            </w:r>
            <w:r>
              <w:rPr>
                <w:color w:val="auto"/>
                <w:highlight w:val="white"/>
              </w:rPr>
            </w:r>
            <w:r>
              <w:rPr>
                <w:color w:val="auto"/>
                <w:highlight w:val="white"/>
              </w:rPr>
            </w:r>
          </w:p>
        </w:tc>
        <w:tc>
          <w:tcPr>
            <w:tcBorders/>
            <w:tcW w:w="1560" w:type="dxa"/>
            <w:vAlign w:val="center"/>
            <w:textDirection w:val="lrTb"/>
            <w:noWrap w:val="false"/>
          </w:tcPr>
          <w:p>
            <w:pPr>
              <w:pBdr/>
              <w:spacing/>
              <w:ind/>
              <w:jc w:val="center"/>
              <w:rPr>
                <w:color w:val="auto"/>
                <w:highlight w:val="white"/>
              </w:rPr>
            </w:pPr>
            <w:r>
              <w:rPr>
                <w:color w:val="auto"/>
                <w:highlight w:val="white"/>
              </w:rPr>
              <w:t xml:space="preserve">Hình chữ nhật, hơi vạt góc</w:t>
            </w:r>
            <w:r>
              <w:rPr>
                <w:color w:val="auto"/>
                <w:highlight w:val="white"/>
              </w:rPr>
            </w:r>
            <w:r>
              <w:rPr>
                <w:color w:val="auto"/>
                <w:highlight w:val="white"/>
              </w:rPr>
            </w:r>
          </w:p>
        </w:tc>
        <w:tc>
          <w:tcPr>
            <w:tcBorders/>
            <w:tcW w:w="1605" w:type="dxa"/>
            <w:vAlign w:val="center"/>
            <w:textDirection w:val="lrTb"/>
            <w:noWrap w:val="false"/>
          </w:tcPr>
          <w:p>
            <w:pPr>
              <w:pBdr/>
              <w:spacing/>
              <w:ind/>
              <w:jc w:val="center"/>
              <w:rPr>
                <w:color w:val="auto"/>
                <w:highlight w:val="white"/>
              </w:rPr>
            </w:pPr>
            <w:r>
              <w:rPr>
                <w:color w:val="auto"/>
                <w:highlight w:val="white"/>
              </w:rPr>
              <w:t xml:space="preserve">Hình chữ nhật ✔</w:t>
            </w:r>
            <w:r>
              <w:rPr>
                <w:color w:val="auto"/>
                <w:highlight w:val="white"/>
              </w:rPr>
            </w:r>
            <w:r>
              <w:rPr>
                <w:color w:val="auto"/>
                <w:highlight w:val="white"/>
              </w:rPr>
            </w:r>
          </w:p>
        </w:tc>
        <w:tc>
          <w:tcPr>
            <w:tcBorders/>
            <w:tcW w:w="1371" w:type="dxa"/>
            <w:vAlign w:val="center"/>
            <w:textDirection w:val="lrTb"/>
            <w:noWrap w:val="false"/>
          </w:tcPr>
          <w:p>
            <w:pPr>
              <w:pBdr/>
              <w:spacing/>
              <w:ind/>
              <w:jc w:val="center"/>
              <w:rPr>
                <w:color w:val="auto"/>
                <w:highlight w:val="white"/>
              </w:rPr>
            </w:pPr>
            <w:r>
              <w:rPr>
                <w:color w:val="auto"/>
                <w:highlight w:val="white"/>
              </w:rPr>
              <w:t xml:space="preserve">Không</w:t>
            </w:r>
            <w:r>
              <w:rPr>
                <w:color w:val="auto"/>
                <w:highlight w:val="white"/>
              </w:rPr>
            </w:r>
            <w:r>
              <w:rPr>
                <w:color w:val="auto"/>
                <w:highlight w:val="white"/>
              </w:rPr>
            </w:r>
          </w:p>
        </w:tc>
        <w:tc>
          <w:tcPr>
            <w:tcBorders/>
            <w:tcW w:w="2149" w:type="dxa"/>
            <w:vAlign w:val="center"/>
            <w:textDirection w:val="lrTb"/>
            <w:noWrap w:val="false"/>
          </w:tcPr>
          <w:p>
            <w:pPr>
              <w:pBdr/>
              <w:spacing/>
              <w:ind/>
              <w:jc w:val="center"/>
              <w:rPr>
                <w:color w:val="auto"/>
                <w:highlight w:val="white"/>
              </w:rPr>
            </w:pPr>
            <w:r>
              <w:rPr>
                <w:color w:val="auto"/>
                <w:highlight w:val="white"/>
              </w:rPr>
            </w:r>
            <w:r>
              <w:rPr>
                <w:color w:val="auto"/>
                <w:highlight w:val="white"/>
              </w:rPr>
            </w:r>
            <w:r>
              <w:rPr>
                <w:color w:val="auto"/>
                <w:highlight w:val="white"/>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1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Tân Hồng,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Tân Hồng,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Tân Hồng, Thị xã Từ Sơn, Tỉnh Bắc Ninh</w:t>
            </w:r>
            <w:r>
              <w:rPr>
                <w:sz w:val="22"/>
                <w:szCs w:val="22"/>
              </w:rPr>
            </w:r>
            <w:r>
              <w:rPr>
                <w:sz w:val="22"/>
                <w:szCs w:val="22"/>
              </w:rPr>
            </w:r>
          </w:p>
        </w:tc>
      </w:tr>
      <w:tr>
        <w:trPr>
          <w:trHeight w:val="26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https://www.facebook.com/share/p/17yNwZ9Hah/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https://guland.vn/post/ban-dat-100m2-full-tho-cu-ngang-5m-gia-12-ty-tai-khu-do-thi-phu-dien-tan-hong-phuong-tu-son-khong-1-loi-nho-1917154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0865 351 726</w:t>
            </w:r>
            <w:r>
              <w:rPr>
                <w:sz w:val="22"/>
                <w:szCs w:val="22"/>
              </w:rPr>
              <w:t xml:space="preserve"> </w:t>
            </w:r>
            <w:r>
              <w:rPr>
                <w:sz w:val="22"/>
                <w:szCs w:val="22"/>
              </w:rPr>
              <w:br/>
              <w:t xml:space="preserve">(</w:t>
            </w:r>
            <w:r>
              <w:rPr>
                <w:sz w:val="22"/>
                <w:szCs w:val="22"/>
              </w:rPr>
              <w:t xml:space="preserve">Thoa Trần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0888 585555</w:t>
            </w:r>
            <w:r>
              <w:rPr>
                <w:sz w:val="22"/>
                <w:szCs w:val="22"/>
              </w:rPr>
              <w:br/>
            </w:r>
            <w:r>
              <w:rPr>
                <w:sz w:val="22"/>
                <w:szCs w:val="22"/>
              </w:rPr>
              <w:t xml:space="preserve">(</w:t>
            </w:r>
            <w:r>
              <w:rPr>
                <w:sz w:val="22"/>
                <w:szCs w:val="22"/>
              </w:rPr>
              <w:t xml:space="preserve">Thực Đồng Kỵ</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0966.686029</w:t>
            </w:r>
            <w:r>
              <w:rPr>
                <w:sz w:val="22"/>
                <w:szCs w:val="22"/>
              </w:rPr>
              <w:br/>
            </w:r>
            <w:r>
              <w:rPr>
                <w:sz w:val="22"/>
                <w:szCs w:val="22"/>
              </w:rPr>
              <w:t xml:space="preserve">(</w:t>
            </w:r>
            <w:r>
              <w:rPr>
                <w:sz w:val="22"/>
                <w:szCs w:val="22"/>
              </w:rPr>
              <w:t xml:space="preserve">Nguyễn Thế Trung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trong KĐT Tân Hồng, Phường Từ Sơn, tỉnh Bắc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Tài sản nằm trong KĐT Tân Hồng, Phường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Tài sản nằm trong KĐT Tân Hồng, Phường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Tài sản nằm trong KĐT Tân Hồng, Phường Từ Sơn, tỉnh Bắc Ninh</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7m+ 4m vỉa hè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7m+ 4m vỉa hè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7m+ 4m vỉa hè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7m+ 4m vỉa hè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 và 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sz w:val="22"/>
                <w:szCs w:val="22"/>
                <w:highlight w:val="none"/>
              </w:rPr>
              <w:t xml:space="preserve">Hình chữ nhật, Hơi vạt góc</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Đối diện công viên Phú Điền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Không có lợi thế thương mại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Không có lợi thế thương mại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Đường đâm vào mặt tiền tài sản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05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03 tầng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Nhà 03 tầng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600,3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270,0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18.858.000.000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themeColor="text1"/>
                <w:sz w:val="22"/>
                <w:szCs w:val="22"/>
              </w:rPr>
            </w:pPr>
            <w:r>
              <w:rPr>
                <w:b/>
                <w:bCs/>
                <w:i/>
                <w:iCs/>
                <w:color w:val="000000" w:themeColor="text1"/>
                <w:sz w:val="22"/>
                <w:szCs w:val="22"/>
              </w:rPr>
              <w:t xml:space="preserve">1.558.098.288</w:t>
            </w:r>
            <w:r>
              <w:rPr>
                <w:b/>
                <w:bCs/>
                <w:i/>
                <w:color w:val="000000" w:themeColor="text1"/>
                <w:sz w:val="22"/>
                <w:szCs w:val="22"/>
              </w:rPr>
            </w:r>
            <w:r>
              <w:rPr>
                <w:b/>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themeColor="text1"/>
                <w:sz w:val="22"/>
                <w:szCs w:val="22"/>
              </w:rPr>
              <w:t xml:space="preserve">1.597.050.745</w:t>
            </w:r>
            <w:r>
              <w:rPr>
                <w:b/>
                <w:bCs/>
                <w:i/>
                <w:color w:val="000000"/>
                <w:sz w:val="22"/>
                <w:szCs w:val="22"/>
              </w:rPr>
            </w:r>
            <w:r>
              <w:rPr>
                <w:b/>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sz w:val="22"/>
                <w:szCs w:val="22"/>
              </w:rPr>
              <w:t xml:space="preserve">-</w:t>
            </w:r>
            <w:r>
              <w:rPr>
                <w:b/>
                <w:bCs/>
                <w:i/>
                <w:color w:val="000000"/>
                <w:sz w:val="22"/>
                <w:szCs w:val="22"/>
              </w:rPr>
            </w:r>
            <w:r>
              <w:rPr>
                <w:b/>
                <w:bCs/>
                <w:i/>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7.213.418</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7.213.418</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72</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82</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100</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100</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17.299.901.712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10.552.949.255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10.850.000.000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172.999.017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117.254.992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108.500.000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17.299.901.712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10.552.949.255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10.850.000.000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172.999.017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117.254.992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108.500.000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173.419.017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117.254.992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trong KĐT Tân Hồng, Phường Từ Sơn, tỉnh Bắc Ninh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Tài sản nằm trong KĐT Tân Hồng, Phường Từ Sơn, tỉnh Bắc Ninh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Tài sản nằm tại làn 2 trong KĐT Tân Hồng, Phường Từ Sơn, tỉnh Bắc Ninh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Tài sản nằm trong KĐT Tân Hồng, Phường Từ Sơn, tỉnh Bắc Ninh</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5.862.750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173.419.017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123.117.742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 </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173.419.017</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123.117.742</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113.400.000</w:t>
            </w:r>
            <w:r>
              <w:rPr>
                <w:b w:val="0"/>
                <w:bCs w:val="0"/>
                <w:color w:val="000000"/>
                <w:sz w:val="22"/>
                <w:szCs w:val="22"/>
              </w:rPr>
            </w:r>
            <w:r>
              <w:rPr>
                <w:b w:val="0"/>
                <w:bCs w:val="0"/>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7m+ 4m vỉa hè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7m+ 4m vỉa hè </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7m+ 4m vỉa hè </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7m+ 4m vỉa hè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 </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0%</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0%</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0%</w:t>
            </w:r>
            <w:r>
              <w:rPr>
                <w:b w:val="0"/>
                <w:bCs w:val="0"/>
                <w:color w:val="000000"/>
                <w:sz w:val="22"/>
                <w:szCs w:val="22"/>
              </w:rPr>
            </w:r>
            <w:r>
              <w:rPr>
                <w:b w:val="0"/>
                <w:bCs w:val="0"/>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173.419.017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123.117.742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-26.012.853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-21.105.899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147.406.164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102.011.843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97.625.000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12.139.331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8.207.849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159.545.495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110.219.692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105.220.000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12.139.331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8.207.849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171.684.826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118.427.541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112.815.000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Hình chữ nhật, hơi vạt góc</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171.684.826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118.427.541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112.815.000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Không có lợi thế </w:t>
            </w:r>
            <w:r>
              <w:rPr>
                <w:b w:val="0"/>
                <w:bCs w:val="0"/>
                <w:color w:val="000000" w:themeColor="text1"/>
                <w:sz w:val="22"/>
                <w:szCs w:val="22"/>
              </w:rPr>
              <w:t xml:space="preserve">kinh doanh</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Đối diện công viên Phú Điền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b w:val="0"/>
                <w:bCs w:val="0"/>
                <w:color w:val="000000" w:themeColor="text1"/>
                <w:sz w:val="22"/>
                <w:szCs w:val="22"/>
              </w:rPr>
              <w:t xml:space="preserve">Không có lợi thế </w:t>
            </w:r>
            <w:r>
              <w:rPr>
                <w:b w:val="0"/>
                <w:bCs w:val="0"/>
                <w:color w:val="000000" w:themeColor="text1"/>
                <w:sz w:val="22"/>
                <w:szCs w:val="22"/>
              </w:rPr>
              <w:t xml:space="preserve">kinh doanh</w:t>
            </w:r>
            <w:r>
              <w:rPr>
                <w:b w:val="0"/>
                <w:bCs w:val="0"/>
                <w:color w:val="000000"/>
                <w:sz w:val="22"/>
                <w:szCs w:val="22"/>
              </w:rPr>
            </w:r>
            <w:r/>
          </w:p>
        </w:tc>
        <w:tc>
          <w:tcPr>
            <w:shd w:val="clear" w:color="000000" w:fill="ffffff"/>
            <w:tcBorders/>
            <w:tcW w:w="1522" w:type="dxa"/>
            <w:vAlign w:val="center"/>
            <w:textDirection w:val="lrTb"/>
            <w:noWrap w:val="false"/>
          </w:tcPr>
          <w:p>
            <w:pPr>
              <w:pBdr/>
              <w:spacing/>
              <w:ind/>
              <w:jc w:val="center"/>
              <w:rPr/>
            </w:pPr>
            <w:r>
              <w:rPr>
                <w:b w:val="0"/>
                <w:bCs w:val="0"/>
                <w:color w:val="000000" w:themeColor="text1"/>
                <w:sz w:val="22"/>
                <w:szCs w:val="22"/>
              </w:rPr>
              <w:t xml:space="preserve">Không có lợi thế </w:t>
            </w:r>
            <w:r>
              <w:rPr>
                <w:b w:val="0"/>
                <w:bCs w:val="0"/>
                <w:color w:val="000000" w:themeColor="text1"/>
                <w:sz w:val="22"/>
                <w:szCs w:val="22"/>
              </w:rPr>
              <w:t xml:space="preserve">kinh doanh</w:t>
            </w:r>
            <w:r>
              <w:rPr>
                <w:b w:val="0"/>
                <w:bCs w:val="0"/>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-34.683.803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137.001.023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118.427.541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112.815.000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đâm thằng vào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11.725.499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137.001.023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130.153.040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112.815.000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136.581.023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130.153.040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112.815.000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126.516.354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-10,83%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84.975.318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55.109.846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36.865.000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36.417.994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12.898.048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4.315.000</w:t>
            </w:r>
            <w:r>
              <w:rPr>
                <w:sz w:val="22"/>
                <w:szCs w:val="22"/>
              </w:rPr>
            </w:r>
            <w:r>
              <w:rPr>
                <w:sz w:val="22"/>
                <w:szCs w:val="22"/>
              </w:rPr>
            </w:r>
          </w:p>
        </w:tc>
      </w:tr>
    </w:tbl>
    <w:p>
      <w:pPr>
        <w:pBdr/>
        <w:spacing w:after="120" w:before="120" w:line="264"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64"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-10,83</w:t>
      </w:r>
      <w:r>
        <w:t xml:space="preserve">% đến </w:t>
      </w:r>
      <w:r>
        <w:t xml:space="preserve">7,96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136.581.023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45.536.113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130.153.040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43.380.008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112.815.000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37.601.240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126.517.361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126.500.000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126.500.000</w:t>
      </w:r>
      <w:r>
        <w:rPr>
          <w:b/>
          <w:bCs/>
          <w:color w:val="000000" w:themeColor="text1"/>
        </w:rPr>
        <w:t xml:space="preserve"> </w:t>
      </w:r>
      <w:r>
        <w:rPr>
          <w:b/>
          <w:bCs/>
        </w:rPr>
        <w:t xml:space="preserve">đồng/m².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   2. Xác định giá trị tài sản gắn liền với đất</w:t>
      </w:r>
      <w:r/>
    </w:p>
    <w:p>
      <w:pPr>
        <w:numPr>
          <w:ilvl w:val="0"/>
          <w:numId w:val="45"/>
        </w:numPr>
        <w:pBdr>
          <w:top w:val="none" w:color="000000" w:sz="4" w:space="0"/>
          <w:left w:val="none" w:color="000000" w:sz="4" w:space="0"/>
          <w:bottom w:val="none" w:color="000000" w:sz="4" w:space="0"/>
          <w:right w:val="none" w:color="000000" w:sz="4" w:space="0"/>
        </w:pBdr>
        <w:spacing w:after="120" w:before="120" w:line="312"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highlight w:val="white"/>
        </w:rPr>
      </w:pPr>
      <w:r>
        <w:rPr>
          <w:rFonts w:ascii="Times New Roman" w:hAnsi="Times New Roman" w:eastAsia="Times New Roman" w:cs="Times New Roman"/>
          <w:color w:val="000000"/>
          <w:sz w:val="24"/>
          <w:highlight w:val="white"/>
        </w:rPr>
        <w:t xml:space="preserve">Qua tham khảo thị trường về đơn giá xây dựng mới đối với công trình N</w:t>
      </w:r>
      <w:r>
        <w:rPr>
          <w:rFonts w:ascii="Times New Roman" w:hAnsi="Times New Roman" w:eastAsia="Times New Roman" w:cs="Times New Roman"/>
          <w:color w:val="000000"/>
          <w:sz w:val="24"/>
          <w:highlight w:val="white"/>
        </w:rPr>
        <w:t xml:space="preserve">hà 05 tầng, </w:t>
      </w:r>
      <w:r>
        <w:rPr>
          <w:rFonts w:ascii="Times New Roman" w:hAnsi="Times New Roman" w:eastAsia="Times New Roman" w:cs="Times New Roman"/>
          <w:color w:val="000000"/>
          <w:sz w:val="24"/>
          <w:highlight w:val="white"/>
        </w:rPr>
        <w:t xml:space="preserve">cân nhắc và xem xét với mức độ hoàn thiện của công trình xây dựng hiện có, Tổ thẩm định nhận thấy đơn giá vận dụng theo Quyết định số 425/QĐ-BXD ngày 30/3/2026 của Bộ Xây dựng </w:t>
      </w:r>
      <w:r>
        <w:rPr>
          <w:rFonts w:ascii="Times New Roman" w:hAnsi="Times New Roman" w:eastAsia="Times New Roman" w:cs="Times New Roman"/>
          <w:color w:val="000000"/>
          <w:sz w:val="24"/>
          <w:highlight w:val="white"/>
        </w:rPr>
        <w:t xml:space="preserve">về việc Công bố suất vốn đầu tư xây dựng công trình và giá xây dựng tổng hợp bộ phận kết cấu công trình năm 2025 là khá phù hợp với thị trường, theo đó:</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highlight w:val="white"/>
        </w:rPr>
      </w:pPr>
      <w:r>
        <w:rPr>
          <w:rFonts w:ascii="Times New Roman" w:hAnsi="Times New Roman" w:eastAsia="Times New Roman" w:cs="Times New Roman"/>
          <w:i/>
          <w:color w:val="000000"/>
          <w:sz w:val="24"/>
          <w:highlight w:val="white"/>
        </w:rPr>
        <w:t xml:space="preserve">“Suất vốn đầu tư xây dựng Nhà từ 4 đến 5 tầng, kết cấu khung chịu lực BTCT; tường bao xây gạch; sàn, mái BTCT đổ tại chỗ, không có tầng hầm, diện tích xây dựng từ 90 – dưới 140m² có đơn giá là </w:t>
      </w:r>
      <w:r>
        <w:rPr>
          <w:rFonts w:ascii="Times New Roman" w:hAnsi="Times New Roman" w:eastAsia="Times New Roman" w:cs="Times New Roman"/>
          <w:b/>
          <w:i/>
          <w:color w:val="000000"/>
          <w:sz w:val="24"/>
          <w:highlight w:val="white"/>
        </w:rPr>
        <w:t xml:space="preserve">7.630.000 </w:t>
      </w:r>
      <w:r>
        <w:rPr>
          <w:rFonts w:ascii="Times New Roman" w:hAnsi="Times New Roman" w:eastAsia="Times New Roman" w:cs="Times New Roman"/>
          <w:i/>
          <w:color w:val="000000"/>
          <w:sz w:val="24"/>
          <w:highlight w:val="white"/>
        </w:rPr>
        <w:t xml:space="preserve">đồng/m² sàn.”</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Tỉnh Bắc Ninh thuộc vùng 2 có hệ số điều chỉnh là </w:t>
      </w:r>
      <w:r>
        <w:rPr>
          <w:rFonts w:ascii="Times New Roman" w:hAnsi="Times New Roman" w:eastAsia="Times New Roman" w:cs="Times New Roman"/>
          <w:b/>
          <w:i/>
          <w:color w:val="000000"/>
          <w:sz w:val="24"/>
        </w:rPr>
        <w:t xml:space="preserve">0,948</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b w:val="0"/>
          <w:bCs w:val="0"/>
          <w:color w:val="000000" w:themeColor="text1"/>
        </w:rPr>
      </w:pPr>
      <w:r>
        <w:rPr>
          <w:rFonts w:ascii="Times New Roman" w:hAnsi="Times New Roman" w:eastAsia="Times New Roman" w:cs="Times New Roman"/>
          <w:b w:val="0"/>
          <w:bCs w:val="0"/>
          <w:i/>
          <w:color w:val="000000" w:themeColor="text1"/>
          <w:sz w:val="24"/>
        </w:rPr>
        <w:t xml:space="preserve">Do đó, Tổ thẩm định xác định đơn giá xây mới của công trình xây dựng là: (Suất đầu tư xây dựng) x (Hệ số vùng) = 7.630.000 x 0,948 = </w:t>
      </w:r>
      <w:r>
        <w:rPr>
          <w:rFonts w:ascii="Times New Roman" w:hAnsi="Times New Roman" w:eastAsia="Times New Roman" w:cs="Times New Roman"/>
          <w:b/>
          <w:bCs/>
          <w:i/>
          <w:color w:val="000000" w:themeColor="text1"/>
          <w:sz w:val="24"/>
        </w:rPr>
        <w:t xml:space="preserve">7.233.240</w:t>
      </w:r>
      <w:r>
        <w:rPr>
          <w:rFonts w:ascii="Times New Roman" w:hAnsi="Times New Roman" w:eastAsia="Times New Roman" w:cs="Times New Roman"/>
          <w:b w:val="0"/>
          <w:bCs w:val="0"/>
          <w:i/>
          <w:color w:val="000000" w:themeColor="text1"/>
          <w:sz w:val="24"/>
        </w:rPr>
        <w:t xml:space="preserve"> </w:t>
      </w:r>
      <w:r>
        <w:rPr>
          <w:rFonts w:ascii="Times New Roman" w:hAnsi="Times New Roman" w:eastAsia="Times New Roman" w:cs="Times New Roman"/>
          <w:b w:val="0"/>
          <w:bCs w:val="0"/>
          <w:color w:val="000000" w:themeColor="text1"/>
          <w:sz w:val="24"/>
        </w:rPr>
        <w:t xml:space="preserve">đồng</w:t>
      </w:r>
      <w:r>
        <w:rPr>
          <w:rFonts w:ascii="Times New Roman" w:hAnsi="Times New Roman" w:eastAsia="Times New Roman" w:cs="Times New Roman"/>
          <w:b w:val="0"/>
          <w:bCs w:val="0"/>
          <w:i/>
          <w:color w:val="000000" w:themeColor="text1"/>
          <w:sz w:val="24"/>
        </w:rPr>
        <w:t xml:space="preserve">/m² sàn. </w:t>
      </w:r>
      <w:r>
        <w:rPr>
          <w:b w:val="0"/>
          <w:bCs w:val="0"/>
          <w:color w:val="000000" w:themeColor="text1"/>
        </w:rPr>
      </w:r>
      <w:r>
        <w:rPr>
          <w:b w:val="0"/>
          <w:bCs w:val="0"/>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val="0"/>
          <w:bCs w:val="0"/>
          <w:color w:val="000000" w:themeColor="text1"/>
          <w:sz w:val="24"/>
        </w:rPr>
      </w:pPr>
      <w:r>
        <w:rPr>
          <w:rFonts w:ascii="Times New Roman" w:hAnsi="Times New Roman" w:eastAsia="Times New Roman" w:cs="Times New Roman"/>
          <w:b w:val="0"/>
          <w:bCs w:val="0"/>
          <w:color w:val="000000" w:themeColor="text1"/>
          <w:spacing w:val="2"/>
          <w:sz w:val="24"/>
        </w:rPr>
        <w:t xml:space="preserve">Tại thời điểm khảo sát, công trình xây dựng trên đất có hiện trạng xây thô, hoàn thiện mặt ngoài tham khảo thông tin thị trường, tổ thẩm định xác định tỉ lệ hoàn thiện khoảng 61,22%, tương ứng đơn giá xây mới của công trình hiện có là: </w:t>
      </w:r>
      <w:r>
        <w:rPr>
          <w:rFonts w:ascii="Times New Roman" w:hAnsi="Times New Roman" w:eastAsia="Times New Roman" w:cs="Times New Roman"/>
          <w:b w:val="0"/>
          <w:bCs w:val="0"/>
          <w:i w:val="0"/>
          <w:iCs w:val="0"/>
          <w:color w:val="000000" w:themeColor="text1"/>
          <w:sz w:val="24"/>
        </w:rPr>
        <w:t xml:space="preserve">7.233.240</w:t>
      </w:r>
      <w:r>
        <w:rPr>
          <w:rFonts w:ascii="Times New Roman" w:hAnsi="Times New Roman" w:eastAsia="Times New Roman" w:cs="Times New Roman"/>
          <w:b w:val="0"/>
          <w:bCs w:val="0"/>
          <w:i/>
          <w:color w:val="000000" w:themeColor="text1"/>
          <w:sz w:val="24"/>
        </w:rPr>
        <w:t xml:space="preserve"> </w:t>
      </w:r>
      <w:r>
        <w:rPr>
          <w:rFonts w:ascii="Times New Roman" w:hAnsi="Times New Roman" w:eastAsia="Times New Roman" w:cs="Times New Roman"/>
          <w:b w:val="0"/>
          <w:bCs w:val="0"/>
          <w:color w:val="000000" w:themeColor="text1"/>
          <w:spacing w:val="2"/>
          <w:sz w:val="24"/>
        </w:rPr>
        <w:t xml:space="preserve"> x 61,22% </w:t>
      </w:r>
      <w:r>
        <w:rPr>
          <w:rFonts w:ascii="Times New Roman" w:hAnsi="Times New Roman" w:eastAsia="Times New Roman" w:cs="Times New Roman"/>
          <w:b w:val="0"/>
          <w:bCs w:val="0"/>
          <w:color w:val="000000" w:themeColor="text1"/>
          <w:spacing w:val="2"/>
          <w:sz w:val="24"/>
        </w:rPr>
        <w:t xml:space="preserve">= </w:t>
      </w:r>
      <w:r>
        <w:rPr>
          <w:rFonts w:ascii="Times New Roman" w:hAnsi="Times New Roman" w:eastAsia="Times New Roman" w:cs="Times New Roman"/>
          <w:b/>
          <w:bCs/>
          <w:i w:val="0"/>
          <w:iCs w:val="0"/>
          <w:color w:val="000000" w:themeColor="text1"/>
          <w:sz w:val="24"/>
        </w:rPr>
        <w:t xml:space="preserve">4.428.190</w:t>
      </w:r>
      <w:r>
        <w:rPr>
          <w:rFonts w:ascii="Times New Roman" w:hAnsi="Times New Roman" w:eastAsia="Times New Roman" w:cs="Times New Roman"/>
          <w:b/>
          <w:bCs/>
          <w:i w:val="0"/>
          <w:iCs w:val="0"/>
          <w:color w:val="000000" w:themeColor="text1"/>
          <w:sz w:val="24"/>
        </w:rPr>
        <w:t xml:space="preserve"> đ</w:t>
      </w:r>
      <w:r>
        <w:rPr>
          <w:rFonts w:ascii="Times New Roman" w:hAnsi="Times New Roman" w:eastAsia="Times New Roman" w:cs="Times New Roman"/>
          <w:b/>
          <w:bCs/>
          <w:i w:val="0"/>
          <w:iCs w:val="0"/>
          <w:color w:val="000000" w:themeColor="text1"/>
          <w:spacing w:val="3"/>
          <w:sz w:val="24"/>
          <w:highlight w:val="white"/>
        </w:rPr>
        <w:t xml:space="preserve">ồng/m² sàn.</w:t>
      </w:r>
      <w:r>
        <w:rPr>
          <w:rFonts w:ascii="Times New Roman" w:hAnsi="Times New Roman" w:eastAsia="Times New Roman" w:cs="Times New Roman"/>
          <w:b w:val="0"/>
          <w:bCs w:val="0"/>
          <w:color w:val="000000" w:themeColor="text1"/>
          <w:spacing w:val="3"/>
          <w:sz w:val="24"/>
          <w:highlight w:val="white"/>
        </w:rPr>
        <w:t xml:space="preserve"> </w:t>
      </w:r>
      <w:r>
        <w:rPr>
          <w:rFonts w:ascii="Times New Roman" w:hAnsi="Times New Roman" w:eastAsia="Times New Roman" w:cs="Times New Roman"/>
          <w:b w:val="0"/>
          <w:bCs w:val="0"/>
          <w:color w:val="000000" w:themeColor="text1"/>
          <w:sz w:val="24"/>
        </w:rPr>
      </w:r>
      <w:r>
        <w:rPr>
          <w:rFonts w:ascii="Times New Roman" w:hAnsi="Times New Roman" w:eastAsia="Times New Roman" w:cs="Times New Roman"/>
          <w:b w:val="0"/>
          <w:bCs w:val="0"/>
          <w:color w:val="000000" w:themeColor="text1"/>
          <w:sz w:val="24"/>
        </w:rP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hao mòn theo kỹ thuật tuổi đời: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Tỉ lệ hao mòn được tính toán theo phương pháp tuổi đời: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 Tỉ lệ hao mòn = Tuổi đời hiệu quả/ Tuổi đời kinh tế</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color w:val="000000" w:themeColor="text1"/>
        </w:rPr>
      </w:pPr>
      <w:r>
        <w:rPr>
          <w:rFonts w:ascii="Times New Roman" w:hAnsi="Times New Roman" w:eastAsia="Times New Roman" w:cs="Times New Roman"/>
          <w:color w:val="000000" w:themeColor="text1"/>
          <w:spacing w:val="2"/>
          <w:sz w:val="24"/>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khách hàng cung cấp, công trình xây dựng được hoàn thành năm 20</w:t>
      </w:r>
      <w:r>
        <w:rPr>
          <w:rFonts w:ascii="Times New Roman" w:hAnsi="Times New Roman" w:eastAsia="Times New Roman" w:cs="Times New Roman"/>
          <w:color w:val="000000" w:themeColor="text1"/>
          <w:spacing w:val="2"/>
          <w:sz w:val="24"/>
        </w:rPr>
        <w:t xml:space="preserve">26, do đó, Tổ thẩm định ước tính tuổi đời hiệu quả của công trình là khoảng 1 năm</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color w:val="000000" w:themeColor="text1"/>
        </w:rPr>
      </w:pPr>
      <w:r>
        <w:rPr>
          <w:rFonts w:ascii="Times New Roman" w:hAnsi="Times New Roman" w:eastAsia="Times New Roman" w:cs="Times New Roman"/>
          <w:color w:val="000000" w:themeColor="text1"/>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themeColor="text1"/>
          <w:sz w:val="24"/>
        </w:rPr>
        <w:t xml:space="preserve">ông trình, Tổ thẩm định xác định tuổi đời kinh tế của tài sản thẩm định là 50 năm. </w:t>
      </w:r>
      <w:r>
        <w:rPr>
          <w:color w:val="000000" w:themeColor="text1"/>
        </w:rPr>
      </w:r>
      <w:r>
        <w:rPr>
          <w:color w:val="000000" w:themeColor="text1"/>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67"/>
        <w:gridCol w:w="1868"/>
        <w:gridCol w:w="2085"/>
        <w:gridCol w:w="2086"/>
        <w:gridCol w:w="2086"/>
        <w:gridCol w:w="2085"/>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Tên tài sản</w:t>
            </w:r>
            <w:r>
              <w:rPr>
                <w:color w:val="000000" w:themeColor="text1"/>
                <w:highlight w:val="white"/>
              </w:rPr>
            </w:r>
            <w:r>
              <w:rPr>
                <w:color w:val="000000" w:themeColor="text1"/>
                <w:highlight w:val="white"/>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68"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Năm xây dựng hoàn thành</w:t>
            </w:r>
            <w:r>
              <w:rPr>
                <w:color w:val="000000" w:themeColor="text1"/>
                <w:highlight w:val="white"/>
              </w:rPr>
            </w:r>
            <w:r>
              <w:rPr>
                <w:color w:val="000000" w:themeColor="text1"/>
                <w:highlight w:val="white"/>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Thời điểm thẩm định</w:t>
            </w:r>
            <w:r>
              <w:rPr>
                <w:color w:val="000000" w:themeColor="text1"/>
                <w:highlight w:val="white"/>
              </w:rPr>
            </w:r>
            <w:r>
              <w:rPr>
                <w:color w:val="000000" w:themeColor="text1"/>
                <w:highlight w:val="white"/>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Tuổi đời kinh tế (năm)</w:t>
            </w:r>
            <w:r>
              <w:rPr>
                <w:color w:val="000000" w:themeColor="text1"/>
                <w:highlight w:val="white"/>
              </w:rPr>
            </w:r>
            <w:r>
              <w:rPr>
                <w:color w:val="000000" w:themeColor="text1"/>
                <w:highlight w:val="white"/>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Tuổi đời hiệu quả (năm)</w:t>
            </w:r>
            <w:r>
              <w:rPr>
                <w:color w:val="000000" w:themeColor="text1"/>
                <w:highlight w:val="white"/>
              </w:rPr>
            </w:r>
            <w:r>
              <w:rPr>
                <w:color w:val="000000" w:themeColor="text1"/>
                <w:highlight w:val="white"/>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Tỉ lệ hao mòn (%)</w:t>
            </w:r>
            <w:r>
              <w:rPr>
                <w:color w:val="000000" w:themeColor="text1"/>
                <w:highlight w:val="white"/>
              </w:rPr>
            </w:r>
            <w:r>
              <w:rPr>
                <w:color w:val="000000" w:themeColor="text1"/>
                <w:highlight w:val="white"/>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Nhà 05 tầng </w:t>
            </w:r>
            <w:r>
              <w:rPr>
                <w:color w:val="000000" w:themeColor="text1"/>
                <w:highlight w:val="white"/>
              </w:rPr>
            </w:r>
            <w:r>
              <w:rPr>
                <w:color w:val="000000" w:themeColor="text1"/>
                <w:highlight w:val="white"/>
              </w:rPr>
            </w:r>
          </w:p>
        </w:tc>
        <w:tc>
          <w:tcPr>
            <w:tcBorders>
              <w:bottom w:val="single" w:color="000000" w:sz="5" w:space="0"/>
              <w:right w:val="single" w:color="000000" w:sz="5" w:space="0"/>
            </w:tcBorders>
            <w:tcMar>
              <w:left w:w="0" w:type="dxa"/>
              <w:top w:w="0" w:type="dxa"/>
              <w:right w:w="0" w:type="dxa"/>
              <w:bottom w:w="0" w:type="dxa"/>
            </w:tcMar>
            <w:tcW w:w="1868"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2025</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2026</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50</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1</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2%</w:t>
            </w:r>
            <w:r>
              <w:rPr>
                <w:color w:val="000000" w:themeColor="text1"/>
                <w:highlight w:val="white"/>
              </w:rPr>
            </w:r>
            <w:r>
              <w:rPr>
                <w:color w:val="000000" w:themeColor="text1"/>
                <w:highlight w:val="white"/>
              </w:rPr>
            </w:r>
          </w:p>
        </w:tc>
      </w:tr>
    </w:tbl>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highlight w:val="white"/>
        </w:rPr>
      </w:pPr>
      <w:r>
        <w:rPr>
          <w:rFonts w:ascii="Times New Roman" w:hAnsi="Times New Roman" w:eastAsia="Times New Roman" w:cs="Times New Roman"/>
          <w:color w:val="000000" w:themeColor="text1"/>
          <w:sz w:val="24"/>
          <w:highlight w:val="white"/>
        </w:rPr>
        <w:t xml:space="preserve">Tổ thẩm định xác định tỉ lệ hao mòn của tài sản thẩm định là</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2%, theo đó tỷ lệ chất lượng còn lại của tài sản là: </w:t>
      </w:r>
      <w:r>
        <w:rPr>
          <w:rFonts w:ascii="Times New Roman" w:hAnsi="Times New Roman" w:eastAsia="Times New Roman" w:cs="Times New Roman"/>
          <w:b/>
          <w:color w:val="000000"/>
          <w:sz w:val="24"/>
          <w:highlight w:val="white"/>
        </w:rPr>
        <w:t xml:space="preserve">98%</w:t>
      </w:r>
      <w:r>
        <w:rPr>
          <w:rFonts w:ascii="Times New Roman" w:hAnsi="Times New Roman" w:eastAsia="Times New Roman" w:cs="Times New Roman"/>
          <w:color w:val="000000"/>
          <w:sz w:val="24"/>
          <w:highlight w:val="white"/>
        </w:rPr>
        <w:t xml:space="preserve">.</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color w:val="000000" w:themeColor="text1"/>
        </w:rPr>
      </w:pPr>
      <w:r>
        <w:rPr>
          <w:color w:val="000000" w:themeColor="text1"/>
        </w:rPr>
      </w:r>
      <w:r>
        <w:rPr>
          <w:color w:val="000000" w:themeColor="text1"/>
        </w:rPr>
      </w:r>
      <w:r>
        <w:rPr>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2"/>
        <w:gridCol w:w="1088"/>
        <w:gridCol w:w="1983"/>
        <w:gridCol w:w="1890"/>
        <w:gridCol w:w="1701"/>
        <w:gridCol w:w="1702"/>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0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Diện tích sàn</w:t>
              <w:br/>
              <w:t xml:space="preserve"> (m²</w:t>
            </w:r>
            <w:r>
              <w:rPr>
                <w:rFonts w:ascii="Times New Roman" w:hAnsi="Times New Roman" w:eastAsia="Times New Roman" w:cs="Times New Roman"/>
                <w:b/>
                <w:color w:val="000000" w:themeColor="text1"/>
                <w:sz w:val="28"/>
              </w:rPr>
              <w:t xml:space="preserve">)</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Đơn giá xây dựng mới (đồng/m²)</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Chi phí thay thế (đồng)</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hao mòn (đồng)</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thẩm định tại thời điểm thẩm định giá (đồng)</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 = (2) * (3)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 = (4) - (5)</w:t>
            </w:r>
            <w:r>
              <w:rPr>
                <w:color w:val="000000" w:themeColor="text1"/>
              </w:rPr>
            </w:r>
            <w:r>
              <w:rPr>
                <w:color w:val="000000" w:themeColor="text1"/>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Nhà 05 tầng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088" w:type="dxa"/>
            <w:vAlign w:val="center"/>
            <w:textDirection w:val="lrTb"/>
            <w:noWrap/>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4"/>
              </w:rPr>
              <w:t xml:space="preserve">     600,3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4.428.190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2.658.242.457</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53.164.849</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2.605.077.608</w:t>
            </w:r>
            <w:r>
              <w:rPr>
                <w:color w:val="000000" w:themeColor="text1"/>
              </w:rPr>
            </w:r>
            <w:r>
              <w:rPr>
                <w:color w:val="000000" w:themeColor="text1"/>
              </w:rPr>
            </w:r>
          </w:p>
        </w:tc>
      </w:tr>
    </w:tbl>
    <w:p>
      <w:pPr>
        <w:pBdr/>
        <w:spacing w:after="120" w:before="120" w:line="276" w:lineRule="auto"/>
        <w:ind w:firstLine="0" w:left="0"/>
        <w:jc w:val="both"/>
        <w:rPr>
          <w:b/>
          <w:lang w:val="pt-BR"/>
        </w:rPr>
      </w:pPr>
      <w:r>
        <w:rPr>
          <w:b/>
          <w:lang w:val="pt-BR"/>
        </w:rPr>
        <w:t xml:space="preserve">3. Kết quả thẩm định giá:</w:t>
      </w:r>
      <w:r>
        <w:rPr>
          <w:b/>
          <w:lang w:val="pt-BR"/>
        </w:rPr>
      </w:r>
      <w:r>
        <w:rPr>
          <w:b/>
          <w:lang w:val="pt-BR"/>
        </w:rPr>
      </w:r>
    </w:p>
    <w:p>
      <w:pPr>
        <w:pStyle w:val="104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7/2026</w:t>
      </w:r>
      <w:r>
        <w:t xml:space="preserve"> </w:t>
      </w:r>
      <w:r>
        <w:t xml:space="preserve">ước tính </w:t>
      </w:r>
      <w:r>
        <w:t xml:space="preserve">như sau</w:t>
      </w:r>
      <w:r>
        <w:t xml:space="preserve">:</w:t>
      </w:r>
      <w:r>
        <w:rPr>
          <w:highlight w:val="none"/>
        </w:rPr>
      </w:r>
      <w:r>
        <w:rPr>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8"/>
        <w:gridCol w:w="3357"/>
        <w:gridCol w:w="1417"/>
        <w:gridCol w:w="1417"/>
        <w:gridCol w:w="1189"/>
        <w:gridCol w:w="1646"/>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35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89"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(đồng)</w:t>
            </w:r>
            <w:r/>
          </w:p>
        </w:tc>
      </w:tr>
      <w:tr>
        <w:trPr>
          <w:trHeight w:val="208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1" w:type="dxa"/>
            <w:vAlign w:val="center"/>
            <w:textDirection w:val="lrTb"/>
            <w:noWrap w:val="false"/>
          </w:tcPr>
          <w:p>
            <w:pPr>
              <w:pBdr/>
              <w:spacing w:after="60" w:before="60" w:line="324" w:lineRule="auto"/>
              <w:ind w:right="154" w:firstLine="0" w:left="142"/>
              <w:jc w:val="both"/>
              <w:rPr>
                <w:b/>
                <w:bCs/>
                <w:spacing w:val="2"/>
              </w:rPr>
            </w:pPr>
            <w:r>
              <w:rPr>
                <w:bCs/>
                <w:color w:val="000000" w:themeColor="text1"/>
                <w:lang w:val="pt-BR"/>
              </w:rPr>
            </w:r>
            <w:r>
              <w:rPr>
                <w:b/>
                <w:bCs/>
                <w:color w:val="000000"/>
              </w:rPr>
              <w:t xml:space="preserve">Quyền sử dụng đất và tài sản gắn liền với đất tại Thửa đất số: 168, tờ bản đồ số 218, địa chỉ: Phường Từ Sơn, tỉnh</w:t>
            </w:r>
            <w:r>
              <w:rPr>
                <w:b/>
                <w:bCs/>
                <w:color w:val="000000"/>
              </w:rPr>
              <w:t xml:space="preserve"> Bắc Ninh theo Giấy chứng nhận quyền sử dụng đất, quyền sở hữu tài sản gắn liền với đất số: AA 02207290, số vào sổ cấp GCN: VP 91 do Văn phòng Đăng ký đất đai Bắc Ninh số 2 cấp ngày 24/7/2025; Chủ sử dụng đất là Ông Trần Văn Xuân và vợ Ngô Thị Ánh Tuyết</w:t>
            </w:r>
            <w:r>
              <w:rPr>
                <w:b/>
                <w:bCs/>
                <w:i/>
                <w:iCs/>
              </w:rPr>
              <w:t xml:space="preserve">.</w:t>
            </w:r>
            <w:r>
              <w:rPr>
                <w:b/>
                <w:bCs/>
                <w:spacing w:val="2"/>
              </w:rPr>
            </w:r>
            <w:r>
              <w:rPr>
                <w:b/>
                <w:bCs/>
                <w:spacing w:val="2"/>
              </w:rP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357"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168,0</w:t>
            </w: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126.500.000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189"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76" w:lineRule="auto"/>
              <w:ind w:right="87" w:firstLine="0" w:left="0"/>
              <w:jc w:val="right"/>
              <w:rPr/>
            </w:pPr>
            <w:r>
              <w:rPr>
                <w:rFonts w:ascii="Times New Roman" w:hAnsi="Times New Roman" w:eastAsia="Times New Roman" w:cs="Times New Roman"/>
                <w:color w:val="000000"/>
                <w:sz w:val="24"/>
              </w:rPr>
              <w:t xml:space="preserve">21.252.000.000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357"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4"/>
              </w:rPr>
              <w:t xml:space="preserve">Nhà 05 tầng </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600,3</w:t>
            </w: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4.428.190</w:t>
            </w:r>
            <w:r/>
          </w:p>
        </w:tc>
        <w:tc>
          <w:tcPr>
            <w:shd w:val="clear" w:color="ffffff" w:fill="ffffff"/>
            <w:tcBorders>
              <w:bottom w:val="single" w:color="000000" w:sz="5" w:space="0"/>
              <w:right w:val="single" w:color="000000" w:sz="5" w:space="0"/>
            </w:tcBorders>
            <w:tcMar>
              <w:left w:w="0" w:type="dxa"/>
              <w:top w:w="0" w:type="dxa"/>
              <w:right w:w="0" w:type="dxa"/>
              <w:bottom w:w="0" w:type="dxa"/>
            </w:tcMar>
            <w:tcW w:w="1189"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98%</w:t>
            </w: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76" w:lineRule="auto"/>
              <w:ind w:right="87" w:firstLine="0" w:left="0"/>
              <w:jc w:val="right"/>
              <w:rPr>
                <w:color w:val="ff0000"/>
              </w:rPr>
            </w:pPr>
            <w:r>
              <w:rPr>
                <w:rFonts w:ascii="Times New Roman" w:hAnsi="Times New Roman" w:eastAsia="Times New Roman" w:cs="Times New Roman"/>
                <w:color w:val="ff0000"/>
                <w:sz w:val="24"/>
              </w:rPr>
              <w:t xml:space="preserve">2.605.077.608</w:t>
            </w:r>
            <w:r>
              <w:rPr>
                <w:color w:val="ff0000"/>
              </w:rPr>
            </w:r>
            <w:r>
              <w:rPr>
                <w:color w:val="ff0000"/>
              </w:rP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79"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646" w:type="dxa"/>
            <w:vAlign w:val="center"/>
            <w:textDirection w:val="lrTb"/>
            <w:noWrap/>
          </w:tcPr>
          <w:p>
            <w:pPr>
              <w:pBdr/>
              <w:spacing w:after="0" w:before="0" w:line="276" w:lineRule="auto"/>
              <w:ind w:right="87" w:firstLine="0" w:left="0"/>
              <w:jc w:val="right"/>
              <w:rPr>
                <w:color w:val="ff0000"/>
              </w:rPr>
            </w:pPr>
            <w:r>
              <w:rPr>
                <w:rFonts w:ascii="Times New Roman" w:hAnsi="Times New Roman" w:eastAsia="Times New Roman" w:cs="Times New Roman"/>
                <w:b/>
                <w:color w:val="ff0000"/>
                <w:sz w:val="24"/>
              </w:rPr>
              <w:t xml:space="preserve">23.857.077.608</w:t>
            </w:r>
            <w:r>
              <w:rPr>
                <w:color w:val="ff0000"/>
              </w:rPr>
            </w:r>
            <w:r>
              <w:rPr>
                <w:color w:val="ff0000"/>
              </w:rP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79"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646" w:type="dxa"/>
            <w:vAlign w:val="center"/>
            <w:textDirection w:val="lrTb"/>
            <w:noWrap/>
          </w:tcPr>
          <w:p>
            <w:pPr>
              <w:pBdr/>
              <w:spacing w:after="0" w:before="0" w:line="276" w:lineRule="auto"/>
              <w:ind w:right="87" w:firstLine="0" w:left="0"/>
              <w:jc w:val="right"/>
              <w:rPr/>
            </w:pPr>
            <w:r>
              <w:rPr>
                <w:rFonts w:ascii="Times New Roman" w:hAnsi="Times New Roman" w:eastAsia="Times New Roman" w:cs="Times New Roman"/>
                <w:b/>
                <w:color w:val="000000"/>
                <w:sz w:val="24"/>
              </w:rPr>
              <w:t xml:space="preserve">23.857.000.000</w:t>
            </w:r>
            <w:r/>
          </w:p>
        </w:tc>
      </w:tr>
      <w:tr>
        <w:trPr>
          <w:trHeight w:val="309"/>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Hai mươi ba tỷ, tám trăm năm mươi bảy triệu đồng chẵn./.)</w:t>
            </w:r>
            <w:r/>
          </w:p>
        </w:tc>
      </w:tr>
    </w:tbl>
    <w:p>
      <w:pPr>
        <w:pStyle w:val="1041"/>
        <w:pBdr/>
        <w:tabs>
          <w:tab w:val="left" w:leader="none" w:pos="993"/>
        </w:tabs>
        <w:spacing w:after="120" w:before="120" w:line="33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33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20" w:before="120" w:line="33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33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1"/>
        <w:numPr>
          <w:ilvl w:val="0"/>
          <w:numId w:val="5"/>
        </w:numPr>
        <w:pBdr/>
        <w:tabs>
          <w:tab w:val="left" w:leader="none" w:pos="993"/>
        </w:tabs>
        <w:spacing w:after="120" w:before="120" w:line="336"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20" w:before="120" w:line="33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20" w:before="120" w:line="33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20" w:before="120" w:line="33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20" w:before="120" w:line="33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20" w:before="120" w:line="33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20" w:before="120" w:line="33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33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20" w:before="120" w:line="33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20" w:before="120" w:line="33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20" w:before="120" w:line="33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20" w:before="120" w:line="33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20" w:before="120" w:line="33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20" w:before="120" w:line="33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33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1"/>
        <w:numPr>
          <w:ilvl w:val="0"/>
          <w:numId w:val="5"/>
        </w:numPr>
        <w:pBdr/>
        <w:spacing w:after="120" w:before="120" w:line="33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5"/>
        </w:numPr>
        <w:pBdr/>
        <w:tabs>
          <w:tab w:val="left" w:leader="none" w:pos="993"/>
        </w:tabs>
        <w:spacing w:after="120" w:before="120" w:line="336"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1"/>
        <w:numPr>
          <w:ilvl w:val="0"/>
          <w:numId w:val="3"/>
        </w:numPr>
        <w:pBdr/>
        <w:tabs>
          <w:tab w:val="left" w:leader="none" w:pos="993"/>
        </w:tabs>
        <w:spacing w:after="120" w:before="120" w:line="33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20" w:before="120" w:line="33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20" w:before="120" w:line="336"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3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33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20" w:before="120" w:line="33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1"/>
        <w:pBdr/>
        <w:tabs>
          <w:tab w:val="left" w:leader="none" w:pos="993"/>
        </w:tabs>
        <w:spacing w:after="120" w:before="120" w:line="336" w:lineRule="auto"/>
        <w:ind w:left="0"/>
        <w:jc w:val="both"/>
        <w:rPr>
          <w:highlight w:val="none"/>
          <w:lang w:val="vi-VN"/>
        </w:rPr>
      </w:pPr>
      <w:r>
        <w:rPr>
          <w:highlight w:val="none"/>
          <w:lang w:val="vi-VN"/>
        </w:rPr>
      </w:r>
      <w:r>
        <w:rPr>
          <w:highlight w:val="none"/>
          <w:lang w:val="vi-VN"/>
        </w:rPr>
      </w:r>
      <w:r>
        <w:rPr>
          <w:highlight w:val="none"/>
          <w:lang w:val="vi-VN"/>
        </w:rPr>
      </w:r>
    </w:p>
    <w:p>
      <w:pPr>
        <w:pStyle w:val="1041"/>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1"/>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1"/>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275/2026/1044/VFI-CT.53.A</w:t>
      </w:r>
      <w:r>
        <w:rPr>
          <w:color w:val="ff0000"/>
          <w:lang w:val="vi-VN"/>
        </w:rPr>
        <w:t xml:space="preserve"> </w:t>
      </w:r>
      <w:r>
        <w:rPr>
          <w:color w:val="000000" w:themeColor="text1"/>
        </w:rPr>
        <w:t xml:space="preserve">ngày 10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275/2026/1044/VFI-BC.53.A</w:t>
      </w:r>
      <w:r>
        <w:rPr>
          <w:i/>
        </w:rPr>
        <w:t xml:space="preserve"> ngày</w:t>
      </w:r>
      <w:r>
        <w:rPr>
          <w:i/>
          <w:lang w:val="pt-BR"/>
        </w:rPr>
        <w:t xml:space="preserve">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65984" cy="236885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2891" name=""/>
                              <pic:cNvPicPr>
                                <a:picLocks noChangeAspect="1"/>
                              </pic:cNvPicPr>
                              <pic:nvPr/>
                            </pic:nvPicPr>
                            <pic:blipFill rotWithShape="1">
                              <a:blip r:embed="rId18"/>
                              <a:stretch/>
                            </pic:blipFill>
                            <pic:spPr bwMode="auto">
                              <a:xfrm flipH="0" flipV="0">
                                <a:off x="0" y="0"/>
                                <a:ext cx="1065984" cy="23688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3.94pt;height:186.52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20385" cy="196528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86333" name=""/>
                              <pic:cNvPicPr>
                                <a:picLocks noChangeAspect="1"/>
                              </pic:cNvPicPr>
                              <pic:nvPr/>
                            </pic:nvPicPr>
                            <pic:blipFill rotWithShape="1">
                              <a:blip r:embed="rId19"/>
                              <a:stretch/>
                            </pic:blipFill>
                            <pic:spPr bwMode="auto">
                              <a:xfrm flipH="0" flipV="0">
                                <a:off x="0" y="0"/>
                                <a:ext cx="2620384" cy="19652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6.33pt;height:154.75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84469" cy="201335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02951" name=""/>
                              <pic:cNvPicPr>
                                <a:picLocks noChangeAspect="1"/>
                              </pic:cNvPicPr>
                              <pic:nvPr/>
                            </pic:nvPicPr>
                            <pic:blipFill rotWithShape="1">
                              <a:blip r:embed="rId20"/>
                              <a:stretch/>
                            </pic:blipFill>
                            <pic:spPr bwMode="auto">
                              <a:xfrm flipH="0" flipV="0">
                                <a:off x="0" y="0"/>
                                <a:ext cx="2684468" cy="20133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1.38pt;height:158.53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5412" cy="217905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43036" name=""/>
                              <pic:cNvPicPr>
                                <a:picLocks noChangeAspect="1"/>
                              </pic:cNvPicPr>
                              <pic:nvPr/>
                            </pic:nvPicPr>
                            <pic:blipFill rotWithShape="1">
                              <a:blip r:embed="rId21"/>
                              <a:stretch/>
                            </pic:blipFill>
                            <pic:spPr bwMode="auto">
                              <a:xfrm flipH="0" flipV="0">
                                <a:off x="0" y="0"/>
                                <a:ext cx="2905412" cy="2179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77pt;height:171.58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4291" cy="215571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60465" name=""/>
                              <pic:cNvPicPr>
                                <a:picLocks noChangeAspect="1"/>
                              </pic:cNvPicPr>
                              <pic:nvPr/>
                            </pic:nvPicPr>
                            <pic:blipFill rotWithShape="1">
                              <a:blip r:embed="rId22"/>
                              <a:stretch/>
                            </pic:blipFill>
                            <pic:spPr bwMode="auto">
                              <a:xfrm flipH="0" flipV="0">
                                <a:off x="0" y="0"/>
                                <a:ext cx="2874291" cy="21557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32pt;height:169.7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1853" cy="21463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17964" name=""/>
                              <pic:cNvPicPr>
                                <a:picLocks noChangeAspect="1"/>
                              </pic:cNvPicPr>
                              <pic:nvPr/>
                            </pic:nvPicPr>
                            <pic:blipFill rotWithShape="1">
                              <a:blip r:embed="rId23"/>
                              <a:stretch/>
                            </pic:blipFill>
                            <pic:spPr bwMode="auto">
                              <a:xfrm flipH="0" flipV="0">
                                <a:off x="0" y="0"/>
                                <a:ext cx="2861853" cy="21463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34pt;height:169.0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275/2026/1044/VFI-BC.53.A</w:t>
      </w:r>
      <w:r>
        <w:rPr>
          <w:i/>
        </w:rPr>
        <w:t xml:space="preserve"> ngày</w:t>
      </w:r>
      <w:r>
        <w:rPr>
          <w:i/>
          <w:lang w:val="pt-BR"/>
        </w:rPr>
        <w:t xml:space="preserve">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https://www.facebook.com/share/p/17yNwZ9Hah/</w:t>
            </w:r>
            <w:r>
              <w:rPr>
                <w:color w:val="000000" w:themeColor="text1"/>
                <w:sz w:val="22"/>
                <w:szCs w:val="22"/>
              </w:rPr>
              <w:br/>
              <w:t xml:space="preserve">0865 351 726</w:t>
            </w:r>
            <w:r>
              <w:rPr>
                <w:sz w:val="22"/>
                <w:szCs w:val="22"/>
              </w:rPr>
              <w:t xml:space="preserve"> </w:t>
            </w:r>
            <w:r>
              <w:rPr>
                <w:sz w:val="22"/>
                <w:szCs w:val="22"/>
              </w:rPr>
              <w:br/>
              <w:t xml:space="preserve">(Thoa Trần</w:t>
            </w:r>
            <w:r>
              <w:rPr>
                <w:sz w:val="22"/>
                <w:szCs w:val="22"/>
              </w:rPr>
              <w:t xml:space="preserve">)</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18.858.000.000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(100m²)</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Tài sản nằm trong KĐT Tân Hồng, Phường Từ Sơn, tỉnh Bắc Ninh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855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2285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2.96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3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4541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3454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99.6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0888585555</w:t>
            </w:r>
            <w:r>
              <w:rPr>
                <w:sz w:val="22"/>
                <w:szCs w:val="22"/>
              </w:rPr>
              <w:t xml:space="preserve"> </w:t>
            </w:r>
            <w:r>
              <w:rPr>
                <w:sz w:val="22"/>
                <w:szCs w:val="22"/>
              </w:rPr>
              <w:br/>
              <w:t xml:space="preserve">(Thực Đồng Kỵ</w:t>
            </w:r>
            <w:r>
              <w:rPr>
                <w:sz w:val="22"/>
                <w:szCs w:val="22"/>
              </w:rPr>
              <w:t xml:space="preserve">)</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12.150.000.000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(90m²)</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Tài sản nằm tại Làn 2, KĐT Tân Hồng, Phường Từ Sơn, tỉnh Bắc Ninh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9937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1993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3.1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34082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63408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99.2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4082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3408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99.2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https://guland.vn/post/ban-dat-100m2-full-tho-cu-ngang-5m-gia-12-ty-tai-khu-do-thi-phu-dien-tan-hong-phuong-tu-son-khong-1-loi-nho-1917154</w:t>
            </w:r>
            <w:r>
              <w:rPr>
                <w:color w:val="000000" w:themeColor="text1"/>
                <w:sz w:val="22"/>
                <w:szCs w:val="22"/>
              </w:rPr>
              <w:br/>
            </w:r>
            <w:r>
              <w:rPr>
                <w:sz w:val="22"/>
                <w:szCs w:val="22"/>
              </w:rPr>
              <w:t xml:space="preserve">SĐT: </w:t>
            </w:r>
            <w:r>
              <w:rPr>
                <w:color w:val="000000" w:themeColor="text1"/>
                <w:sz w:val="22"/>
                <w:szCs w:val="22"/>
              </w:rPr>
              <w:t xml:space="preserve">0966.686029</w:t>
            </w:r>
            <w:r>
              <w:rPr>
                <w:sz w:val="22"/>
                <w:szCs w:val="22"/>
              </w:rPr>
              <w:t xml:space="preserve"> </w:t>
            </w:r>
            <w:r>
              <w:rPr>
                <w:sz w:val="22"/>
                <w:szCs w:val="22"/>
              </w:rPr>
              <w:br/>
              <w:t xml:space="preserve">(Nguyễn Thế Trung</w:t>
            </w:r>
            <w:r>
              <w:rPr>
                <w:sz w:val="22"/>
                <w:szCs w:val="22"/>
              </w:rPr>
              <w:t xml:space="preserve">)</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10.850.000.000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(100m²)</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Tài sản nằm trong KĐT Tân Hồng, Phường Từ Sơn, tỉnh Bắc Ninh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2955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9295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6.8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4021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5402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5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Thị Thanh Tâm</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780834" cy="850654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57852" name=""/>
                        <pic:cNvPicPr>
                          <a:picLocks noChangeAspect="1"/>
                        </pic:cNvPicPr>
                        <pic:nvPr/>
                      </pic:nvPicPr>
                      <pic:blipFill rotWithShape="1">
                        <a:blip r:embed="rId32"/>
                        <a:stretch/>
                      </pic:blipFill>
                      <pic:spPr bwMode="auto">
                        <a:xfrm rot="0" flipH="0" flipV="0">
                          <a:off x="0" y="0"/>
                          <a:ext cx="5780833" cy="85065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5.18pt;height:669.81pt;mso-wrap-distance-left:0.00pt;mso-wrap-distance-top:0.00pt;mso-wrap-distance-right:0.00pt;mso-wrap-distance-bottom:0.00pt;rotation:0;z-index:1;" stroked="false">
                <v:imagedata r:id="rId32"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840694" cy="92525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82066" name=""/>
                        <pic:cNvPicPr>
                          <a:picLocks noChangeAspect="1"/>
                        </pic:cNvPicPr>
                        <pic:nvPr/>
                      </pic:nvPicPr>
                      <pic:blipFill rotWithShape="1">
                        <a:blip r:embed="rId33"/>
                        <a:stretch/>
                      </pic:blipFill>
                      <pic:spPr bwMode="auto">
                        <a:xfrm>
                          <a:off x="0" y="0"/>
                          <a:ext cx="5840694"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59.90pt;height:728.55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0127"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FD02A8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BAA804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10BAF4F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49778C3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651DEBA4"/>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5291400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7AE81D3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6403F6EA"/>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518</cp:revision>
  <dcterms:created xsi:type="dcterms:W3CDTF">2025-09-15T02:01:00Z</dcterms:created>
  <dcterms:modified xsi:type="dcterms:W3CDTF">2026-07-13T02:09:39Z</dcterms:modified>
</cp:coreProperties>
</file>