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54976</wp:posOffset>
                </wp:positionV>
                <wp:extent cx="5467350" cy="34683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4683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275/2026/1103/VFI-CT.36.A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BẾ VĂN TRIỀU</w:t>
                            </w:r>
                            <w:r>
                              <w:rPr>
                                <w:rFonts w:ascii="Times New Roman Bold" w:hAnsi="Times New Roman Bold"/>
                                <w:b/>
                                <w:color w:val="000000" w:themeColor="text1"/>
                                <w:lang w:val="pt-BR"/>
                              </w:rPr>
                            </w:r>
                            <w:r>
                              <w:rPr>
                                <w:rFonts w:ascii="Times New Roman Bold" w:hAnsi="Times New Roman Bold"/>
                                <w:b/>
                                <w:color w:val="000000" w:themeColor="text1"/>
                                <w:lang w:val="pt-BR"/>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Quyền sử dụng đất và tài sản gắn liền với đất tại thửa </w:t>
                            </w:r>
                            <w:r>
                              <w:rPr>
                                <w:rFonts w:ascii="Times New Roman" w:hAnsi="Times New Roman" w:eastAsia="Times New Roman" w:cs="Times New Roman"/>
                                <w:color w:val="000000" w:themeColor="text1"/>
                                <w:sz w:val="24"/>
                              </w:rPr>
                              <w:t xml:space="preserve">đất số: 62, tờ bản đồ số 60-5 có địa chỉ: Tổ Dân Phố 2 - Thị trấn Hùng Quốc - Huyện Trà Lĩnh - Tỉnh Cao Bằng (Nay là: Xóm Hùng Quốc 3</w:t>
                            </w:r>
                            <w:r>
                              <w:rPr>
                                <w:rFonts w:ascii="Times New Roman" w:hAnsi="Times New Roman" w:eastAsia="Times New Roman" w:cs="Times New Roman"/>
                                <w:color w:val="000000"/>
                                <w:sz w:val="24"/>
                              </w:rPr>
                              <w:t xml:space="preserve">, xã Trà Lĩnh, tỉnh Cao Bằng)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BQ 953368, số vào sổ cấp GCN: CH05683 do Uỷ ban nhân dân huyện Trà Lĩnh cấp ngày 25/12/2013; Chủ sử dụng đất là Hộ ông: Bế Văn Triều và bà Đàm Thị Tới.</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4.33pt;mso-position-vertical:absolute;width:430.50pt;height:273.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275/2026/1103/VFI-CT.36.A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BẾ VĂN TRIỀU</w:t>
                      </w:r>
                      <w:r>
                        <w:rPr>
                          <w:rFonts w:ascii="Times New Roman Bold" w:hAnsi="Times New Roman Bold"/>
                          <w:b/>
                          <w:color w:val="000000" w:themeColor="text1"/>
                          <w:lang w:val="pt-BR"/>
                        </w:rPr>
                      </w:r>
                      <w:r>
                        <w:rPr>
                          <w:rFonts w:ascii="Times New Roman Bold" w:hAnsi="Times New Roman Bold"/>
                          <w:b/>
                          <w:color w:val="000000" w:themeColor="text1"/>
                          <w:lang w:val="pt-BR"/>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rFonts w:ascii="Times New Roman" w:hAnsi="Times New Roman" w:eastAsia="Times New Roman" w:cs="Times New Roman"/>
                          <w:color w:val="000000" w:themeColor="text1"/>
                          <w:sz w:val="24"/>
                        </w:rPr>
                        <w:t xml:space="preserve">Quyền sử dụng đất và tài sản gắn liền với đất tại thửa </w:t>
                      </w:r>
                      <w:r>
                        <w:rPr>
                          <w:rFonts w:ascii="Times New Roman" w:hAnsi="Times New Roman" w:eastAsia="Times New Roman" w:cs="Times New Roman"/>
                          <w:color w:val="000000" w:themeColor="text1"/>
                          <w:sz w:val="24"/>
                        </w:rPr>
                        <w:t xml:space="preserve">đất số: 62, tờ bản đồ số 60-5 có địa chỉ: Tổ Dân Phố 2 - Thị trấn Hùng Quốc - Huyện Trà Lĩnh - Tỉnh Cao Bằng (Nay là: Xóm Hùng Quốc 3</w:t>
                      </w:r>
                      <w:r>
                        <w:rPr>
                          <w:rFonts w:ascii="Times New Roman" w:hAnsi="Times New Roman" w:eastAsia="Times New Roman" w:cs="Times New Roman"/>
                          <w:color w:val="000000"/>
                          <w:sz w:val="24"/>
                        </w:rPr>
                        <w:t xml:space="preserve">, xã Trà Lĩnh, tỉnh Cao Bằng)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BQ 953368, số vào sổ cấp GCN: CH05683 do Uỷ ban nhân dân huyện Trà Lĩnh cấp ngày 25/12/2013; Chủ sử dụng đất là Hộ ông: Bế Văn Triều và bà Đàm Thị Tới.</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07/2026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firstLine="0" w:left="0"/>
              <w:jc w:val="right"/>
              <w:rPr>
                <w:b/>
                <w:bCs/>
              </w:rPr>
            </w:pPr>
            <w:r>
              <w:rPr>
                <w:b/>
                <w:bCs/>
              </w:rPr>
              <w:t xml:space="preserve">20 -24</w:t>
            </w:r>
            <w:r>
              <w:rPr>
                <w:b/>
                <w:bCs/>
              </w:rPr>
            </w:r>
            <w:r>
              <w:rPr>
                <w:b/>
                <w:bCs/>
              </w:rPr>
            </w:r>
          </w:p>
        </w:tc>
      </w:tr>
      <w:tr>
        <w:trPr/>
        <w:tc>
          <w:tcPr>
            <w:tcBorders/>
            <w:tcMar>
              <w:left w:w="108" w:type="dxa"/>
              <w:right w:w="108" w:type="dxa"/>
            </w:tcMar>
            <w:tcW w:w="7280" w:type="dxa"/>
            <w:vAlign w:val="center"/>
            <w:textDirection w:val="lrTb"/>
            <w:noWrap w:val="false"/>
          </w:tcPr>
          <w:p>
            <w:pPr>
              <w:pStyle w:val="103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28 - 30</w:t>
            </w:r>
            <w:r>
              <w:rPr>
                <w:b/>
                <w:bCs/>
              </w:rPr>
            </w:r>
            <w:r>
              <w:rPr>
                <w:b/>
                <w:bCs/>
              </w:rPr>
            </w:r>
          </w:p>
        </w:tc>
      </w:tr>
    </w:tbl>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275/2026/1103/VFI-CT.36.A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22 tháng 7 năm 2026</w:t>
            </w:r>
            <w:r>
              <w:rPr>
                <w:color w:val="000000" w:themeColor="text1"/>
                <w:sz w:val="24"/>
                <w:szCs w:val="24"/>
                <w:lang w:val="vi-VN"/>
              </w:rPr>
            </w:r>
            <w:r>
              <w:rPr>
                <w:color w:val="000000" w:themeColor="text1"/>
                <w:sz w:val="24"/>
                <w:szCs w:val="24"/>
                <w:lang w:val="vi-VN"/>
              </w:rPr>
            </w:r>
          </w:p>
        </w:tc>
      </w:tr>
    </w:tbl>
    <w:p>
      <w:pPr>
        <w:pStyle w:val="1032"/>
        <w:pBdr/>
        <w:spacing w:after="120" w:before="200" w:line="288" w:lineRule="auto"/>
        <w:ind/>
        <w:jc w:val="center"/>
        <w:rPr>
          <w:rStyle w:val="1031"/>
          <w:rFonts w:ascii="Times New Roman" w:hAnsi="Times New Roman"/>
          <w:b/>
          <w:bCs/>
          <w:color w:val="auto"/>
          <w:sz w:val="30"/>
          <w:szCs w:val="30"/>
          <w:lang w:val="vi-VN"/>
        </w:rPr>
      </w:pP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ÔNG </w:t>
      </w:r>
      <w:r>
        <w:rPr>
          <w:rFonts w:ascii="Times New Roman Bold" w:hAnsi="Times New Roman Bold"/>
          <w:b/>
          <w:color w:val="000000" w:themeColor="text1"/>
          <w:lang w:val="pt-BR"/>
        </w:rPr>
        <w:t xml:space="preserve">BẾ VĂN TRIỀU</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275/2026/1103/VFI-HĐTĐ.36.A</w:t>
      </w:r>
      <w:r>
        <w:rPr>
          <w:spacing w:val="-4"/>
          <w:lang w:val="vi-VN"/>
        </w:rPr>
        <w:t xml:space="preserve"> ký ngày </w:t>
      </w:r>
      <w:r>
        <w:rPr>
          <w:color w:val="000000" w:themeColor="text1"/>
          <w:spacing w:val="-4"/>
        </w:rPr>
        <w:t xml:space="preserve">20 tháng 7 năm 2026</w:t>
      </w:r>
      <w:r>
        <w:rPr>
          <w:spacing w:val="-4"/>
          <w:lang w:val="vi-VN"/>
        </w:rPr>
        <w:t xml:space="preserve"> </w:t>
      </w:r>
      <w:r>
        <w:rPr>
          <w:spacing w:val="-4"/>
          <w:lang w:val="vi-VN"/>
        </w:rPr>
        <w:t xml:space="preserve">giữa </w:t>
      </w:r>
      <w:r>
        <w:rPr>
          <w:bCs/>
        </w:rPr>
        <w:t xml:space="preserve">ông Bế Văn Triều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275/2026/1103/VFI-BC.36.A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7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BẾ VĂN TRIỀU</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 số</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004072005531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1972</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Bản Lang, thị trấn Trà Lĩnh, Trùng Khánh, Cao Bằng</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737"/>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và tài sản gắn liền với đất tại thửa </w:t>
      </w:r>
      <w:r>
        <w:rPr>
          <w:rFonts w:ascii="Times New Roman" w:hAnsi="Times New Roman" w:eastAsia="Times New Roman" w:cs="Times New Roman"/>
          <w:color w:val="000000"/>
          <w:sz w:val="24"/>
        </w:rPr>
        <w:t xml:space="preserve">đất số: 62, tờ bản đồ số 60-5 có địa chỉ: Tổ Dân Phố 2 - Thị trấn Hùng Quốc - Huyện Trà Lĩnh - Tỉnh Cao Bằng (Nay là: Xóm Hùng Quốc 3, xã Trà Lĩnh, tỉnh Cao Bằng)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BQ 953368, số vào sổ cấp GCN: CH05683 do Uỷ ban nhân dân huyện Trà Lĩnh cấp ngày 25/12/2013; Chủ sử dụng đất là Hộ ông: Bế Văn Triều và bà Đàm Thị Tới</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07/2026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07/2026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00"/>
        <w:gridCol w:w="2830"/>
        <w:gridCol w:w="1276"/>
        <w:gridCol w:w="1843"/>
        <w:gridCol w:w="1276"/>
        <w:gridCol w:w="1702"/>
      </w:tblGrid>
      <w:tr>
        <w:trPr>
          <w:trHeight w:val="20"/>
        </w:trPr>
        <w:tc>
          <w:tcPr>
            <w:shd w:val="clear" w:color="000000" w:fill="ffffff"/>
            <w:tcBorders/>
            <w:tcW w:w="600"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3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276"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276" w:type="dxa"/>
            <w:vAlign w:val="center"/>
            <w:textDirection w:val="lrTb"/>
            <w:noWrap w:val="false"/>
          </w:tcPr>
          <w:p>
            <w:pPr>
              <w:pBdr/>
              <w:spacing/>
              <w:ind/>
              <w:jc w:val="center"/>
              <w:rPr/>
            </w:pPr>
            <w:r>
              <w:rPr>
                <w:b/>
                <w:bCs/>
              </w:rPr>
              <w:t xml:space="preserve">Hệ số/</w:t>
            </w:r>
            <w:r/>
          </w:p>
          <w:p>
            <w:pPr>
              <w:pBdr/>
              <w:spacing/>
              <w:ind/>
              <w:jc w:val="center"/>
              <w:rPr>
                <w:b/>
                <w:bCs/>
              </w:rPr>
            </w:pPr>
            <w:r>
              <w:rPr>
                <w:b/>
                <w:bCs/>
              </w:rPr>
              <w:t xml:space="preserve">CLCL (%)</w:t>
            </w:r>
            <w:r>
              <w:rPr>
                <w:b/>
                <w:bCs/>
              </w:rPr>
            </w:r>
            <w:r>
              <w:rPr>
                <w:b/>
                <w:bCs/>
              </w:rPr>
            </w:r>
          </w:p>
        </w:tc>
        <w:tc>
          <w:tcPr>
            <w:shd w:val="clear" w:color="000000" w:fill="ffffff"/>
            <w:tcBorders/>
            <w:tcW w:w="1702"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600"/>
        </w:trPr>
        <w:tc>
          <w:tcPr>
            <w:shd w:val="clear" w:color="000000" w:fill="ffffff"/>
            <w:tcBorders/>
            <w:tcW w:w="600"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7223"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và tài sản gắn liền với đất tại thửa </w:t>
            </w:r>
            <w:r>
              <w:rPr>
                <w:rFonts w:ascii="Times New Roman" w:hAnsi="Times New Roman" w:eastAsia="Times New Roman" w:cs="Times New Roman"/>
                <w:b/>
                <w:bCs/>
                <w:color w:val="000000"/>
                <w:sz w:val="24"/>
              </w:rPr>
              <w:t xml:space="preserve">đất số: 62, tờ bản đồ số 60-5 có địa chỉ: Tổ Dân Phố 2 - Thị trấn Hùng Quốc - Huyện Trà Lĩnh - Tỉnh Cao Bằng (Nay là: Xóm Hùng Quốc 3, xã Trà Lĩnh, tỉnh Cao Bằng)  theo Giấy chứng nhận quyền sử dụng đất quyền sở hữu nhà ở và tài sản khác gắn liền với đất s</w:t>
            </w:r>
            <w:r>
              <w:rPr>
                <w:rFonts w:ascii="Times New Roman" w:hAnsi="Times New Roman" w:eastAsia="Times New Roman" w:cs="Times New Roman"/>
                <w:b/>
                <w:bCs/>
                <w:color w:val="000000"/>
                <w:sz w:val="24"/>
              </w:rPr>
              <w:t xml:space="preserve">ố: BQ 953368, số vào sổ cấp GCN: CH05683 do Uỷ ban nhân dân huyện Trà Lĩnh cấp ngày 25/12/2013; Chủ sử dụng đất là Hộ ông: Bế Văn Triều và bà Đàm Thị Tới</w:t>
            </w:r>
            <w:r>
              <w:rPr>
                <w:b/>
                <w:bCs/>
                <w:color w:val="000000"/>
              </w:rPr>
              <w:t xml:space="preserve">.</w:t>
            </w:r>
            <w:r>
              <w:rPr>
                <w:b/>
                <w:bCs/>
              </w:rPr>
            </w:r>
            <w:r>
              <w:rPr>
                <w:b/>
                <w:bCs/>
              </w:rPr>
            </w:r>
          </w:p>
        </w:tc>
        <w:tc>
          <w:tcPr>
            <w:shd w:val="clear" w:color="000000" w:fill="ffffff"/>
            <w:tcBorders/>
            <w:tcW w:w="1702"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00"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2830" w:type="dxa"/>
            <w:vAlign w:val="center"/>
            <w:textDirection w:val="lrTb"/>
            <w:noWrap w:val="false"/>
          </w:tcPr>
          <w:p>
            <w:pPr>
              <w:pBdr/>
              <w:spacing w:after="40" w:before="40" w:line="288" w:lineRule="auto"/>
              <w:ind/>
              <w:rPr>
                <w:b w:val="0"/>
                <w:bCs w:val="0"/>
              </w:rPr>
            </w:pPr>
            <w:r>
              <w:rPr>
                <w:b w:val="0"/>
                <w:bCs w:val="0"/>
              </w:rPr>
              <w:t xml:space="preserve">Quyền sử dụng đất</w:t>
            </w:r>
            <w:r>
              <w:rPr>
                <w:b w:val="0"/>
                <w:bCs w:val="0"/>
              </w:rPr>
            </w:r>
          </w:p>
        </w:tc>
        <w:tc>
          <w:tcPr>
            <w:tcBorders/>
            <w:tcW w:w="1276" w:type="dxa"/>
            <w:vAlign w:val="center"/>
            <w:textDirection w:val="lrTb"/>
            <w:noWrap/>
          </w:tcPr>
          <w:p>
            <w:pPr>
              <w:pBdr/>
              <w:spacing w:after="40" w:before="40" w:line="288" w:lineRule="auto"/>
              <w:ind/>
              <w:jc w:val="center"/>
              <w:rPr>
                <w:color w:val="000000"/>
              </w:rPr>
            </w:pPr>
            <w:r>
              <w:rPr>
                <w:color w:val="000000" w:themeColor="text1"/>
              </w:rPr>
              <w:t xml:space="preserve">41,9</w:t>
            </w:r>
            <w:r>
              <w:rPr>
                <w:color w:val="000000"/>
              </w:rPr>
            </w:r>
            <w:r>
              <w:rPr>
                <w:color w:val="000000"/>
              </w:rPr>
            </w:r>
          </w:p>
        </w:tc>
        <w:tc>
          <w:tcPr>
            <w:shd w:val="clear" w:color="000000" w:fill="ffffff"/>
            <w:tcBorders/>
            <w:tcW w:w="1843" w:type="dxa"/>
            <w:vAlign w:val="center"/>
            <w:textDirection w:val="lrTb"/>
            <w:noWrap w:val="false"/>
          </w:tcPr>
          <w:p>
            <w:pPr>
              <w:pBdr/>
              <w:spacing w:after="40" w:before="40" w:line="288" w:lineRule="auto"/>
              <w:ind/>
              <w:jc w:val="center"/>
              <w:rPr/>
            </w:pPr>
            <w:r>
              <w:rPr>
                <w:color w:val="000000" w:themeColor="text1"/>
              </w:rPr>
              <w:t xml:space="preserve">23.000.000</w:t>
            </w:r>
            <w:r/>
          </w:p>
        </w:tc>
        <w:tc>
          <w:tcPr>
            <w:shd w:val="clear" w:color="000000" w:fill="ffffff"/>
            <w:tcBorders/>
            <w:tcW w:w="1276"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1702" w:type="dxa"/>
            <w:vAlign w:val="center"/>
            <w:textDirection w:val="lrTb"/>
            <w:noWrap w:val="false"/>
          </w:tcPr>
          <w:p>
            <w:pPr>
              <w:pBdr/>
              <w:spacing w:after="40" w:before="40" w:line="288" w:lineRule="auto"/>
              <w:ind/>
              <w:jc w:val="center"/>
              <w:rPr/>
            </w:pPr>
            <w:r>
              <w:rPr>
                <w:color w:val="000000" w:themeColor="text1"/>
              </w:rPr>
              <w:t xml:space="preserve">963.700.000</w:t>
            </w:r>
            <w:r/>
          </w:p>
        </w:tc>
      </w:tr>
      <w:tr>
        <w:trPr>
          <w:trHeight w:val="20"/>
        </w:trPr>
        <w:tc>
          <w:tcPr>
            <w:shd w:val="clear" w:color="000000" w:fill="ffffff"/>
            <w:tcBorders/>
            <w:tcW w:w="600" w:type="dxa"/>
            <w:vAlign w:val="center"/>
            <w:vMerge w:val="restart"/>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2830" w:type="dxa"/>
            <w:vAlign w:val="center"/>
            <w:vMerge w:val="restart"/>
            <w:textDirection w:val="lrTb"/>
            <w:noWrap w:val="false"/>
          </w:tcPr>
          <w:p>
            <w:pPr>
              <w:pBdr/>
              <w:spacing w:after="40" w:before="40" w:line="288" w:lineRule="auto"/>
              <w:ind/>
              <w:rPr>
                <w:b w:val="0"/>
                <w:bCs w:val="0"/>
              </w:rPr>
            </w:pPr>
            <w:r>
              <w:rPr>
                <w:b w:val="0"/>
                <w:bCs w:val="0"/>
              </w:rPr>
              <w:t xml:space="preserve">Nhà 3 tầng + 1 tầng hầm</w:t>
            </w:r>
            <w:r>
              <w:rPr>
                <w:b w:val="0"/>
                <w:bCs w:val="0"/>
              </w:rPr>
            </w:r>
            <w:r>
              <w:rPr>
                <w:b w:val="0"/>
                <w:bCs w:val="0"/>
              </w:rPr>
            </w:r>
          </w:p>
        </w:tc>
        <w:tc>
          <w:tcPr>
            <w:tcBorders/>
            <w:tcW w:w="1276" w:type="dxa"/>
            <w:vAlign w:val="center"/>
            <w:vMerge w:val="restart"/>
            <w:textDirection w:val="lrTb"/>
            <w:noWrap/>
          </w:tcPr>
          <w:p>
            <w:pPr>
              <w:pBdr/>
              <w:spacing w:after="40" w:before="40" w:line="288" w:lineRule="auto"/>
              <w:ind/>
              <w:jc w:val="center"/>
              <w:rPr>
                <w:color w:val="000000" w:themeColor="text1"/>
                <w:highlight w:val="none"/>
              </w:rPr>
            </w:pPr>
            <w:r>
              <w:rPr>
                <w:color w:val="000000" w:themeColor="text1"/>
              </w:rPr>
              <w:t xml:space="preserve">167,6</w:t>
            </w:r>
            <w:r>
              <w:rPr>
                <w:color w:val="000000" w:themeColor="text1"/>
                <w:highlight w:val="none"/>
              </w:rPr>
            </w:r>
            <w:r>
              <w:rPr>
                <w:color w:val="000000" w:themeColor="text1"/>
                <w:highlight w:val="none"/>
              </w:rPr>
            </w:r>
          </w:p>
        </w:tc>
        <w:tc>
          <w:tcPr>
            <w:shd w:val="clear" w:color="000000" w:fill="ffffff"/>
            <w:tcBorders/>
            <w:tcW w:w="1843"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8.783.900</w:t>
            </w:r>
            <w:r>
              <w:rPr>
                <w:color w:val="000000" w:themeColor="text1"/>
              </w:rPr>
            </w:r>
            <w:r>
              <w:rPr>
                <w:color w:val="000000" w:themeColor="text1"/>
              </w:rPr>
            </w:r>
          </w:p>
        </w:tc>
        <w:tc>
          <w:tcPr>
            <w:shd w:val="clear" w:color="000000" w:fill="ffffff"/>
            <w:tcBorders/>
            <w:tcW w:w="1276" w:type="dxa"/>
            <w:vAlign w:val="center"/>
            <w:textDirection w:val="lrTb"/>
            <w:noWrap w:val="false"/>
          </w:tcPr>
          <w:p>
            <w:pPr>
              <w:pBdr/>
              <w:spacing/>
              <w:ind/>
              <w:jc w:val="center"/>
              <w:rPr>
                <w:color w:val="000000" w:themeColor="text1"/>
              </w:rPr>
            </w:pPr>
            <w:r>
              <w:rPr>
                <w:color w:val="000000" w:themeColor="text1"/>
              </w:rPr>
              <w:t xml:space="preserve">76%</w:t>
            </w:r>
            <w:r>
              <w:rPr>
                <w:color w:val="000000" w:themeColor="text1"/>
              </w:rPr>
            </w:r>
            <w:r>
              <w:rPr>
                <w:color w:val="000000" w:themeColor="text1"/>
              </w:rPr>
            </w:r>
          </w:p>
        </w:tc>
        <w:tc>
          <w:tcPr>
            <w:shd w:val="clear" w:color="000000" w:fill="ffffff"/>
            <w:tcBorders/>
            <w:tcW w:w="170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1.089.414.414</w:t>
            </w:r>
            <w:r/>
          </w:p>
        </w:tc>
      </w:tr>
      <w:tr>
        <w:trPr>
          <w:trHeight w:val="20"/>
        </w:trPr>
        <w:tc>
          <w:tcPr>
            <w:gridSpan w:val="4"/>
            <w:tcBorders/>
            <w:tcW w:w="654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276" w:type="dxa"/>
            <w:vAlign w:val="center"/>
            <w:textDirection w:val="lrTb"/>
            <w:noWrap/>
          </w:tcPr>
          <w:p>
            <w:pPr>
              <w:pBdr/>
              <w:spacing/>
              <w:ind/>
              <w:rPr/>
            </w:pPr>
            <w:r/>
            <w:r/>
          </w:p>
        </w:tc>
        <w:tc>
          <w:tcPr>
            <w:tcBorders/>
            <w:tcW w:w="1702" w:type="dxa"/>
            <w:vAlign w:val="center"/>
            <w:textDirection w:val="lrTb"/>
            <w:noWrap/>
          </w:tcPr>
          <w:p>
            <w:pPr>
              <w:pBdr/>
              <w:spacing w:after="0" w:before="0" w:line="240" w:lineRule="auto"/>
              <w:ind/>
              <w:jc w:val="center"/>
              <w:rPr>
                <w:b w:val="0"/>
                <w:bCs w:val="0"/>
              </w:rPr>
            </w:pPr>
            <w:r>
              <w:rPr>
                <w:rFonts w:ascii="Times New Roman" w:hAnsi="Times New Roman" w:eastAsia="Times New Roman" w:cs="Times New Roman"/>
                <w:b w:val="0"/>
                <w:bCs w:val="0"/>
                <w:color w:val="000000"/>
                <w:sz w:val="24"/>
              </w:rPr>
              <w:t xml:space="preserve">2.040.544.414</w:t>
            </w:r>
            <w:r>
              <w:rPr>
                <w:b w:val="0"/>
                <w:bCs w:val="0"/>
              </w:rPr>
            </w:r>
            <w:r>
              <w:rPr>
                <w:b w:val="0"/>
                <w:bCs w:val="0"/>
              </w:rPr>
            </w:r>
          </w:p>
        </w:tc>
      </w:tr>
      <w:tr>
        <w:trPr>
          <w:trHeight w:val="430"/>
        </w:trPr>
        <w:tc>
          <w:tcPr>
            <w:gridSpan w:val="4"/>
            <w:tcBorders/>
            <w:tcW w:w="6548"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276" w:type="dxa"/>
            <w:vAlign w:val="center"/>
            <w:textDirection w:val="lrTb"/>
            <w:noWrap/>
          </w:tcPr>
          <w:p>
            <w:pPr>
              <w:pBdr/>
              <w:spacing/>
              <w:ind/>
              <w:rPr>
                <w:b/>
                <w:bCs/>
                <w:color w:val="000000"/>
              </w:rPr>
            </w:pPr>
            <w:r>
              <w:rPr>
                <w:b/>
                <w:bCs/>
                <w:color w:val="000000"/>
              </w:rPr>
            </w:r>
            <w:r>
              <w:rPr>
                <w:b/>
                <w:bCs/>
                <w:color w:val="000000"/>
              </w:rPr>
            </w:r>
            <w:r>
              <w:rPr>
                <w:b/>
                <w:bCs/>
                <w:color w:val="000000"/>
              </w:rPr>
            </w:r>
          </w:p>
        </w:tc>
        <w:tc>
          <w:tcPr>
            <w:tcBorders/>
            <w:tcW w:w="170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2.040.000.000</w:t>
            </w:r>
            <w:r/>
          </w:p>
        </w:tc>
      </w:tr>
      <w:tr>
        <w:trPr>
          <w:trHeight w:val="20"/>
        </w:trPr>
        <w:tc>
          <w:tcPr>
            <w:gridSpan w:val="6"/>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tỷ không trăm bốn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right="0" w:firstLine="0" w:left="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2"/>
              <w:pBdr/>
              <w:spacing w:after="60"/>
              <w:ind/>
              <w:rPr>
                <w:color w:val="000000" w:themeColor="text1"/>
                <w:sz w:val="24"/>
                <w:szCs w:val="24"/>
              </w:rPr>
            </w:pPr>
            <w:r>
              <w:rPr>
                <w:rStyle w:val="1031"/>
                <w:rFonts w:ascii="Times New Roman" w:hAnsi="Times New Roman"/>
                <w:color w:val="000000" w:themeColor="text1"/>
                <w:lang w:val="pt-BR"/>
              </w:rPr>
              <w:t xml:space="preserve">Số: </w:t>
            </w:r>
            <w:r>
              <w:rPr>
                <w:rStyle w:val="1031"/>
                <w:rFonts w:ascii="Times New Roman" w:hAnsi="Times New Roman"/>
                <w:color w:val="000000" w:themeColor="text1"/>
                <w:lang w:val="pt-BR"/>
              </w:rPr>
              <w:t xml:space="preserve">275/2026/1103/VFI-BC.36.A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2"/>
              <w:pBdr/>
              <w:spacing w:after="60"/>
              <w:ind w:right="-56"/>
              <w:jc w:val="right"/>
              <w:rPr>
                <w:color w:val="000000" w:themeColor="text1"/>
                <w:sz w:val="24"/>
                <w:szCs w:val="24"/>
                <w:lang w:val="vi-VN"/>
              </w:rPr>
            </w:pPr>
            <w:r>
              <w:rPr>
                <w:rStyle w:val="1031"/>
                <w:rFonts w:ascii="Times New Roman" w:hAnsi="Times New Roman"/>
                <w:i/>
                <w:color w:val="auto"/>
              </w:rPr>
              <w:t xml:space="preserve">TP. 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22 tháng 7 năm 2026</w:t>
            </w:r>
            <w:r>
              <w:rPr>
                <w:color w:val="000000" w:themeColor="text1"/>
                <w:sz w:val="24"/>
                <w:szCs w:val="24"/>
                <w:lang w:val="vi-VN"/>
              </w:rPr>
            </w:r>
            <w:r>
              <w:rPr>
                <w:color w:val="000000" w:themeColor="text1"/>
                <w:sz w:val="24"/>
                <w:szCs w:val="24"/>
                <w:lang w:val="vi-VN"/>
              </w:rPr>
            </w:r>
          </w:p>
        </w:tc>
      </w:tr>
    </w:tbl>
    <w:p>
      <w:pPr>
        <w:pStyle w:val="103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275/2026/1103/VFI-CT.36.A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7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BẾ VĂN TRIỀU</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004072005531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Bản Lang, thị trấn Trà Lĩnh, Trùng Khánh, Cao Bằng</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và tài sản gắn liền với đất tại thửa </w:t>
            </w:r>
            <w:r>
              <w:rPr>
                <w:rFonts w:ascii="Times New Roman" w:hAnsi="Times New Roman" w:eastAsia="Times New Roman" w:cs="Times New Roman"/>
                <w:b w:val="0"/>
                <w:bCs w:val="0"/>
                <w:color w:val="000000"/>
                <w:sz w:val="24"/>
              </w:rPr>
              <w:t xml:space="preserve">đất số: 62, tờ bản đồ số 60-5 có địa chỉ: Tổ Dân Phố 2 - Thị trấn Hùng Quốc - Huyện Trà Lĩnh - Tỉnh Cao Bằng (Nay là: Xóm Hùng Quốc 3, xã Trà Lĩnh, tỉnh Cao Bằng)  theo Giấy chứng nhận quyền sử dụng đất quyền sở hữu nhà ở và tài sản khác gắn liền với đất s</w:t>
            </w:r>
            <w:r>
              <w:rPr>
                <w:rFonts w:ascii="Times New Roman" w:hAnsi="Times New Roman" w:eastAsia="Times New Roman" w:cs="Times New Roman"/>
                <w:b w:val="0"/>
                <w:bCs w:val="0"/>
                <w:color w:val="000000"/>
                <w:sz w:val="24"/>
              </w:rPr>
              <w:t xml:space="preserve">ố: BQ 953368, số vào sổ cấp GCN: CH05683 do Uỷ ban nhân dân huyện Trà Lĩnh cấp ngày 25/12/2013; Chủ sử dụng đất là Hộ ông: Bế Văn Triều và bà Đàm Thị Tới</w:t>
            </w:r>
            <w:r>
              <w:rPr>
                <w:b w:val="0"/>
                <w:bCs w:val="0"/>
                <w:color w:val="000000"/>
              </w:rPr>
              <w:t xml:space="preserve">.</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07/2026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Trà Lĩnh, Tỉnh Cao Bằng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22.829722222222, 106.32416666667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highlight w:val="yellow"/>
              </w:rPr>
            </w:pPr>
            <w:r>
              <w:rPr>
                <w:highlight w:val="none"/>
                <w:lang w:val="pt-BR"/>
              </w:rPr>
              <w:t xml:space="preserve">N</w:t>
            </w:r>
            <w:r>
              <w:rPr>
                <w:highlight w:val="white"/>
                <w:lang w:val="pt-BR"/>
              </w:rPr>
              <w:t xml:space="preserve">gày 22</w:t>
            </w:r>
            <w:r>
              <w:rPr>
                <w:highlight w:val="white"/>
                <w:lang w:val="pt-BR"/>
              </w:rPr>
              <w:t xml:space="preserve">/</w:t>
            </w:r>
            <w:r>
              <w:rPr>
                <w:highlight w:val="white"/>
                <w:lang w:val="pt-BR"/>
              </w:rPr>
              <w:t xml:space="preserve">07/2026</w:t>
            </w:r>
            <w:r>
              <w:rPr>
                <w:highlight w:val="white"/>
                <w:lang w:val="pt-BR"/>
              </w:rPr>
              <w:t xml:space="preserve">.</w:t>
            </w:r>
            <w:r>
              <w:rPr>
                <w:highlight w:val="white"/>
                <w:lang w:val="pt-BR"/>
              </w:rPr>
            </w:r>
            <w:r>
              <w:rPr>
                <w:highlight w:val="yellow"/>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3"/>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3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3"/>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w:t>
      </w:r>
      <w:r>
        <w:rPr>
          <w:bCs/>
          <w:color w:val="000000" w:themeColor="text1"/>
          <w:lang w:val="pt-BR"/>
        </w:rPr>
        <w:t xml:space="preserve"> quyền sở hữu nhà ở và tài sản khác gắn liền với đất số: BQ 953368, số vào sổ cấp GCN: CH05683 do Uỷ ban nhân dân huyện Trà Lĩnh cấp ngày 25/12/2013; Chủ sử dụng đất là Hộ ông: Bế Văn Triều và bà Đàm Thị Tới.</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lang w:val="pt-BR"/>
        </w:rPr>
        <w:t xml:space="preserve">275/2026/1103/VFI-HĐTĐ.36.A</w:t>
      </w:r>
      <w:r>
        <w:rPr>
          <w:color w:val="000000" w:themeColor="text1"/>
          <w:lang w:val="pt-BR"/>
        </w:rPr>
        <w:t xml:space="preserve"> ngày 20/07/2026 giữa Ông Bế Văn Triều với Công ty Cổ phần Thẩm định và Đầu tư Tài chính Hoa Sen.</w:t>
      </w:r>
      <w:r>
        <w:rPr>
          <w:b/>
          <w:lang w:val="pt-BR"/>
        </w:rPr>
      </w:r>
      <w:r>
        <w:rPr>
          <w:b/>
          <w:lang w:val="pt-BR"/>
        </w:rPr>
      </w:r>
    </w:p>
    <w:p>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color w:val="000000"/>
          <w:sz w:val="24"/>
          <w:highlight w:val="white"/>
        </w:rPr>
        <w:t xml:space="preserve">Cao Bằng “kích hoạt” lại quỹ nhà đất dôi dư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Theo kế hoạch năm 2026, tỉnh dự kiến thu về hơn 222 tỷ đồng từ đấu giá đất và tài sản gắn liền với đất, đồng thời đặt mục tiêu xây dựng 200 căn nhà ở xã hội ngay trong năm đầu của giai đoạn mới.</w:t>
        <w:br/>
        <w:t xml:space="preserve"> Tỉnh biên giới phía Bắc đề xuất nâng chuẩn sân bay lên 4E vớ</w:t>
      </w:r>
      <w:r>
        <w:rPr>
          <w:rFonts w:ascii="Times New Roman" w:hAnsi="Times New Roman" w:eastAsia="Times New Roman" w:cs="Times New Roman"/>
          <w:color w:val="000000"/>
          <w:sz w:val="24"/>
          <w:highlight w:val="white"/>
        </w:rPr>
        <w:t xml:space="preserve">i đường băng dài 3.500m</w:t>
        <w:br/>
        <w:t xml:space="preserve"> Tại cuộc họp bàn phương án sắp xếp, xử lý nhà, đất và kế hoạch thu ngân sách từ tài sản công, Sở Tài chính cho biết toàn tỉnh hiện đang quản lý tới 2.546 cơ sở nhà, đất, trong đó có 49 cơ sở do Trung ương chuyển giao. Tuy nhiên, th</w:t>
      </w:r>
      <w:r>
        <w:rPr>
          <w:rFonts w:ascii="Times New Roman" w:hAnsi="Times New Roman" w:eastAsia="Times New Roman" w:cs="Times New Roman"/>
          <w:color w:val="000000"/>
          <w:sz w:val="24"/>
          <w:highlight w:val="white"/>
        </w:rPr>
        <w:t xml:space="preserve">ực tế cho thấy vẫn còn nhiều cơ sở dôi dư hoặc sử dụng chưa hiệu quả, đặt ra yêu cầu cấp thiết phải rà soát, phân loại lại một cách bài bản.</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Theo định hướng của tỉnh, toàn bộ quỹ nhà, đất sẽ được phân chia thành 4 nhóm rõ ràng gồm: tiếp tục sử dụng, cần bố trí lại, dôi dư và sử dụng sai mục đích. Trên cơ sở đó, từng loại sẽ có phương án xử lý phù hợp nhằm tối ưu hiệu quả khai thác. Đáng chú ý, </w:t>
      </w:r>
      <w:r>
        <w:rPr>
          <w:rFonts w:ascii="Times New Roman" w:hAnsi="Times New Roman" w:eastAsia="Times New Roman" w:cs="Times New Roman"/>
          <w:color w:val="000000"/>
          <w:sz w:val="24"/>
          <w:highlight w:val="white"/>
        </w:rPr>
        <w:t xml:space="preserve">lãnh đạo tỉnh nhấn mạnh nguyên tắc không xây mới trụ sở khi vẫn còn quỹ nhà, đất chưa được sử dụng hết, đồng thời nghiêm cấm tình trạng cho thuê, cho mượn trái quy định - một trong những nguyên nhân gây thất thoát tài sản công trong thời gian qua.</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Phần quỹ đất dôi dư sẽ được định hướng chuyển đổi sang phục vụ các mục tiêu an sinh như trường học, công trình công cộng. Song song với đó, tỉnh cũng lên kế hoạch xây dựng hệ thống dữ liệu số để quản lý tài sản công theo thời gian thực, qua đó nâng cao tín</w:t>
      </w:r>
      <w:r>
        <w:rPr>
          <w:rFonts w:ascii="Times New Roman" w:hAnsi="Times New Roman" w:eastAsia="Times New Roman" w:cs="Times New Roman"/>
          <w:color w:val="000000"/>
          <w:sz w:val="24"/>
          <w:highlight w:val="white"/>
        </w:rPr>
        <w:t xml:space="preserve">h minh bạch và hiệu quả quản lý.&gt;&gt; Các dự án hạ tầng mới đang triển khai tại Cao Bằng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Nguồn thu hơn 222 tỷ đồng trong năm 2026 được kỳ vọng đến từ nhiều kênh, bao gồm đấu giá quyền sử dụng đất, đấu giá tài sản gắn liền với đất và các dự án đô thị ngoài ngân sách. Đây không chỉ là nguồn lực tài chính quan trọng, mà còn là “đòn bẩy” để tỉnh t</w:t>
      </w:r>
      <w:r>
        <w:rPr>
          <w:rFonts w:ascii="Times New Roman" w:hAnsi="Times New Roman" w:eastAsia="Times New Roman" w:cs="Times New Roman"/>
          <w:color w:val="000000"/>
          <w:sz w:val="24"/>
          <w:highlight w:val="white"/>
        </w:rPr>
        <w:t xml:space="preserve">ái đầu tư cho hạ tầng và các chương trình phát triển nhà ở.</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Trong bức tranh tổng thể đó, nhà ở xã hội nổi lên như một ưu tiên lớn. Theo Sở Xây dựng, giai đoạn 2026-2030, Cao Bằng đặt mục tiêu phát triển khoảng 1.500 căn nhà ở xã hội, riêng năm 2026 sẽ hoàn thành 200 căn. Để hiện thực hóa mục tiêu này, tỉnh dự kiến </w:t>
      </w:r>
      <w:r>
        <w:rPr>
          <w:rFonts w:ascii="Times New Roman" w:hAnsi="Times New Roman" w:eastAsia="Times New Roman" w:cs="Times New Roman"/>
          <w:color w:val="000000"/>
          <w:sz w:val="24"/>
          <w:highlight w:val="white"/>
        </w:rPr>
        <w:t xml:space="preserve">triển khai 8 dự án tại các khu vực trung tâm, với quy mô hàng nghìn căn hộ và tổng mức đầu tư đáng kể.</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Một số dự án có thể được khởi động sớm nếu tháo gỡ được các điểm nghẽn về giải phóng mặt bằng và hạ tầng. Vì vậy, lãnh đạo tỉnh yêu cầu các đơn vị liên quan phải đẩy nhanh tiến độ tạo quỹ đất sạch, đồng thời rà soát và kiên quyết thu hồi các dự án đô thị c</w:t>
      </w:r>
      <w:r>
        <w:rPr>
          <w:rFonts w:ascii="Times New Roman" w:hAnsi="Times New Roman" w:eastAsia="Times New Roman" w:cs="Times New Roman"/>
          <w:color w:val="000000"/>
          <w:sz w:val="24"/>
          <w:highlight w:val="white"/>
        </w:rPr>
        <w:t xml:space="preserve">hậm triển khai hoặc chủ đầu tư yếu kém. Những khu đất này sẽ được ưu tiên chuyển đổi sang phát triển nhà ở xã hội hoặc các công trình phục vụ cộng đồng.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center"/>
        <w:rPr/>
      </w:pPr>
      <w:r>
        <w:rPr>
          <w:rFonts w:ascii="Times New Roman" w:hAnsi="Times New Roman" w:eastAsia="Times New Roman" w:cs="Times New Roman"/>
          <w:color w:val="000000"/>
          <w:sz w:val="24"/>
          <w:highlight w:val="white"/>
        </w:rPr>
        <w:t xml:space="preserve">(Nguồn: https://cafeland.vn/tin-tuc/cao-bang-kich-hoat-lai-quy-nha-dat-doi-du-149698.html)</w:t>
      </w:r>
      <w:r/>
    </w:p>
    <w:p>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và tài sản gắn liền với đất tại thửa </w:t>
            </w:r>
            <w:r>
              <w:rPr>
                <w:rFonts w:ascii="Times New Roman" w:hAnsi="Times New Roman" w:eastAsia="Times New Roman" w:cs="Times New Roman"/>
                <w:b/>
                <w:bCs/>
                <w:color w:val="000000"/>
                <w:sz w:val="24"/>
              </w:rPr>
              <w:t xml:space="preserve">đất số: 62, tờ bản đồ số 60-5 có địa chỉ: Tổ Dân Phố 2 - Thị trấn Hùng Quốc - Huyện Trà Lĩnh - Tỉnh Cao Bằng (Nay là: Xóm Hùng Quốc 3, xã Trà Lĩnh, tỉnh Cao Bằng) theo Giấy chứng nhận quyền sử dụng đất quyền sở hữu nhà ở và tài sản khác gắn liền với đất s</w:t>
            </w:r>
            <w:r>
              <w:rPr>
                <w:rFonts w:ascii="Times New Roman" w:hAnsi="Times New Roman" w:eastAsia="Times New Roman" w:cs="Times New Roman"/>
                <w:b/>
                <w:bCs/>
                <w:color w:val="000000"/>
                <w:sz w:val="24"/>
              </w:rPr>
              <w:t xml:space="preserve">ố: BQ 953368, số vào sổ cấp GCN: CH05683 do Uỷ ban nhân dân huyện Trà Lĩnh cấp ngày 25/12/2013; Chủ sử dụng đất là Hộ ông: Bế Văn Triều và bà Đàm Thị Tới</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60-5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r>
            <w:r>
              <w:rPr>
                <w:rFonts w:ascii="Times New Roman" w:hAnsi="Times New Roman" w:eastAsia="Times New Roman" w:cs="Times New Roman"/>
                <w:b w:val="0"/>
                <w:bCs w:val="0"/>
                <w:color w:val="000000"/>
                <w:sz w:val="24"/>
              </w:rPr>
              <w:t xml:space="preserve">Tổ Dân Phố 2 - Thị trấn Hùng Quốc - Huyện Trà Lĩnh - Tỉnh Cao Bằng (Nay là: Xóm Hùng Quốc 3, xã Trà Lĩnh, tỉnh Cao Bằng)</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41,9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quyền sử dụng đất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highlight w:val="none"/>
              </w:rPr>
            </w:pPr>
            <w:r>
              <w:rPr>
                <w:color w:val="000000"/>
              </w:rPr>
            </w:r>
            <w:r>
              <w:rPr>
                <w:color w:val="000000"/>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Guland, xác đ</w:t>
            </w:r>
            <w:r>
              <w:rPr>
                <w:color w:val="000000"/>
              </w:rPr>
              <w:t xml:space="preserve">ịnh vị trí tài sản thuộc quy hoạch đất ở</w:t>
            </w:r>
            <w:r>
              <w:rPr>
                <w:color w:val="000000"/>
              </w:rPr>
              <w:t xml:space="preserve">.</w:t>
            </w:r>
            <w:r>
              <w:rPr>
                <w:color w:val="000000"/>
                <w:highlight w:val="none"/>
              </w:rPr>
            </w:r>
            <w:r>
              <w:rPr>
                <w:color w:val="000000"/>
                <w:highlight w:val="none"/>
              </w:rPr>
            </w:r>
          </w:p>
          <w:p>
            <w:pPr>
              <w:pBdr/>
              <w:spacing/>
              <w:ind/>
              <w:jc w:val="both"/>
              <w:rPr>
                <w:color w:val="000000"/>
              </w:rPr>
            </w:pPr>
            <w:r>
              <w:rPr>
                <w:color w:val="000000"/>
                <w:highlight w:val="none"/>
              </w:rPr>
            </w:r>
            <w:r>
              <mc:AlternateContent>
                <mc:Choice Requires="wpg">
                  <w:drawing>
                    <wp:inline xmlns:wp="http://schemas.openxmlformats.org/drawingml/2006/wordprocessingDrawing" distT="0" distB="0" distL="0" distR="0">
                      <wp:extent cx="3893525" cy="255533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82758" name=""/>
                              <pic:cNvPicPr>
                                <a:picLocks noChangeAspect="1"/>
                              </pic:cNvPicPr>
                              <pic:nvPr/>
                            </pic:nvPicPr>
                            <pic:blipFill rotWithShape="1">
                              <a:blip r:embed="rId17"/>
                              <a:stretch/>
                            </pic:blipFill>
                            <pic:spPr bwMode="auto">
                              <a:xfrm flipH="0" flipV="0">
                                <a:off x="0" y="0"/>
                                <a:ext cx="3893524" cy="25553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6.58pt;height:201.21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8</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tiếp giáp đường DT 205, cách chợ Trà Lĩnh khoảng 200m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Đông Nam: Tiếp giáp đường bê tông</w:t>
            </w:r>
            <w:r/>
          </w:p>
          <w:p>
            <w:pPr>
              <w:pBdr/>
              <w:spacing/>
              <w:ind/>
              <w:rPr>
                <w:color w:val="000000" w:themeColor="text1"/>
              </w:rPr>
            </w:pPr>
            <w:r>
              <w:rPr>
                <w:rFonts w:ascii="Times New Roman" w:hAnsi="Times New Roman" w:eastAsia="Times New Roman" w:cs="Times New Roman"/>
                <w:color w:val="000000"/>
                <w:sz w:val="24"/>
              </w:rPr>
              <w:t xml:space="preserve">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22.829722222222</w:t>
            </w:r>
            <w:r>
              <w:rPr>
                <w:color w:val="000000"/>
              </w:rPr>
              <w:t xml:space="preserve">, </w:t>
            </w:r>
            <w:r>
              <w:rPr>
                <w:color w:val="000000"/>
              </w:rPr>
              <w:t xml:space="preserve">106.32416666667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37845"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flipH="0" flipV="0">
                                <a:off x="0" y="0"/>
                                <a:ext cx="5437845"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8.18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41,9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41,9</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4,95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8,46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Khu vực tập trung dân cư</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rFonts w:ascii="Times New Roman" w:hAnsi="Times New Roman" w:eastAsia="Times New Roman" w:cs="Times New Roman"/>
                <w:color w:val="000000"/>
                <w:sz w:val="24"/>
                <w:szCs w:val="24"/>
              </w:rPr>
            </w:pPr>
            <w:r>
              <w:rPr>
                <w:color w:val="000000"/>
              </w:rPr>
            </w:r>
            <w:r>
              <w:rPr>
                <w:rFonts w:ascii="Times New Roman" w:hAnsi="Times New Roman" w:eastAsia="Times New Roman" w:cs="Times New Roman"/>
                <w:color w:val="000000"/>
                <w:sz w:val="24"/>
              </w:rPr>
              <w:t xml:space="preserve">- Trên đất có 1 nhà 4 tầng gồm 3 tầng nổi + 1 tầng hầm, kết cấu xây dựng bê tông xi măng, xây dựng hết đất, tổng diện tích sàn xây dựng khoảng 167,6m2, nhà được xây dựng năm 2013, hiện trạng nhà vẫn sử dụng bình thường.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ind/>
              <w:jc w:val="both"/>
              <w:rPr>
                <w:color w:val="000000"/>
              </w:rPr>
            </w:pPr>
            <w:r>
              <w:rPr>
                <w:rFonts w:ascii="Times New Roman" w:hAnsi="Times New Roman" w:eastAsia="Times New Roman" w:cs="Times New Roman"/>
                <w:color w:val="000000"/>
                <w:sz w:val="24"/>
              </w:rPr>
              <w:t xml:space="preserve">- Công trình chưa được công nhận t</w:t>
            </w:r>
            <w:r>
              <w:rPr>
                <w:rFonts w:ascii="Times New Roman" w:hAnsi="Times New Roman" w:eastAsia="Times New Roman" w:cs="Times New Roman"/>
                <w:color w:val="000000"/>
                <w:sz w:val="24"/>
              </w:rPr>
              <w:t xml:space="preserve">rên GCN QSDĐ</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highlight w:val="none"/>
          <w:lang w:val="pt-BR" w:bidi="pt-BR"/>
        </w:rPr>
      </w:r>
      <w:r>
        <w:rPr>
          <w:color w:val="000000"/>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Guland, xác đ</w:t>
      </w:r>
      <w:r>
        <w:rPr>
          <w:color w:val="000000"/>
        </w:rPr>
        <w:t xml:space="preserve">ịnh vị trí tài sản thuộc quy hoạch đất ở</w:t>
      </w:r>
      <w:r>
        <w:rPr>
          <w:highlight w:val="none"/>
          <w:lang w:val="pt-BR"/>
        </w:rPr>
        <w:t xml:space="preserve">.</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 nhận rõ tình trạng quy hoạch thì kết q</w:t>
      </w:r>
      <w:r>
        <w:rPr>
          <w:rFonts w:ascii="Times New Roman" w:hAnsi="Times New Roman" w:eastAsia="Times New Roman" w:cs="Times New Roman"/>
          <w:color w:val="000000"/>
          <w:sz w:val="24"/>
        </w:rPr>
        <w:t xml:space="preserve">uả thẩm định giá cần được xem xét, điều chỉnh phù hợp, đồng thời chúng tôi bảo lưu quyền xem xét lại kết quả thẩm định giá</w:t>
      </w:r>
      <w:r>
        <w:rPr>
          <w:highlight w:val="none"/>
          <w:lang w:val="pt-BR"/>
        </w:rPr>
        <w:t xml:space="preserve">.</w:t>
      </w:r>
      <w:r>
        <w:rPr>
          <w:spacing w:val="-2"/>
          <w:lang w:val="pt-BR"/>
        </w:rPr>
      </w:r>
      <w:r>
        <w:rPr>
          <w:spacing w:val="-2"/>
          <w:lang w:val="pt-BR"/>
        </w:rPr>
      </w:r>
    </w:p>
    <w:p>
      <w:pPr>
        <w:pStyle w:val="1033"/>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CTXD gắn liền với đất là nhà 4 tầng trong đó có 3 tầng nổi và 1 tầng hầm, BTCT, xây dựng hoàn thiện năm 2013, diện tích xây dựng khoảng 41,9m2, diện tích sử dụng khoảng 167,6m2. Công trình chưa được chứng nhận trên Giấy chứng nhận q</w:t>
      </w:r>
      <w:r>
        <w:rPr>
          <w:rFonts w:ascii="Times New Roman" w:hAnsi="Times New Roman" w:eastAsia="Times New Roman" w:cs="Times New Roman"/>
          <w:color w:val="000000"/>
          <w:sz w:val="24"/>
        </w:rPr>
        <w:t xml:space="preserve">uyền sử dụng đất quyền sở hữu nhà ở và tài sản khác gắn liền với đất số: BQ 953368. Đồng thời, Tổ thẩm định không nhận được bất kỳ hồ sơ pháp lý nào liên quan đến CTXD nêu trên. Do vậy, Theo đề nghị của Khách hàng/Ngân hàng, tổ thẩm định xác định giá trị c</w:t>
      </w:r>
      <w:r>
        <w:rPr>
          <w:rFonts w:ascii="Times New Roman" w:hAnsi="Times New Roman" w:eastAsia="Times New Roman" w:cs="Times New Roman"/>
          <w:color w:val="000000"/>
          <w:sz w:val="24"/>
        </w:rPr>
        <w:t xml:space="preserve">ông trình theo khảo sát đo đạc thực tế với giả định thông số đo đạc được là chính xác</w:t>
      </w:r>
      <w:r>
        <w:rPr>
          <w:highlight w:val="none"/>
          <w:lang w:val="pt-BR" w:bidi="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3"/>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3"/>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3"/>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64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Trà Lĩnh, Tỉnh Cao Bằng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Trà Lĩnh, Tỉnh Cao Bằng</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Trà Lĩnh, Tỉnh Cao Bằng</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Trà Lĩnh, Tỉnh Cao Bằng</w:t>
            </w:r>
            <w:r>
              <w:rPr>
                <w:sz w:val="22"/>
                <w:szCs w:val="22"/>
              </w:rPr>
            </w:r>
            <w:r/>
          </w:p>
        </w:tc>
      </w:tr>
      <w:tr>
        <w:trPr>
          <w:trHeight w:val="169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https://www.facebook.com/groups/tralinhquetoi/posts/9968369949848403/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0984487872</w:t>
            </w:r>
            <w:r>
              <w:rPr>
                <w:sz w:val="22"/>
                <w:szCs w:val="22"/>
              </w:rPr>
              <w:t xml:space="preserve"> </w:t>
            </w:r>
            <w:r>
              <w:rPr>
                <w:sz w:val="22"/>
                <w:szCs w:val="22"/>
              </w:rPr>
              <w:br/>
              <w:t xml:space="preserve">(</w:t>
            </w:r>
            <w:r>
              <w:rPr>
                <w:sz w:val="22"/>
                <w:szCs w:val="22"/>
              </w:rPr>
              <w:t xml:space="preserve">Hoàng Cát</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0988415291</w:t>
            </w:r>
            <w:r>
              <w:rPr>
                <w:sz w:val="22"/>
                <w:szCs w:val="22"/>
              </w:rPr>
              <w:br/>
            </w:r>
            <w:r>
              <w:rPr>
                <w:sz w:val="22"/>
                <w:szCs w:val="22"/>
              </w:rPr>
              <w:t xml:space="preserve">(</w:t>
            </w:r>
            <w:r>
              <w:rPr>
                <w:sz w:val="22"/>
                <w:szCs w:val="22"/>
              </w:rPr>
              <w:t xml:space="preserve">Hoàng Bích Ngọc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0976740311</w:t>
            </w:r>
            <w:r>
              <w:rPr>
                <w:sz w:val="22"/>
                <w:szCs w:val="22"/>
              </w:rPr>
              <w:br/>
            </w:r>
            <w:r>
              <w:rPr>
                <w:sz w:val="22"/>
                <w:szCs w:val="22"/>
              </w:rPr>
              <w:t xml:space="preserve">(</w:t>
            </w:r>
            <w:r>
              <w:rPr>
                <w:sz w:val="22"/>
                <w:szCs w:val="22"/>
              </w:rPr>
              <w:t xml:space="preserve">Lã Thanh Tùng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7/2026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7/2026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tiếp giáp DT205 rộng khoảng 8m, cách chợ Trà Lĩnh khoảng 200m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thuộc Khu 2 Trà Lĩnh, nằm giáp đường DT205 tại Thị trấn Hùng Quốc, huyện Trà Lĩnh, tỉnh Cao Bằng. Nằm cách chợ thị trấn Trà Lĩnh khoảng 400m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thuộc Tổ dân phố 1, Thị trấn Hùng Quốc, Huyện Trà Lĩnh, cách chợ thị trấn Trà Lĩnh khoảng 450m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thuộc Khu 3 Trà Lĩnh, nằm giáp đường DT205 tại Thị trấn Hùng Quốc, huyện Trà Lĩnh, tỉnh Cao Bằng. Cách chợ thị trấn Trà Lĩnh khoảng 200m</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2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3.072.000.000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2.660.000.000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1.017.373.500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số 425/QĐ-BXD ngày 30/3/2026 của Bộ Xây Dựng (đồng/m²)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7.825.950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Tỷ lệ % CLCL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65%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4.142.626.500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3.072.000.000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2.660.000.000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23.014.592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22.571.639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20.862.745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4.142.626.500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3.072.000.000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2.660.000.000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23.014.592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22.571.639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20.862.745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22.405.907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22.571.639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20.862.745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22.405.907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22.571.639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20.862.745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22.405.907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22.571.639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20.862.745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Tài sản tiếp giáp DT205 rộng khoảng 8m, cách chợ Trà Lĩnh khoảng 200m</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Tài sản thuộc Khu 2 Trà Lĩnh, nằm giáp đường DT205 tại Thị trấn Hùng Quốc, huyện Trà Lĩnh, tỉnh Cao Bằng. Nằm cách chợ thị trấn Trà Lĩnh khoảng 400m</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Tài sản thuộc Tổ dân phố 1, Thị trấn Hùng Quốc, Huyện Trà Lĩnh, cách chợ thị trấn Trà Lĩnh khoảng 450m</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Tài sản thuộc Khu 3 Trà Lĩnh, nằm giáp đường DT205 tại Thị trấn Hùng Quốc, huyện Trà Lĩnh, tỉnh Cao Bằng. Cách chợ thị trấn Trà Lĩnh khoảng 200m</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22.405.907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22.571.639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20.862.745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22.405.907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22.571.639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20.862.745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1.128.582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22.405.907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23.700.221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20.862.745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41,9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136,1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127,5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2.301.459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1.354.298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1.251.765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25.316.051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25.054.519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22.114.510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-1.611.021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-902.866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-834.510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23.705.030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24.151.653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23.705.030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24.151.653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21.280.000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-1.580.015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1.460.392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23.705.030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22.571.638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22.740.392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23.705.030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22.571.638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22.740.392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23.705.030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22.571.638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22.740.392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23.005.687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-1,15%</w:t>
            </w:r>
            <w:r>
              <w:rPr>
                <w:color w:val="000000"/>
                <w:sz w:val="22"/>
                <w:szCs w:val="22"/>
              </w:rPr>
            </w:r>
            <w:r>
              <w:rPr>
                <w:color w:val="000000"/>
                <w:sz w:val="22"/>
                <w:szCs w:val="22"/>
              </w:rPr>
            </w:r>
          </w:p>
        </w:tc>
      </w:tr>
      <w:tr>
        <w:trPr>
          <w:trHeight w:val="454"/>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3.912.480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4.965.761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3.546.667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690.438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1.877.647</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-1,89</w:t>
      </w:r>
      <w:r>
        <w:t xml:space="preserve">% đến</w:t>
      </w:r>
      <w:r>
        <w:t xml:space="preserve"> </w:t>
      </w:r>
      <w:r>
        <w:t xml:space="preserve">3,04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23.705.030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7.903.257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22.571.638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7.523.127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22.740.392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7.579.373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23.005.757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23.000.000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23.000.000</w:t>
      </w:r>
      <w:r>
        <w:rPr>
          <w:b/>
          <w:bCs/>
          <w:color w:val="000000" w:themeColor="text1"/>
        </w:rPr>
        <w:t xml:space="preserve"> </w:t>
      </w:r>
      <w:r>
        <w:rPr>
          <w:b/>
          <w:bCs/>
        </w:rPr>
        <w:t xml:space="preserve">đồng/m².</w:t>
      </w:r>
      <w:r>
        <w:rPr>
          <w:b/>
          <w:bCs/>
        </w:rPr>
      </w:r>
      <w:r>
        <w:rPr>
          <w:b/>
          <w:bCs/>
        </w:rPr>
      </w:r>
    </w:p>
    <w:p>
      <w:pPr>
        <w:pStyle w:val="1033"/>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Qua tham khảo thị trường về đơn giá xây dựng mới đối với công trình </w:t>
      </w:r>
      <w:r>
        <w:rPr>
          <w:rFonts w:ascii="Times New Roman" w:hAnsi="Times New Roman" w:eastAsia="Times New Roman" w:cs="Times New Roman"/>
          <w:color w:val="000000"/>
          <w:sz w:val="24"/>
        </w:rPr>
        <w:t xml:space="preserve">nhà 3 tầng + 1 tầng hầm</w:t>
      </w:r>
      <w:r>
        <w:rPr>
          <w:rFonts w:ascii="Times New Roman" w:hAnsi="Times New Roman" w:eastAsia="Times New Roman" w:cs="Times New Roman"/>
          <w:color w:val="000000"/>
          <w:sz w:val="24"/>
        </w:rPr>
        <w:t xml:space="preserve"> trong đó có 3 tầng nổi và 1 tầng hầm, cân nhắc và xem xét với mức độ hoàn thiện của công trình xây dựng hiện có, tổ thẩm định nhận thấy đơn giá vận dụng theo - Quyết định số 425</w:t>
      </w:r>
      <w:r>
        <w:rPr>
          <w:rFonts w:ascii="Times New Roman" w:hAnsi="Times New Roman" w:eastAsia="Times New Roman" w:cs="Times New Roman"/>
          <w:color w:val="000000"/>
          <w:sz w:val="24"/>
        </w:rPr>
        <w:t xml:space="preserve">/QĐ-BXD ngày 30 tháng 3 năm 2026 của Bộ Xây dựng về việc công bố suất vốn đầu tư xây dựng và giá xây dựng tổng hợp bộ phận kết cấu công trình năm 2025 là khá phù hợp với thị trường, theo đó:</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i/>
          <w:color w:val="000000"/>
          <w:sz w:val="24"/>
        </w:rPr>
        <w:t xml:space="preserve">“Suất vốn đầu tư xây dựng Nhà từ 2 đến 3 tầng, kết cấu khung chịu lực BTCT; tường bao xây gạch; sàn, mái BTCT đổ tại chỗ,  có 1 tầng hầm có đơn giá là 10.334.000 đồng/m² sàn.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i/>
          <w:color w:val="000000"/>
          <w:sz w:val="24"/>
        </w:rPr>
        <w:t xml:space="preserve">Hệ số điều chỉnh vùng cho Suất đầu tư: Cao Bằng thuộc vùng 1 có hệ số điều chỉnh là 0,935.”</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426" w:left="0"/>
        <w:jc w:val="both"/>
        <w:rPr/>
      </w:pPr>
      <w:r>
        <w:rPr>
          <w:rFonts w:ascii="Times New Roman" w:hAnsi="Times New Roman" w:eastAsia="Times New Roman" w:cs="Times New Roman"/>
          <w:i/>
          <w:color w:val="000000"/>
          <w:sz w:val="24"/>
        </w:rPr>
        <w:t xml:space="preserve">Do đó, Tổ thẩm định xác định đơn giá xây mới chưa bao gồm thuế GTGT của công trình xây dựng là: (Suất đầu tư xây dựng) x (Hệ số vùng) / (1+ Thuế suất thuế GTGT) = 10.334.000 x 0,935/1,1 = 8.783.900 đồng/m² sàn. </w:t>
      </w:r>
      <w:r/>
    </w:p>
    <w:p>
      <w:pPr>
        <w:numPr>
          <w:ilvl w:val="0"/>
          <w:numId w:val="39"/>
        </w:numPr>
        <w:pBdr>
          <w:top w:val="none" w:color="000000" w:sz="4" w:space="0"/>
          <w:left w:val="none" w:color="000000" w:sz="4" w:space="0"/>
          <w:bottom w:val="none" w:color="000000" w:sz="4" w:space="0"/>
          <w:right w:val="none" w:color="000000" w:sz="4" w:space="0"/>
        </w:pBdr>
        <w:spacing w:after="120" w:before="120" w:line="264" w:lineRule="auto"/>
        <w:ind/>
        <w:jc w:val="both"/>
        <w:rPr/>
      </w:pPr>
      <w:r>
        <w:rPr>
          <w:rFonts w:ascii="Times New Roman" w:hAnsi="Times New Roman" w:eastAsia="Times New Roman" w:cs="Times New Roman"/>
          <w:b/>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hoàn th</w:t>
      </w:r>
      <w:r>
        <w:rPr>
          <w:rFonts w:ascii="Times New Roman" w:hAnsi="Times New Roman" w:eastAsia="Times New Roman" w:cs="Times New Roman"/>
          <w:color w:val="000000"/>
          <w:spacing w:val="2"/>
          <w:sz w:val="24"/>
        </w:rPr>
        <w:t xml:space="preserve">ành đưa vào sử dụng khoảng năm 2013, do vậy tổ thẩm định xác định tuổi đời hiệu quả của công trình là khoảng 13 năm.</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là 50 năm.</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bl>
      <w:tblPr>
        <w:tblStyle w:val="1037"/>
        <w:tblInd w:w="-5"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582"/>
        <w:gridCol w:w="1723"/>
        <w:gridCol w:w="1401"/>
        <w:gridCol w:w="1401"/>
        <w:gridCol w:w="1259"/>
      </w:tblGrid>
      <w:tr>
        <w:trPr>
          <w:trHeight w:val="19"/>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2"/>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2"/>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2"/>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2"/>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b/>
                <w:color w:val="000000"/>
                <w:sz w:val="22"/>
              </w:rPr>
              <w:t xml:space="preserve">Tỉ lệ hao mòn (%)</w:t>
            </w:r>
            <w:r/>
          </w:p>
        </w:tc>
      </w:tr>
      <w:tr>
        <w:trPr>
          <w:trHeight w:val="19"/>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5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2"/>
              </w:rPr>
              <w:t xml:space="preserve">Nhà 04 tầng có 3 tầng nổi + 1 tầng hầm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T7/2026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64" w:lineRule="auto"/>
              <w:ind w:right="0" w:firstLine="0" w:left="0"/>
              <w:jc w:val="center"/>
              <w:rPr/>
            </w:pPr>
            <w:r>
              <w:rPr>
                <w:rFonts w:ascii="Times New Roman" w:hAnsi="Times New Roman" w:eastAsia="Times New Roman" w:cs="Times New Roman"/>
                <w:color w:val="000000"/>
                <w:sz w:val="22"/>
              </w:rPr>
              <w:t xml:space="preserve">26%</w:t>
            </w:r>
            <w:r/>
          </w:p>
        </w:tc>
      </w:tr>
    </w:tbl>
    <w:p>
      <w:pPr>
        <w:numPr>
          <w:ilvl w:val="0"/>
          <w:numId w:val="40"/>
        </w:numPr>
        <w:pBdr>
          <w:top w:val="none" w:color="000000" w:sz="4" w:space="0"/>
          <w:left w:val="none" w:color="000000" w:sz="4" w:space="0"/>
          <w:bottom w:val="none" w:color="000000" w:sz="4" w:space="0"/>
          <w:right w:val="none" w:color="000000" w:sz="4" w:space="0"/>
        </w:pBdr>
        <w:spacing w:after="120" w:before="240" w:line="264"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64" w:lineRule="auto"/>
        <w:ind w:right="0" w:firstLine="284" w:left="0"/>
        <w:jc w:val="both"/>
        <w:rPr/>
      </w:pPr>
      <w:r>
        <w:rPr>
          <w:rFonts w:ascii="Times New Roman" w:hAnsi="Times New Roman" w:eastAsia="Times New Roman" w:cs="Times New Roman"/>
          <w:color w:val="000000"/>
          <w:spacing w:val="2"/>
          <w:sz w:val="24"/>
        </w:rPr>
        <w:t xml:space="preserve">Công thức:</w:t>
      </w:r>
      <w:r/>
      <w:r>
        <w:rPr>
          <w:b/>
          <w:bCs/>
          <w:lang w:val="pt-BR"/>
        </w:rPr>
      </w:r>
      <w:r>
        <w:rPr>
          <w:b/>
          <w:bCs/>
          <w:lang w:val="pt-BR"/>
        </w:rPr>
      </w:r>
      <w:r>
        <w:rPr>
          <w:b/>
          <w:bCs/>
          <w:lang w:val="pt-BR"/>
        </w:rPr>
      </w:r>
      <w:r/>
    </w:p>
    <w:tbl>
      <w:tblPr>
        <w:tblStyle w:val="1037"/>
        <w:tblInd w:w="135"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169"/>
        <w:gridCol w:w="312"/>
        <w:gridCol w:w="539"/>
        <w:gridCol w:w="1559"/>
        <w:gridCol w:w="1559"/>
        <w:gridCol w:w="992"/>
        <w:gridCol w:w="756"/>
        <w:gridCol w:w="596"/>
        <w:gridCol w:w="1908"/>
      </w:tblGrid>
      <w:tr>
        <w:trPr>
          <w:trHeight w:val="794"/>
        </w:trPr>
        <w:tc>
          <w:tcPr>
            <w:gridSpan w:val="2"/>
            <w:tcBorders>
              <w:bottom w:val="single" w:color="000000" w:sz="4"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bottom w:val="single" w:color="000000" w:sz="4" w:space="0"/>
            </w:tcBorders>
            <w:tcMar>
              <w:left w:w="108" w:type="dxa"/>
              <w:top w:w="0" w:type="dxa"/>
              <w:right w:w="108" w:type="dxa"/>
              <w:bottom w:w="0" w:type="dxa"/>
            </w:tcMar>
            <w:tcW w:w="5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color w:val="000000"/>
                <w:sz w:val="24"/>
              </w:rPr>
              <w:t xml:space="preserve">=</w:t>
            </w:r>
            <w:r/>
          </w:p>
        </w:tc>
        <w:tc>
          <w:tcPr>
            <w:gridSpan w:val="3"/>
            <w:tcBorders>
              <w:bottom w:val="single" w:color="000000" w:sz="4" w:space="0"/>
            </w:tcBorders>
            <w:tcMar>
              <w:left w:w="108" w:type="dxa"/>
              <w:top w:w="0" w:type="dxa"/>
              <w:right w:w="108" w:type="dxa"/>
              <w:bottom w:w="0" w:type="dxa"/>
            </w:tcMar>
            <w:tcW w:w="41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line="360"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bottom w:val="single" w:color="000000" w:sz="4" w:space="0"/>
            </w:tcBorders>
            <w:tcMar>
              <w:left w:w="108" w:type="dxa"/>
              <w:top w:w="0" w:type="dxa"/>
              <w:right w:w="108" w:type="dxa"/>
              <w:bottom w:w="0" w:type="dxa"/>
            </w:tcMar>
            <w:tcW w:w="7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4" w:space="0"/>
            </w:tcBorders>
            <w:tcMar>
              <w:left w:w="108" w:type="dxa"/>
              <w:top w:w="0" w:type="dxa"/>
              <w:right w:w="108" w:type="dxa"/>
              <w:bottom w:w="0" w:type="dxa"/>
            </w:tcMar>
            <w:tcW w:w="25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360" w:lineRule="auto"/>
              <w:ind w:right="0" w:firstLine="0" w:left="0"/>
              <w:jc w:val="center"/>
              <w:rPr/>
            </w:pPr>
            <w:r>
              <w:rPr>
                <w:rFonts w:ascii="Times New Roman" w:hAnsi="Times New Roman" w:eastAsia="Times New Roman" w:cs="Times New Roman"/>
                <w:color w:val="000000"/>
                <w:sz w:val="24"/>
              </w:rPr>
              <w:t xml:space="preserve">Tổng giá trị hao mòn </w:t>
            </w: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sz w:val="22"/>
                <w:szCs w:val="22"/>
              </w:rPr>
            </w:pPr>
            <w:r>
              <w:rPr>
                <w:rFonts w:ascii="Times New Roman" w:hAnsi="Times New Roman" w:eastAsia="Times New Roman" w:cs="Times New Roman"/>
                <w:b/>
                <w:color w:val="000000"/>
                <w:sz w:val="22"/>
                <w:szCs w:val="22"/>
              </w:rPr>
              <w:t xml:space="preserve">Tài sản</w:t>
            </w:r>
            <w:r>
              <w:rPr>
                <w:sz w:val="22"/>
                <w:szCs w:val="22"/>
              </w:rP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sz w:val="22"/>
                <w:szCs w:val="22"/>
              </w:rPr>
            </w:pPr>
            <w:r>
              <w:rPr>
                <w:rFonts w:ascii="Times New Roman" w:hAnsi="Times New Roman" w:eastAsia="Times New Roman" w:cs="Times New Roman"/>
                <w:b/>
                <w:color w:val="000000"/>
                <w:sz w:val="22"/>
                <w:szCs w:val="22"/>
              </w:rPr>
              <w:t xml:space="preserve">Diện tích sàn (m²)</w:t>
            </w:r>
            <w:r>
              <w:rPr>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sz w:val="22"/>
                <w:szCs w:val="22"/>
              </w:rPr>
            </w:pPr>
            <w:r>
              <w:rPr>
                <w:rFonts w:ascii="Times New Roman" w:hAnsi="Times New Roman" w:eastAsia="Times New Roman" w:cs="Times New Roman"/>
                <w:b/>
                <w:color w:val="000000"/>
                <w:sz w:val="22"/>
                <w:szCs w:val="22"/>
              </w:rPr>
              <w:t xml:space="preserve">Đơn giá xây dựng mới (đồng/m² sàn)</w:t>
            </w:r>
            <w:r>
              <w:rPr>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sz w:val="22"/>
                <w:szCs w:val="22"/>
              </w:rPr>
            </w:pPr>
            <w:r>
              <w:rPr>
                <w:rFonts w:ascii="Times New Roman" w:hAnsi="Times New Roman" w:eastAsia="Times New Roman" w:cs="Times New Roman"/>
                <w:b/>
                <w:color w:val="000000"/>
                <w:sz w:val="22"/>
                <w:szCs w:val="22"/>
              </w:rPr>
              <w:t xml:space="preserve">Chi phí thay thế (đồng)</w:t>
            </w:r>
            <w:r>
              <w:rPr>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sz w:val="22"/>
                <w:szCs w:val="22"/>
              </w:rPr>
            </w:pPr>
            <w:r>
              <w:rPr>
                <w:rFonts w:ascii="Times New Roman" w:hAnsi="Times New Roman" w:eastAsia="Times New Roman" w:cs="Times New Roman"/>
                <w:b/>
                <w:color w:val="000000"/>
                <w:sz w:val="22"/>
                <w:szCs w:val="22"/>
              </w:rPr>
              <w:t xml:space="preserve">Tỷ lệ hao mòn (%)</w:t>
            </w:r>
            <w:r>
              <w:rPr>
                <w:sz w:val="22"/>
                <w:szCs w:val="22"/>
              </w:rP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sz w:val="22"/>
                <w:szCs w:val="22"/>
              </w:rPr>
            </w:pPr>
            <w:r>
              <w:rPr>
                <w:rFonts w:ascii="Times New Roman" w:hAnsi="Times New Roman" w:eastAsia="Times New Roman" w:cs="Times New Roman"/>
                <w:b/>
                <w:color w:val="000000"/>
                <w:sz w:val="22"/>
                <w:szCs w:val="22"/>
              </w:rPr>
              <w:t xml:space="preserve">Giá trị hao mòn (đồng)</w:t>
            </w:r>
            <w:r>
              <w:rPr>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sz w:val="22"/>
                <w:szCs w:val="22"/>
              </w:rPr>
            </w:pPr>
            <w:r>
              <w:rPr>
                <w:rFonts w:ascii="Times New Roman" w:hAnsi="Times New Roman" w:eastAsia="Times New Roman" w:cs="Times New Roman"/>
                <w:b/>
                <w:color w:val="000000"/>
                <w:sz w:val="22"/>
                <w:szCs w:val="22"/>
              </w:rPr>
              <w:t xml:space="preserve">Giá trị thẩm định tại thời điểm thẩm định giá (đồng)</w:t>
            </w:r>
            <w:r>
              <w:rPr>
                <w:sz w:val="22"/>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sz w:val="22"/>
                <w:szCs w:val="22"/>
              </w:rPr>
            </w:pPr>
            <w:r>
              <w:rPr>
                <w:rFonts w:ascii="Times New Roman" w:hAnsi="Times New Roman" w:eastAsia="Times New Roman" w:cs="Times New Roman"/>
                <w:b/>
                <w:color w:val="000000"/>
                <w:sz w:val="22"/>
                <w:szCs w:val="22"/>
              </w:rPr>
              <w:t xml:space="preserve">(1)</w:t>
            </w:r>
            <w:r>
              <w:rPr>
                <w:sz w:val="22"/>
                <w:szCs w:val="22"/>
              </w:rP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sz w:val="22"/>
                <w:szCs w:val="22"/>
              </w:rPr>
            </w:pPr>
            <w:r>
              <w:rPr>
                <w:rFonts w:ascii="Times New Roman" w:hAnsi="Times New Roman" w:eastAsia="Times New Roman" w:cs="Times New Roman"/>
                <w:b/>
                <w:color w:val="000000"/>
                <w:sz w:val="22"/>
                <w:szCs w:val="22"/>
              </w:rPr>
              <w:t xml:space="preserve">(2)</w:t>
            </w:r>
            <w:r>
              <w:rPr>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sz w:val="22"/>
                <w:szCs w:val="22"/>
              </w:rPr>
            </w:pPr>
            <w:r>
              <w:rPr>
                <w:rFonts w:ascii="Times New Roman" w:hAnsi="Times New Roman" w:eastAsia="Times New Roman" w:cs="Times New Roman"/>
                <w:b/>
                <w:color w:val="000000"/>
                <w:sz w:val="22"/>
                <w:szCs w:val="22"/>
              </w:rPr>
              <w:t xml:space="preserve">(3)</w:t>
            </w:r>
            <w:r>
              <w:rPr>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sz w:val="22"/>
                <w:szCs w:val="22"/>
              </w:rPr>
            </w:pPr>
            <w:r>
              <w:rPr>
                <w:rFonts w:ascii="Times New Roman" w:hAnsi="Times New Roman" w:eastAsia="Times New Roman" w:cs="Times New Roman"/>
                <w:b/>
                <w:color w:val="000000"/>
                <w:sz w:val="22"/>
                <w:szCs w:val="22"/>
              </w:rPr>
              <w:t xml:space="preserve">(4) = (2) * (3)</w:t>
            </w:r>
            <w:r>
              <w:rPr>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sz w:val="22"/>
                <w:szCs w:val="22"/>
              </w:rPr>
            </w:pPr>
            <w:r>
              <w:rPr>
                <w:rFonts w:ascii="Times New Roman" w:hAnsi="Times New Roman" w:eastAsia="Times New Roman" w:cs="Times New Roman"/>
                <w:b/>
                <w:color w:val="000000"/>
                <w:sz w:val="22"/>
                <w:szCs w:val="22"/>
              </w:rPr>
              <w:t xml:space="preserve">(5)</w:t>
            </w:r>
            <w:r>
              <w:rPr>
                <w:sz w:val="22"/>
                <w:szCs w:val="22"/>
              </w:rP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sz w:val="22"/>
                <w:szCs w:val="22"/>
              </w:rPr>
            </w:pPr>
            <w:r>
              <w:rPr>
                <w:rFonts w:ascii="Times New Roman" w:hAnsi="Times New Roman" w:eastAsia="Times New Roman" w:cs="Times New Roman"/>
                <w:b/>
                <w:color w:val="000000"/>
                <w:sz w:val="22"/>
                <w:szCs w:val="22"/>
              </w:rPr>
              <w:t xml:space="preserve">(6)=(4)*(5)</w:t>
            </w:r>
            <w:r>
              <w:rPr>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sz w:val="22"/>
                <w:szCs w:val="22"/>
              </w:rPr>
            </w:pPr>
            <w:r>
              <w:rPr>
                <w:rFonts w:ascii="Times New Roman" w:hAnsi="Times New Roman" w:eastAsia="Times New Roman" w:cs="Times New Roman"/>
                <w:b/>
                <w:color w:val="000000"/>
                <w:sz w:val="22"/>
                <w:szCs w:val="22"/>
              </w:rPr>
              <w:t xml:space="preserve">(7) = (4) - (6)</w:t>
            </w:r>
            <w:r>
              <w:rPr>
                <w:sz w:val="22"/>
                <w:szCs w:val="22"/>
              </w:rPr>
            </w:r>
          </w:p>
        </w:tc>
      </w:tr>
      <w:tr>
        <w:trPr>
          <w:trHeight w:val="2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1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jc w:val="center"/>
              <w:rPr>
                <w:sz w:val="22"/>
                <w:szCs w:val="22"/>
              </w:rPr>
            </w:pPr>
            <w:r>
              <w:rPr>
                <w:rFonts w:ascii="Times New Roman" w:hAnsi="Times New Roman" w:eastAsia="Times New Roman" w:cs="Times New Roman"/>
                <w:color w:val="000000"/>
                <w:sz w:val="22"/>
                <w:szCs w:val="22"/>
              </w:rPr>
              <w:t xml:space="preserve">Nhà 3 tầng + 1 tầng hầm</w:t>
            </w:r>
            <w:r>
              <w:rPr>
                <w:sz w:val="22"/>
                <w:szCs w:val="22"/>
              </w:rPr>
            </w:r>
            <w:r>
              <w:rPr>
                <w:sz w:val="22"/>
                <w:szCs w:val="22"/>
              </w:rP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5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jc w:val="center"/>
              <w:rPr>
                <w:sz w:val="22"/>
                <w:szCs w:val="22"/>
              </w:rPr>
            </w:pPr>
            <w:r>
              <w:rPr>
                <w:rFonts w:ascii="Times New Roman" w:hAnsi="Times New Roman" w:eastAsia="Times New Roman" w:cs="Times New Roman"/>
                <w:color w:val="000000"/>
                <w:sz w:val="22"/>
                <w:szCs w:val="22"/>
              </w:rPr>
              <w:t xml:space="preserve">167,6</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jc w:val="center"/>
              <w:rPr>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8.783.900</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0" w:before="40" w:line="264" w:lineRule="auto"/>
              <w:ind w:right="0" w:firstLine="0" w:left="0"/>
              <w:jc w:val="center"/>
              <w:rPr>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1.472.181.640</w:t>
            </w:r>
            <w:r>
              <w:rPr>
                <w:sz w:val="22"/>
                <w:szCs w:val="22"/>
              </w:rPr>
            </w:r>
            <w:r>
              <w:rPr>
                <w:sz w:val="22"/>
                <w:szCs w:val="22"/>
              </w:rPr>
            </w:r>
            <w:r>
              <w:rPr>
                <w:rFonts w:ascii="Times New Roman" w:hAnsi="Times New Roman" w:eastAsia="Times New Roman" w:cs="Times New Roman"/>
                <w:color w:val="000000"/>
                <w:sz w:val="22"/>
                <w:szCs w:val="22"/>
              </w:rPr>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sz w:val="22"/>
                <w:szCs w:val="22"/>
              </w:rPr>
            </w:pPr>
            <w:r>
              <w:rPr>
                <w:rFonts w:ascii="Times New Roman" w:hAnsi="Times New Roman" w:eastAsia="Times New Roman" w:cs="Times New Roman"/>
                <w:color w:val="000000"/>
                <w:sz w:val="22"/>
                <w:szCs w:val="22"/>
              </w:rPr>
              <w:t xml:space="preserve">26%</w:t>
            </w:r>
            <w:r>
              <w:rPr>
                <w:sz w:val="22"/>
                <w:szCs w:val="22"/>
              </w:rPr>
            </w:r>
          </w:p>
        </w:tc>
        <w:tc>
          <w:tcPr>
            <w:gridSpan w:val="2"/>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line="264" w:lineRule="auto"/>
              <w:ind w:right="0" w:firstLine="0" w:left="0"/>
              <w:jc w:val="center"/>
              <w:rPr>
                <w:rFonts w:ascii="Times New Roman" w:hAnsi="Times New Roman" w:eastAsia="Times New Roman" w:cs="Times New Roman"/>
                <w:sz w:val="22"/>
                <w:szCs w:val="22"/>
              </w:rPr>
            </w:pPr>
            <w:r>
              <w:rPr>
                <w:rFonts w:ascii="Times New Roman" w:hAnsi="Times New Roman" w:eastAsia="Times New Roman" w:cs="Times New Roman"/>
                <w:color w:val="000000"/>
                <w:sz w:val="22"/>
                <w:szCs w:val="22"/>
              </w:rPr>
            </w:r>
            <w:r>
              <w:rPr>
                <w:rFonts w:ascii="Times New Roman" w:hAnsi="Times New Roman" w:eastAsia="Times New Roman" w:cs="Times New Roman"/>
                <w:color w:val="000000"/>
                <w:sz w:val="22"/>
                <w:szCs w:val="22"/>
              </w:rPr>
              <w:t xml:space="preserve">382.767.226</w:t>
            </w:r>
            <w:r>
              <w:rPr>
                <w:rFonts w:ascii="Times New Roman" w:hAnsi="Times New Roman" w:eastAsia="Times New Roman" w:cs="Times New Roman"/>
                <w:sz w:val="22"/>
                <w:szCs w:val="22"/>
              </w:rPr>
            </w:r>
            <w:r>
              <w:rPr>
                <w:rFonts w:ascii="Times New Roman" w:hAnsi="Times New Roman" w:eastAsia="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908"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1.089.414.414 </w:t>
            </w:r>
            <w:r>
              <w:rPr>
                <w:sz w:val="22"/>
                <w:szCs w:val="22"/>
              </w:rPr>
            </w:r>
            <w:r>
              <w:rPr>
                <w:sz w:val="22"/>
                <w:szCs w:val="22"/>
              </w:rPr>
            </w:r>
          </w:p>
          <w:p>
            <w:pPr>
              <w:pBdr/>
              <w:spacing/>
              <w:ind/>
              <w:rPr>
                <w:sz w:val="22"/>
                <w:szCs w:val="22"/>
              </w:rPr>
            </w:pPr>
            <w:r>
              <w:rPr>
                <w:sz w:val="22"/>
                <w:szCs w:val="22"/>
              </w:rPr>
            </w:r>
            <w:r>
              <w:rPr>
                <w:sz w:val="22"/>
                <w:szCs w:val="22"/>
              </w:rPr>
            </w:r>
          </w:p>
        </w:tc>
      </w:tr>
    </w:tbl>
    <w:p>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3"/>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07/2026</w:t>
      </w:r>
      <w:r>
        <w:t xml:space="preserve"> </w:t>
      </w:r>
      <w:r>
        <w:t xml:space="preserve">ước tính </w:t>
      </w:r>
      <w:r>
        <w:t xml:space="preserve">như sau</w:t>
      </w:r>
      <w:r>
        <w:t xml:space="preserve">:</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00"/>
        <w:gridCol w:w="1837"/>
        <w:gridCol w:w="1701"/>
        <w:gridCol w:w="2126"/>
        <w:gridCol w:w="1497"/>
        <w:gridCol w:w="1763"/>
      </w:tblGrid>
      <w:tr>
        <w:trPr>
          <w:trHeight w:val="20"/>
        </w:trPr>
        <w:tc>
          <w:tcPr>
            <w:shd w:val="clear" w:color="000000" w:fill="ffffff"/>
            <w:tcBorders/>
            <w:tcW w:w="600" w:type="dxa"/>
            <w:vAlign w:val="center"/>
            <w:textDirection w:val="lrTb"/>
            <w:noWrap w:val="false"/>
          </w:tcPr>
          <w:p>
            <w:pPr>
              <w:pBdr/>
              <w:spacing w:after="40" w:before="40" w:line="240" w:lineRule="auto"/>
              <w:ind/>
              <w:jc w:val="center"/>
              <w:rPr>
                <w:b/>
                <w:bCs/>
              </w:rPr>
            </w:pPr>
            <w:r>
              <w:rPr>
                <w:b/>
                <w:bCs/>
              </w:rPr>
              <w:t xml:space="preserve">TT</w:t>
            </w:r>
            <w:r>
              <w:rPr>
                <w:b/>
                <w:bCs/>
              </w:rPr>
            </w:r>
            <w:r>
              <w:rPr>
                <w:b/>
                <w:bCs/>
              </w:rPr>
            </w:r>
          </w:p>
        </w:tc>
        <w:tc>
          <w:tcPr>
            <w:shd w:val="clear" w:color="000000" w:fill="ffffff"/>
            <w:tcBorders/>
            <w:tcW w:w="1837" w:type="dxa"/>
            <w:vAlign w:val="center"/>
            <w:textDirection w:val="lrTb"/>
            <w:noWrap w:val="false"/>
          </w:tcPr>
          <w:p>
            <w:pPr>
              <w:pBdr/>
              <w:spacing w:after="40" w:before="40" w:line="240"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40" w:lineRule="auto"/>
              <w:ind/>
              <w:jc w:val="center"/>
              <w:rPr>
                <w:b/>
                <w:bCs/>
              </w:rPr>
            </w:pPr>
            <w:r>
              <w:rPr>
                <w:b/>
                <w:bCs/>
              </w:rPr>
              <w:t xml:space="preserve">Diện tích (m²)</w:t>
            </w:r>
            <w:r>
              <w:rPr>
                <w:b/>
                <w:bCs/>
              </w:rPr>
            </w:r>
            <w:r>
              <w:rPr>
                <w:b/>
                <w:bCs/>
              </w:rPr>
            </w:r>
          </w:p>
        </w:tc>
        <w:tc>
          <w:tcPr>
            <w:shd w:val="clear" w:color="000000" w:fill="ffffff"/>
            <w:tcBorders/>
            <w:tcW w:w="2126" w:type="dxa"/>
            <w:vAlign w:val="center"/>
            <w:textDirection w:val="lrTb"/>
            <w:noWrap w:val="false"/>
          </w:tcPr>
          <w:p>
            <w:pPr>
              <w:pBdr/>
              <w:spacing w:after="40" w:before="40" w:line="240" w:lineRule="auto"/>
              <w:ind/>
              <w:jc w:val="center"/>
              <w:rPr>
                <w:b/>
                <w:bCs/>
              </w:rPr>
            </w:pPr>
            <w:r>
              <w:rPr>
                <w:b/>
                <w:bCs/>
              </w:rPr>
              <w:t xml:space="preserve">Đơn giá (đồng/m²)</w:t>
            </w:r>
            <w:r>
              <w:rPr>
                <w:b/>
                <w:bCs/>
              </w:rPr>
            </w:r>
            <w:r>
              <w:rPr>
                <w:b/>
                <w:bCs/>
              </w:rPr>
            </w:r>
          </w:p>
        </w:tc>
        <w:tc>
          <w:tcPr>
            <w:shd w:val="clear" w:color="000000" w:fill="ffffff"/>
            <w:tcBorders/>
            <w:tcW w:w="1497" w:type="dxa"/>
            <w:vAlign w:val="center"/>
            <w:textDirection w:val="lrTb"/>
            <w:noWrap w:val="false"/>
          </w:tcPr>
          <w:p>
            <w:pPr>
              <w:pBdr/>
              <w:spacing w:line="240" w:lineRule="auto"/>
              <w:ind/>
              <w:jc w:val="center"/>
              <w:rPr>
                <w:b/>
                <w:bCs/>
              </w:rPr>
            </w:pPr>
            <w:r>
              <w:rPr>
                <w:b/>
                <w:bCs/>
              </w:rPr>
              <w:t xml:space="preserve">Hệ số/</w:t>
            </w:r>
            <w:r>
              <w:rPr>
                <w:b/>
                <w:bCs/>
              </w:rPr>
            </w:r>
            <w:r>
              <w:rPr>
                <w:b/>
                <w:bCs/>
              </w:rPr>
            </w:r>
          </w:p>
          <w:p>
            <w:pPr>
              <w:pBdr/>
              <w:spacing w:line="240" w:lineRule="auto"/>
              <w:ind/>
              <w:jc w:val="center"/>
              <w:rPr>
                <w:b/>
                <w:bCs/>
              </w:rPr>
            </w:pPr>
            <w:r>
              <w:rPr>
                <w:b/>
                <w:bCs/>
              </w:rPr>
              <w:t xml:space="preserve">CLCL (%)</w:t>
            </w:r>
            <w:r>
              <w:rPr>
                <w:b/>
                <w:bCs/>
              </w:rPr>
            </w:r>
            <w:r>
              <w:rPr>
                <w:b/>
                <w:bCs/>
              </w:rPr>
            </w:r>
          </w:p>
        </w:tc>
        <w:tc>
          <w:tcPr>
            <w:shd w:val="clear" w:color="000000" w:fill="ffffff"/>
            <w:tcBorders/>
            <w:tcW w:w="1763" w:type="dxa"/>
            <w:vAlign w:val="center"/>
            <w:textDirection w:val="lrTb"/>
            <w:noWrap w:val="false"/>
          </w:tcPr>
          <w:p>
            <w:pPr>
              <w:pBdr/>
              <w:spacing w:after="40" w:before="40" w:line="240" w:lineRule="auto"/>
              <w:ind/>
              <w:jc w:val="center"/>
              <w:rPr>
                <w:b/>
                <w:bCs/>
              </w:rPr>
            </w:pPr>
            <w:r>
              <w:rPr>
                <w:b/>
                <w:bCs/>
              </w:rPr>
              <w:t xml:space="preserve">Thành tiền (đồng)</w:t>
            </w:r>
            <w:r>
              <w:rPr>
                <w:b/>
                <w:bCs/>
              </w:rPr>
            </w:r>
            <w:r>
              <w:rPr>
                <w:b/>
                <w:bCs/>
              </w:rPr>
            </w:r>
          </w:p>
        </w:tc>
      </w:tr>
      <w:tr>
        <w:trPr>
          <w:trHeight w:val="2386"/>
        </w:trPr>
        <w:tc>
          <w:tcPr>
            <w:shd w:val="clear" w:color="000000" w:fill="ffffff"/>
            <w:tcBorders/>
            <w:tcW w:w="600" w:type="dxa"/>
            <w:vAlign w:val="center"/>
            <w:textDirection w:val="lrTb"/>
            <w:noWrap w:val="false"/>
          </w:tcPr>
          <w:p>
            <w:pPr>
              <w:pBdr/>
              <w:spacing w:after="40" w:before="40" w:line="240" w:lineRule="auto"/>
              <w:ind/>
              <w:jc w:val="center"/>
              <w:rPr>
                <w:b/>
                <w:bCs/>
              </w:rPr>
            </w:pPr>
            <w:r>
              <w:rPr>
                <w:b/>
                <w:bCs/>
              </w:rPr>
              <w:t xml:space="preserve"> </w:t>
            </w:r>
            <w:r>
              <w:rPr>
                <w:b/>
                <w:bCs/>
              </w:rPr>
            </w:r>
            <w:r>
              <w:rPr>
                <w:b/>
                <w:bCs/>
              </w:rPr>
            </w:r>
          </w:p>
        </w:tc>
        <w:tc>
          <w:tcPr>
            <w:gridSpan w:val="4"/>
            <w:shd w:val="clear" w:color="000000" w:fill="ffffff"/>
            <w:tcBorders/>
            <w:tcW w:w="7161" w:type="dxa"/>
            <w:vAlign w:val="center"/>
            <w:textDirection w:val="lrTb"/>
            <w:noWrap w:val="false"/>
          </w:tcPr>
          <w:p>
            <w:pPr>
              <w:pBdr/>
              <w:spacing w:after="40" w:before="40" w:line="240"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và tài sản gắn liền với đất tại thửa </w:t>
            </w:r>
            <w:r>
              <w:rPr>
                <w:rFonts w:ascii="Times New Roman" w:hAnsi="Times New Roman" w:eastAsia="Times New Roman" w:cs="Times New Roman"/>
                <w:b/>
                <w:bCs/>
                <w:color w:val="000000"/>
                <w:sz w:val="24"/>
              </w:rPr>
              <w:t xml:space="preserve">đất số: 62, tờ bản đồ số 60-5 có địa chỉ: Tổ Dân Phố 2 - Thị trấn Hùng Quốc - Huyện Trà Lĩnh - Tỉnh Cao Bằng (Nay là: Xóm Hùng Quốc 3, xã Trà Lĩnh, tỉnh Cao Bằng)  theo Giấy chứng nhận quyền sử dụng đất quyền sở hữu nhà ở và tài sản khác gắn liền với đất s</w:t>
            </w:r>
            <w:r>
              <w:rPr>
                <w:rFonts w:ascii="Times New Roman" w:hAnsi="Times New Roman" w:eastAsia="Times New Roman" w:cs="Times New Roman"/>
                <w:b/>
                <w:bCs/>
                <w:color w:val="000000"/>
                <w:sz w:val="24"/>
              </w:rPr>
              <w:t xml:space="preserve">ố: BQ 953368, số vào sổ cấp GCN: CH05683 do Uỷ ban nhân dân huyện Trà Lĩnh cấp ngày 25/12/2013; Chủ sử dụng đất là Hộ ông: Bế Văn Triều và bà Đàm Thị Tới</w:t>
            </w:r>
            <w:r>
              <w:rPr>
                <w:b/>
                <w:bCs/>
                <w:color w:val="000000"/>
              </w:rPr>
              <w:t xml:space="preserve">.</w:t>
            </w:r>
            <w:r>
              <w:rPr>
                <w:b/>
                <w:bCs/>
              </w:rPr>
            </w:r>
            <w:r>
              <w:rPr>
                <w:b/>
                <w:bCs/>
              </w:rPr>
            </w:r>
          </w:p>
        </w:tc>
        <w:tc>
          <w:tcPr>
            <w:shd w:val="clear" w:color="000000" w:fill="ffffff"/>
            <w:tcBorders/>
            <w:tcW w:w="1763" w:type="dxa"/>
            <w:vAlign w:val="center"/>
            <w:textDirection w:val="lrTb"/>
            <w:noWrap w:val="false"/>
          </w:tcPr>
          <w:p>
            <w:pPr>
              <w:pBdr/>
              <w:spacing w:after="40" w:before="40" w:line="240" w:lineRule="auto"/>
              <w:ind/>
              <w:jc w:val="right"/>
              <w:rPr>
                <w:b/>
                <w:bCs/>
              </w:rPr>
            </w:pPr>
            <w:r>
              <w:rPr>
                <w:b/>
                <w:bCs/>
              </w:rPr>
              <w:t xml:space="preserve"> </w:t>
            </w:r>
            <w:r>
              <w:rPr>
                <w:b/>
                <w:bCs/>
              </w:rPr>
            </w:r>
            <w:r>
              <w:rPr>
                <w:b/>
                <w:bCs/>
              </w:rPr>
            </w:r>
          </w:p>
        </w:tc>
      </w:tr>
      <w:tr>
        <w:trPr>
          <w:trHeight w:val="20"/>
        </w:trPr>
        <w:tc>
          <w:tcPr>
            <w:shd w:val="clear" w:color="000000" w:fill="ffffff"/>
            <w:tcBorders/>
            <w:tcW w:w="600" w:type="dxa"/>
            <w:vAlign w:val="center"/>
            <w:textDirection w:val="lrTb"/>
            <w:noWrap w:val="false"/>
          </w:tcPr>
          <w:p>
            <w:pPr>
              <w:pBdr/>
              <w:spacing w:after="40" w:before="40" w:line="240" w:lineRule="auto"/>
              <w:ind/>
              <w:jc w:val="center"/>
              <w:rPr/>
            </w:pPr>
            <w:r>
              <w:rPr>
                <w:b/>
                <w:bCs/>
              </w:rPr>
              <w:t xml:space="preserve">-</w:t>
            </w:r>
            <w:r/>
          </w:p>
        </w:tc>
        <w:tc>
          <w:tcPr>
            <w:shd w:val="clear" w:color="000000" w:fill="ffffff"/>
            <w:tcBorders/>
            <w:tcW w:w="1837" w:type="dxa"/>
            <w:vAlign w:val="center"/>
            <w:textDirection w:val="lrTb"/>
            <w:noWrap w:val="false"/>
          </w:tcPr>
          <w:p>
            <w:pPr>
              <w:pBdr/>
              <w:spacing w:after="40" w:before="40" w:line="240" w:lineRule="auto"/>
              <w:ind/>
              <w:rPr/>
            </w:pPr>
            <w:r>
              <w:rPr>
                <w:b/>
                <w:bCs/>
              </w:rPr>
              <w:t xml:space="preserve">Quyền sử dụng đất</w:t>
            </w:r>
            <w:r/>
          </w:p>
        </w:tc>
        <w:tc>
          <w:tcPr>
            <w:tcBorders/>
            <w:tcW w:w="1701" w:type="dxa"/>
            <w:vAlign w:val="center"/>
            <w:textDirection w:val="lrTb"/>
            <w:noWrap/>
          </w:tcPr>
          <w:p>
            <w:pPr>
              <w:pBdr/>
              <w:spacing w:after="40" w:before="40" w:line="240" w:lineRule="auto"/>
              <w:ind/>
              <w:jc w:val="center"/>
              <w:rPr>
                <w:color w:val="000000"/>
              </w:rPr>
            </w:pPr>
            <w:r>
              <w:rPr>
                <w:color w:val="000000" w:themeColor="text1"/>
              </w:rPr>
              <w:t xml:space="preserve">41,9</w:t>
            </w:r>
            <w:r>
              <w:rPr>
                <w:color w:val="000000"/>
              </w:rPr>
            </w:r>
            <w:r>
              <w:rPr>
                <w:color w:val="000000"/>
              </w:rPr>
            </w:r>
          </w:p>
        </w:tc>
        <w:tc>
          <w:tcPr>
            <w:shd w:val="clear" w:color="000000" w:fill="ffffff"/>
            <w:tcBorders/>
            <w:tcW w:w="2126" w:type="dxa"/>
            <w:vAlign w:val="center"/>
            <w:textDirection w:val="lrTb"/>
            <w:noWrap w:val="false"/>
          </w:tcPr>
          <w:p>
            <w:pPr>
              <w:pBdr/>
              <w:spacing w:after="40" w:before="40" w:line="240" w:lineRule="auto"/>
              <w:ind/>
              <w:jc w:val="center"/>
              <w:rPr/>
            </w:pPr>
            <w:r>
              <w:rPr>
                <w:color w:val="000000" w:themeColor="text1"/>
              </w:rPr>
              <w:t xml:space="preserve">23.000.000</w:t>
            </w:r>
            <w:r/>
          </w:p>
        </w:tc>
        <w:tc>
          <w:tcPr>
            <w:shd w:val="clear" w:color="000000" w:fill="ffffff"/>
            <w:tcBorders/>
            <w:tcW w:w="1497" w:type="dxa"/>
            <w:vAlign w:val="center"/>
            <w:textDirection w:val="lrTb"/>
            <w:noWrap w:val="false"/>
          </w:tcPr>
          <w:p>
            <w:pPr>
              <w:pBdr/>
              <w:spacing w:line="240" w:lineRule="auto"/>
              <w:ind/>
              <w:jc w:val="center"/>
              <w:rPr>
                <w:color w:val="000000" w:themeColor="text1"/>
              </w:rPr>
            </w:pPr>
            <w:r>
              <w:rPr>
                <w:color w:val="000000" w:themeColor="text1"/>
              </w:rPr>
              <w:t xml:space="preserve">-</w:t>
            </w:r>
            <w:r>
              <w:rPr>
                <w:color w:val="000000" w:themeColor="text1"/>
              </w:rPr>
            </w:r>
            <w:r>
              <w:rPr>
                <w:color w:val="000000" w:themeColor="text1"/>
              </w:rPr>
            </w:r>
          </w:p>
        </w:tc>
        <w:tc>
          <w:tcPr>
            <w:shd w:val="clear" w:color="000000" w:fill="ffffff"/>
            <w:tcBorders/>
            <w:tcW w:w="1763" w:type="dxa"/>
            <w:vAlign w:val="center"/>
            <w:textDirection w:val="lrTb"/>
            <w:noWrap w:val="false"/>
          </w:tcPr>
          <w:p>
            <w:pPr>
              <w:pBdr/>
              <w:spacing w:after="40" w:before="40" w:line="240" w:lineRule="auto"/>
              <w:ind/>
              <w:jc w:val="center"/>
              <w:rPr/>
            </w:pPr>
            <w:r>
              <w:rPr>
                <w:color w:val="000000" w:themeColor="text1"/>
              </w:rPr>
              <w:t xml:space="preserve">963.700.000</w:t>
            </w:r>
            <w:r/>
          </w:p>
        </w:tc>
      </w:tr>
      <w:tr>
        <w:trPr>
          <w:trHeight w:val="717"/>
        </w:trPr>
        <w:tc>
          <w:tcPr>
            <w:shd w:val="clear" w:color="000000" w:fill="ffffff"/>
            <w:tcBorders/>
            <w:tcW w:w="600" w:type="dxa"/>
            <w:vAlign w:val="center"/>
            <w:vMerge w:val="restart"/>
            <w:textDirection w:val="lrTb"/>
            <w:noWrap w:val="false"/>
          </w:tcPr>
          <w:p>
            <w:pPr>
              <w:pBdr/>
              <w:spacing w:after="40" w:before="40" w:line="240" w:lineRule="auto"/>
              <w:ind/>
              <w:jc w:val="center"/>
              <w:rPr>
                <w:b/>
                <w:bCs/>
              </w:rPr>
            </w:pPr>
            <w:r>
              <w:rPr>
                <w:b/>
                <w:bCs/>
              </w:rPr>
              <w:t xml:space="preserve">-</w:t>
            </w:r>
            <w:r>
              <w:rPr>
                <w:b/>
                <w:bCs/>
              </w:rPr>
            </w:r>
            <w:r>
              <w:rPr>
                <w:b/>
                <w:bCs/>
              </w:rPr>
            </w:r>
          </w:p>
        </w:tc>
        <w:tc>
          <w:tcPr>
            <w:shd w:val="clear" w:color="000000" w:fill="ffffff"/>
            <w:tcBorders/>
            <w:tcW w:w="1837" w:type="dxa"/>
            <w:vAlign w:val="center"/>
            <w:vMerge w:val="restart"/>
            <w:textDirection w:val="lrTb"/>
            <w:noWrap w:val="false"/>
          </w:tcPr>
          <w:p>
            <w:pPr>
              <w:pBdr/>
              <w:spacing w:after="40" w:before="40" w:line="240" w:lineRule="auto"/>
              <w:ind/>
              <w:rPr>
                <w:b/>
                <w:bCs/>
              </w:rPr>
            </w:pPr>
            <w:r>
              <w:rPr>
                <w:b/>
                <w:bCs/>
              </w:rPr>
              <w:t xml:space="preserve">Nhà 3 tầng + 1 tầng hầm</w:t>
            </w:r>
            <w:r>
              <w:rPr>
                <w:b/>
                <w:bCs/>
              </w:rPr>
            </w:r>
            <w:r>
              <w:rPr>
                <w:b/>
                <w:bCs/>
              </w:rPr>
            </w:r>
          </w:p>
        </w:tc>
        <w:tc>
          <w:tcPr>
            <w:tcBorders/>
            <w:tcW w:w="1701" w:type="dxa"/>
            <w:vAlign w:val="center"/>
            <w:vMerge w:val="restart"/>
            <w:textDirection w:val="lrTb"/>
            <w:noWrap/>
          </w:tcPr>
          <w:p>
            <w:pPr>
              <w:pBdr/>
              <w:spacing w:after="40" w:before="40" w:line="240" w:lineRule="auto"/>
              <w:ind/>
              <w:jc w:val="center"/>
              <w:rPr>
                <w:color w:val="000000" w:themeColor="text1"/>
                <w:highlight w:val="none"/>
              </w:rPr>
            </w:pPr>
            <w:r>
              <w:rPr>
                <w:color w:val="000000" w:themeColor="text1"/>
              </w:rPr>
              <w:t xml:space="preserve">167,6</w:t>
            </w:r>
            <w:r>
              <w:rPr>
                <w:color w:val="000000" w:themeColor="text1"/>
                <w:highlight w:val="none"/>
              </w:rPr>
            </w:r>
            <w:r>
              <w:rPr>
                <w:color w:val="000000" w:themeColor="text1"/>
                <w:highlight w:val="none"/>
              </w:rPr>
            </w:r>
          </w:p>
        </w:tc>
        <w:tc>
          <w:tcPr>
            <w:shd w:val="clear" w:color="000000" w:fill="ffffff"/>
            <w:tcBorders/>
            <w:tcW w:w="2126" w:type="dxa"/>
            <w:vAlign w:val="center"/>
            <w:vMerge w:val="restart"/>
            <w:textDirection w:val="lrTb"/>
            <w:noWrap w:val="false"/>
          </w:tcPr>
          <w:p>
            <w:pPr>
              <w:pBdr/>
              <w:spacing w:after="40" w:before="40" w:line="240" w:lineRule="auto"/>
              <w:ind/>
              <w:jc w:val="center"/>
              <w:rPr>
                <w:color w:val="000000" w:themeColor="text1"/>
              </w:rPr>
            </w:pPr>
            <w:r>
              <w:rPr>
                <w:color w:val="000000" w:themeColor="text1"/>
              </w:rPr>
              <w:t xml:space="preserve">8.783.900</w:t>
            </w:r>
            <w:r>
              <w:rPr>
                <w:color w:val="000000" w:themeColor="text1"/>
              </w:rPr>
            </w:r>
            <w:r>
              <w:rPr>
                <w:color w:val="000000" w:themeColor="text1"/>
              </w:rPr>
            </w:r>
          </w:p>
        </w:tc>
        <w:tc>
          <w:tcPr>
            <w:shd w:val="clear" w:color="000000" w:fill="ffffff"/>
            <w:tcBorders/>
            <w:tcW w:w="1497" w:type="dxa"/>
            <w:vAlign w:val="center"/>
            <w:textDirection w:val="lrTb"/>
            <w:noWrap w:val="false"/>
          </w:tcPr>
          <w:p>
            <w:pPr>
              <w:pBdr/>
              <w:spacing w:line="240" w:lineRule="auto"/>
              <w:ind/>
              <w:jc w:val="center"/>
              <w:rPr>
                <w:color w:val="000000" w:themeColor="text1"/>
              </w:rPr>
            </w:pPr>
            <w:r>
              <w:rPr>
                <w:color w:val="000000" w:themeColor="text1"/>
              </w:rPr>
              <w:t xml:space="preserve">76%</w:t>
            </w:r>
            <w:r>
              <w:rPr>
                <w:color w:val="000000" w:themeColor="text1"/>
              </w:rPr>
            </w:r>
            <w:r>
              <w:rPr>
                <w:color w:val="000000" w:themeColor="text1"/>
              </w:rPr>
            </w:r>
          </w:p>
        </w:tc>
        <w:tc>
          <w:tcPr>
            <w:shd w:val="clear" w:color="000000" w:fill="ffffff"/>
            <w:tcBorders/>
            <w:tcW w:w="1763"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1.089.414.414</w:t>
            </w:r>
            <w:r/>
          </w:p>
        </w:tc>
      </w:tr>
      <w:tr>
        <w:trPr>
          <w:trHeight w:val="247"/>
        </w:trPr>
        <w:tc>
          <w:tcPr>
            <w:gridSpan w:val="5"/>
            <w:tcBorders/>
            <w:tcW w:w="7761" w:type="dxa"/>
            <w:vAlign w:val="center"/>
            <w:textDirection w:val="lrTb"/>
            <w:noWrap/>
          </w:tcPr>
          <w:p>
            <w:pPr>
              <w:pBdr/>
              <w:spacing w:after="40" w:before="40" w:line="240" w:lineRule="auto"/>
              <w:ind/>
              <w:jc w:val="center"/>
              <w:rPr>
                <w:b/>
                <w:bCs/>
                <w:color w:val="000000"/>
              </w:rPr>
            </w:pPr>
            <w:r>
              <w:rPr>
                <w:b/>
                <w:bCs/>
                <w:color w:val="000000"/>
              </w:rPr>
              <w:t xml:space="preserve">TỔNG CỘNG</w:t>
            </w:r>
            <w:r>
              <w:rPr>
                <w:b/>
                <w:bCs/>
                <w:color w:val="000000"/>
              </w:rPr>
            </w:r>
            <w:r>
              <w:rPr>
                <w:b/>
                <w:bCs/>
                <w:color w:val="000000"/>
              </w:rPr>
            </w:r>
          </w:p>
        </w:tc>
        <w:tc>
          <w:tcPr>
            <w:tcBorders/>
            <w:tcW w:w="1763" w:type="dxa"/>
            <w:vAlign w:val="center"/>
            <w:textDirection w:val="lrTb"/>
            <w:noWrap/>
          </w:tcPr>
          <w:p>
            <w:pPr>
              <w:pBdr/>
              <w:spacing w:after="0" w:before="0" w:line="240" w:lineRule="auto"/>
              <w:ind/>
              <w:jc w:val="center"/>
              <w:rPr>
                <w:b w:val="0"/>
                <w:bCs w:val="0"/>
              </w:rPr>
            </w:pPr>
            <w:r>
              <w:rPr>
                <w:rFonts w:ascii="Times New Roman" w:hAnsi="Times New Roman" w:eastAsia="Times New Roman" w:cs="Times New Roman"/>
                <w:b w:val="0"/>
                <w:bCs w:val="0"/>
                <w:color w:val="000000"/>
                <w:sz w:val="24"/>
              </w:rPr>
              <w:t xml:space="preserve">2.040.544.414</w:t>
            </w:r>
            <w:r>
              <w:rPr>
                <w:b w:val="0"/>
                <w:bCs w:val="0"/>
              </w:rPr>
            </w:r>
            <w:r>
              <w:rPr>
                <w:b w:val="0"/>
                <w:bCs w:val="0"/>
              </w:rPr>
            </w:r>
          </w:p>
        </w:tc>
      </w:tr>
      <w:tr>
        <w:trPr>
          <w:trHeight w:val="142"/>
        </w:trPr>
        <w:tc>
          <w:tcPr>
            <w:gridSpan w:val="5"/>
            <w:tcBorders/>
            <w:tcW w:w="7761" w:type="dxa"/>
            <w:vAlign w:val="center"/>
            <w:textDirection w:val="lrTb"/>
            <w:noWrap/>
          </w:tcPr>
          <w:p>
            <w:pPr>
              <w:pBdr/>
              <w:spacing w:after="40" w:before="40" w:line="240" w:lineRule="auto"/>
              <w:ind/>
              <w:jc w:val="center"/>
              <w:rPr>
                <w:b/>
                <w:bCs/>
                <w:color w:val="000000"/>
              </w:rPr>
            </w:pPr>
            <w:r>
              <w:rPr>
                <w:b/>
                <w:bCs/>
                <w:color w:val="000000"/>
              </w:rPr>
              <w:t xml:space="preserve">LÀM TRÒN</w:t>
            </w:r>
            <w:r>
              <w:rPr>
                <w:b/>
                <w:bCs/>
                <w:color w:val="000000"/>
              </w:rPr>
            </w:r>
            <w:r>
              <w:rPr>
                <w:b/>
                <w:bCs/>
                <w:color w:val="000000"/>
              </w:rPr>
            </w:r>
          </w:p>
        </w:tc>
        <w:tc>
          <w:tcPr>
            <w:tcBorders/>
            <w:tcW w:w="176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2.040.000.000</w:t>
            </w:r>
            <w:r/>
          </w:p>
        </w:tc>
      </w:tr>
      <w:tr>
        <w:trPr>
          <w:trHeight w:val="20"/>
        </w:trPr>
        <w:tc>
          <w:tcPr>
            <w:gridSpan w:val="6"/>
            <w:tcBorders/>
            <w:tcW w:w="9525" w:type="dxa"/>
            <w:vAlign w:val="center"/>
            <w:textDirection w:val="lrTb"/>
            <w:noWrap w:val="false"/>
          </w:tcPr>
          <w:p>
            <w:pPr>
              <w:pBdr/>
              <w:spacing w:after="40" w:before="40" w:line="240" w:lineRule="auto"/>
              <w:ind/>
              <w:jc w:val="center"/>
              <w:rPr>
                <w:b/>
                <w:bCs/>
                <w:i/>
                <w:iCs/>
                <w:color w:val="000000"/>
              </w:rPr>
            </w:pPr>
            <w:r>
              <w:rPr>
                <w:b/>
                <w:bCs/>
                <w:i/>
                <w:iCs/>
                <w:color w:val="000000"/>
              </w:rPr>
              <w:t xml:space="preserve">(Bằng chữ: </w:t>
            </w:r>
            <w:r>
              <w:rPr>
                <w:b/>
                <w:bCs/>
                <w:i/>
                <w:iCs/>
                <w:color w:val="000000"/>
              </w:rPr>
              <w:t xml:space="preserve">Hai tỷ không trăm bốn mươi triệu đồng</w:t>
            </w:r>
            <w:r>
              <w:rPr>
                <w:b/>
                <w:bCs/>
                <w:i/>
                <w:iCs/>
                <w:color w:val="000000"/>
              </w:rPr>
              <w:t xml:space="preserve">./.)</w:t>
            </w:r>
            <w:r>
              <w:rPr>
                <w:b/>
                <w:bCs/>
                <w:i/>
                <w:iCs/>
                <w:color w:val="000000"/>
              </w:rPr>
            </w:r>
            <w:r>
              <w:rPr>
                <w:b/>
                <w:bCs/>
                <w:i/>
                <w:iCs/>
                <w:color w:val="000000"/>
              </w:rPr>
            </w:r>
          </w:p>
        </w:tc>
      </w:tr>
    </w:tbl>
    <w:p>
      <w:pPr>
        <w:pStyle w:val="1033"/>
        <w:pBdr/>
        <w:tabs>
          <w:tab w:val="left" w:leader="none" w:pos="993"/>
        </w:tabs>
        <w:spacing w:after="120" w:before="120" w:line="28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3"/>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3"/>
        <w:numPr>
          <w:ilvl w:val="0"/>
          <w:numId w:val="41"/>
        </w:numPr>
        <w:pBdr/>
        <w:tabs>
          <w:tab w:val="left" w:leader="none" w:pos="993"/>
        </w:tabs>
        <w:spacing w:after="120" w:before="120" w:line="264" w:lineRule="auto"/>
        <w:ind/>
        <w:jc w:val="both"/>
        <w:rPr>
          <w:spacing w:val="-2"/>
          <w:lang w:val="pt-BR"/>
        </w:rPr>
      </w:pPr>
      <w:r>
        <w:rPr>
          <w:highlight w:val="none"/>
          <w:lang w:val="pt-BR" w:bidi="pt-BR"/>
        </w:rPr>
      </w:r>
      <w:r>
        <w:rPr>
          <w:color w:val="000000"/>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Guland, xác đ</w:t>
      </w:r>
      <w:r>
        <w:rPr>
          <w:color w:val="000000"/>
        </w:rPr>
        <w:t xml:space="preserve">ịnh vị trí tài sản thuộc quy hoạch đất ở</w:t>
      </w:r>
      <w:r>
        <w:rPr>
          <w:highlight w:val="none"/>
          <w:lang w:val="pt-BR"/>
        </w:rPr>
        <w:t xml:space="preserve">.</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 nhận rõ tình trạng quy hoạch thì kết q</w:t>
      </w:r>
      <w:r>
        <w:rPr>
          <w:rFonts w:ascii="Times New Roman" w:hAnsi="Times New Roman" w:eastAsia="Times New Roman" w:cs="Times New Roman"/>
          <w:color w:val="000000"/>
          <w:sz w:val="24"/>
        </w:rPr>
        <w:t xml:space="preserve">uả thẩm định giá cần được xem xét, điều chỉnh phù hợp, đồng thời chúng tôi bảo lưu quyền xem xét lại kết quả thẩm định giá</w:t>
      </w:r>
      <w:r>
        <w:rPr>
          <w:highlight w:val="none"/>
          <w:lang w:val="pt-BR"/>
        </w:rPr>
        <w:t xml:space="preserve">.</w:t>
      </w:r>
      <w:r>
        <w:rPr>
          <w:spacing w:val="-2"/>
          <w:lang w:val="pt-BR"/>
        </w:rPr>
      </w:r>
      <w:r>
        <w:rPr>
          <w:spacing w:val="-2"/>
          <w:lang w:val="pt-BR"/>
        </w:rPr>
      </w:r>
    </w:p>
    <w:p>
      <w:pPr>
        <w:pStyle w:val="1033"/>
        <w:numPr>
          <w:ilvl w:val="0"/>
          <w:numId w:val="5"/>
        </w:numPr>
        <w:pBdr/>
        <w:tabs>
          <w:tab w:val="left" w:leader="none" w:pos="993"/>
        </w:tabs>
        <w:spacing w:after="120" w:before="120" w:line="288"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CTXD gắn liền với đất là nhà 4 tầng trong đó có 3 tầng nổi và 1 tầng hầm, BTCT, xây dựng hoàn thiện năm 2013, diện tích xây dựng khoảng 41,9m2, diện tích sử dụng khoảng 167,6m2. Công trình chưa được chứng nhận trên Giấy chứng nhận q</w:t>
      </w:r>
      <w:r>
        <w:rPr>
          <w:rFonts w:ascii="Times New Roman" w:hAnsi="Times New Roman" w:eastAsia="Times New Roman" w:cs="Times New Roman"/>
          <w:color w:val="000000"/>
          <w:sz w:val="24"/>
        </w:rPr>
        <w:t xml:space="preserve">uyền sử dụng đất quyền sở hữu nhà ở và tài sản khác gắn liền với đất số: BQ 953368. Đồng thời, Tổ thẩm định không nhận được bất kỳ hồ sơ pháp lý nào liên quan đến CTXD nêu trên. Do vậy, Theo đề nghị của Khách hàng/Ngân hàng, tổ thẩm định xác định giá trị c</w:t>
      </w:r>
      <w:r>
        <w:rPr>
          <w:rFonts w:ascii="Times New Roman" w:hAnsi="Times New Roman" w:eastAsia="Times New Roman" w:cs="Times New Roman"/>
          <w:color w:val="000000"/>
          <w:sz w:val="24"/>
        </w:rPr>
        <w:t xml:space="preserve">ông trình theo khảo sát đo đạc thực tế với giả định thông số đo đạc được là chính xác</w:t>
      </w:r>
      <w:r>
        <w:rPr>
          <w:bCs/>
          <w:spacing w:val="-2"/>
          <w:highlight w:val="none"/>
          <w:lang w:val="pt-BR" w:bidi="pt-BR"/>
        </w:rPr>
        <w:t xml:space="preserve">.</w:t>
      </w:r>
      <w:r>
        <w:rPr>
          <w:spacing w:val="-2"/>
          <w:lang w:val="pt-BR"/>
        </w:rPr>
      </w:r>
      <w:r>
        <w:rPr>
          <w:spacing w:val="-2"/>
          <w:lang w:val="pt-BR"/>
        </w:rPr>
      </w:r>
    </w:p>
    <w:p>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3"/>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3"/>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275/2026/1103/VFI-CT.36.A</w:t>
      </w:r>
      <w:r>
        <w:rPr>
          <w:color w:val="ff0000"/>
          <w:lang w:val="vi-VN"/>
        </w:rPr>
        <w:t xml:space="preserve"> </w:t>
      </w:r>
      <w:r>
        <w:rPr>
          <w:color w:val="000000" w:themeColor="text1"/>
        </w:rPr>
        <w:t xml:space="preserve">ngày 22 tháng 7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Tấn Sang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275/2026/1103/VFI-BC.36.A ngày</w:t>
      </w:r>
      <w:r>
        <w:rPr>
          <w:i/>
          <w:lang w:val="pt-BR"/>
        </w:rPr>
        <w:t xml:space="preserve"> </w:t>
      </w:r>
      <w:r>
        <w:rPr>
          <w:i/>
          <w:lang w:val="pt-BR"/>
        </w:rPr>
        <w:t xml:space="preserve">22 tháng 7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594055" cy="251127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550024" name=""/>
                              <pic:cNvPicPr>
                                <a:picLocks noChangeAspect="1"/>
                              </pic:cNvPicPr>
                              <pic:nvPr/>
                            </pic:nvPicPr>
                            <pic:blipFill rotWithShape="1">
                              <a:blip r:embed="rId19"/>
                              <a:stretch/>
                            </pic:blipFill>
                            <pic:spPr bwMode="auto">
                              <a:xfrm flipH="0" flipV="0">
                                <a:off x="0" y="0"/>
                                <a:ext cx="2594055" cy="25112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4.26pt;height:197.74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686015" cy="229696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938414" name=""/>
                              <pic:cNvPicPr>
                                <a:picLocks noChangeAspect="1"/>
                              </pic:cNvPicPr>
                              <pic:nvPr/>
                            </pic:nvPicPr>
                            <pic:blipFill rotWithShape="1">
                              <a:blip r:embed="rId20"/>
                              <a:stretch/>
                            </pic:blipFill>
                            <pic:spPr bwMode="auto">
                              <a:xfrm flipH="0" flipV="0">
                                <a:off x="0" y="0"/>
                                <a:ext cx="2686014" cy="22969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1.50pt;height:180.86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34520" cy="2391742"/>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843524" name=""/>
                              <pic:cNvPicPr>
                                <a:picLocks noChangeAspect="1"/>
                              </pic:cNvPicPr>
                              <pic:nvPr/>
                            </pic:nvPicPr>
                            <pic:blipFill rotWithShape="1">
                              <a:blip r:embed="rId21"/>
                              <a:stretch/>
                            </pic:blipFill>
                            <pic:spPr bwMode="auto">
                              <a:xfrm flipH="0" flipV="0">
                                <a:off x="0" y="0"/>
                                <a:ext cx="2734520" cy="23917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5.32pt;height:188.33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93713" cy="233935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467178" name=""/>
                              <pic:cNvPicPr>
                                <a:picLocks noChangeAspect="1"/>
                              </pic:cNvPicPr>
                              <pic:nvPr/>
                            </pic:nvPicPr>
                            <pic:blipFill rotWithShape="1">
                              <a:blip r:embed="rId22"/>
                              <a:stretch/>
                            </pic:blipFill>
                            <pic:spPr bwMode="auto">
                              <a:xfrm flipH="0" flipV="0">
                                <a:off x="0" y="0"/>
                                <a:ext cx="2793713" cy="23393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9.98pt;height:184.20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08520" cy="275845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57582" name=""/>
                              <pic:cNvPicPr>
                                <a:picLocks noChangeAspect="1"/>
                              </pic:cNvPicPr>
                              <pic:nvPr/>
                            </pic:nvPicPr>
                            <pic:blipFill rotWithShape="1">
                              <a:blip r:embed="rId23"/>
                              <a:stretch/>
                            </pic:blipFill>
                            <pic:spPr bwMode="auto">
                              <a:xfrm flipH="0" flipV="0">
                                <a:off x="0" y="0"/>
                                <a:ext cx="2708519" cy="27584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3.27pt;height:217.2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079463" cy="277123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750958" name=""/>
                              <pic:cNvPicPr>
                                <a:picLocks noChangeAspect="1"/>
                              </pic:cNvPicPr>
                              <pic:nvPr/>
                            </pic:nvPicPr>
                            <pic:blipFill rotWithShape="1">
                              <a:blip r:embed="rId24"/>
                              <a:stretch/>
                            </pic:blipFill>
                            <pic:spPr bwMode="auto">
                              <a:xfrm flipH="0" flipV="0">
                                <a:off x="0" y="0"/>
                                <a:ext cx="3079463" cy="27712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42.48pt;height:218.2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68856" cy="2609310"/>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600576" name=""/>
                              <pic:cNvPicPr>
                                <a:picLocks noChangeAspect="1"/>
                              </pic:cNvPicPr>
                              <pic:nvPr/>
                            </pic:nvPicPr>
                            <pic:blipFill rotWithShape="1">
                              <a:blip r:embed="rId25"/>
                              <a:stretch/>
                            </pic:blipFill>
                            <pic:spPr bwMode="auto">
                              <a:xfrm flipH="0" flipV="0">
                                <a:off x="0" y="0"/>
                                <a:ext cx="2668855" cy="26093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10.15pt;height:205.46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98215" cy="256168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844981" name=""/>
                              <pic:cNvPicPr>
                                <a:picLocks noChangeAspect="1"/>
                              </pic:cNvPicPr>
                              <pic:nvPr/>
                            </pic:nvPicPr>
                            <pic:blipFill rotWithShape="1">
                              <a:blip r:embed="rId26"/>
                              <a:stretch/>
                            </pic:blipFill>
                            <pic:spPr bwMode="auto">
                              <a:xfrm flipH="0" flipV="0">
                                <a:off x="0" y="0"/>
                                <a:ext cx="2798215" cy="25616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0.33pt;height:201.71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8785" cy="255843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831669" name=""/>
                              <pic:cNvPicPr>
                                <a:picLocks noChangeAspect="1"/>
                              </pic:cNvPicPr>
                              <pic:nvPr/>
                            </pic:nvPicPr>
                            <pic:blipFill rotWithShape="1">
                              <a:blip r:embed="rId27"/>
                              <a:stretch/>
                            </pic:blipFill>
                            <pic:spPr bwMode="auto">
                              <a:xfrm flipH="0" flipV="0">
                                <a:off x="0" y="0"/>
                                <a:ext cx="2798784" cy="25584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0.38pt;height:201.45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57908" cy="259653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203031" name=""/>
                              <pic:cNvPicPr>
                                <a:picLocks noChangeAspect="1"/>
                              </pic:cNvPicPr>
                              <pic:nvPr/>
                            </pic:nvPicPr>
                            <pic:blipFill rotWithShape="1">
                              <a:blip r:embed="rId28"/>
                              <a:stretch/>
                            </pic:blipFill>
                            <pic:spPr bwMode="auto">
                              <a:xfrm flipH="0" flipV="0">
                                <a:off x="0" y="0"/>
                                <a:ext cx="2757907" cy="25965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7.16pt;height:204.45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c>
      </w:tr>
    </w:tbl>
    <w:p>
      <w:pPr>
        <w:pBdr/>
        <w:spacing/>
        <w:ind/>
        <w:rPr/>
      </w:pPr>
      <w:r/>
      <w:r/>
    </w:p>
    <w:p>
      <w:pPr>
        <w:pBdr/>
        <w:spacing w:after="200" w:line="276" w:lineRule="auto"/>
        <w:ind/>
        <w:rPr/>
      </w:pPr>
      <w:r>
        <w:br w:type="page" w:clear="all"/>
      </w:r>
      <w:r/>
    </w:p>
    <w:p>
      <w:pPr>
        <w:pBdr/>
        <w:shd w:val="nil"/>
        <w:spacing/>
        <w:ind/>
        <w:jc w:val="center"/>
        <w:rPr>
          <w:b/>
          <w:bCs/>
          <w:highlight w:val="none"/>
        </w:rPr>
      </w:pPr>
      <w:r>
        <w:rPr>
          <w:b/>
          <w:highlight w:val="none"/>
        </w:rPr>
        <w:t xml:space="preserve">GIẤY CHỨNG NHẬN QUYỀN SỬ DỤNG ĐẤT</w:t>
      </w:r>
      <w:r>
        <w:rPr>
          <w:b/>
          <w:bCs/>
          <w:highlight w:val="none"/>
        </w:rPr>
      </w:r>
    </w:p>
    <w:p>
      <w:pPr>
        <w:pBdr/>
        <w:shd w:val="nil" w:color="000000"/>
        <w:spacing/>
        <w:ind/>
        <w:jc w:val="center"/>
        <w:rPr>
          <w:b/>
          <w:bCs/>
          <w:highlight w:val="none"/>
        </w:rPr>
      </w:pPr>
      <w:r>
        <w:rPr>
          <w:b/>
          <w:bCs/>
          <w:highlight w:val="none"/>
        </w:rPr>
      </w:r>
      <w:r>
        <w:rPr>
          <w:b/>
          <w:bCs/>
          <w:highlight w:val="none"/>
        </w:rPr>
      </w:r>
      <w:r>
        <w:rPr>
          <w:b/>
          <w:bCs/>
          <w:highlight w:val="none"/>
        </w:rPr>
      </w:r>
    </w:p>
    <w:p>
      <w:pPr>
        <w:pBdr/>
        <w:shd w:val="nil" w:color="000000"/>
        <w:spacing/>
        <w:ind/>
        <w:jc w:val="left"/>
        <w:rPr>
          <w:b/>
          <w:bCs/>
          <w:highlight w:val="none"/>
        </w:rPr>
      </w:pPr>
      <w:r>
        <w:rPr>
          <w:b/>
          <w:highlight w:val="none"/>
        </w:rPr>
      </w:r>
      <w:r>
        <w:rPr>
          <w:b/>
          <w:highlight w:val="none"/>
        </w:rPr>
      </w:r>
      <w:r>
        <w:rPr>
          <w:b/>
          <w:highlight w:val="none"/>
        </w:rPr>
      </w:r>
    </w:p>
    <w:p>
      <w:pPr>
        <w:pBdr/>
        <w:shd w:val="nil" w:color="000000"/>
        <w:spacing/>
        <w:ind/>
        <w:jc w:val="center"/>
        <w:rPr>
          <w:bCs/>
          <w:i/>
          <w:lang w:val="pt-BR"/>
        </w:rPr>
      </w:pPr>
      <w:r>
        <w:rPr>
          <w:b/>
          <w:highlight w:val="none"/>
        </w:rPr>
      </w:r>
      <w:r>
        <mc:AlternateContent>
          <mc:Choice Requires="wpg">
            <w:drawing>
              <wp:inline xmlns:wp="http://schemas.openxmlformats.org/drawingml/2006/wordprocessingDrawing" distT="0" distB="0" distL="0" distR="0">
                <wp:extent cx="8091434" cy="589719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926050" name=""/>
                        <pic:cNvPicPr>
                          <a:picLocks noChangeAspect="1"/>
                        </pic:cNvPicPr>
                        <pic:nvPr/>
                      </pic:nvPicPr>
                      <pic:blipFill rotWithShape="1">
                        <a:blip r:embed="rId29"/>
                        <a:stretch/>
                      </pic:blipFill>
                      <pic:spPr bwMode="auto">
                        <a:xfrm rot="16199969" flipH="0" flipV="0">
                          <a:off x="0" y="0"/>
                          <a:ext cx="8091434" cy="58971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637.12pt;height:464.35pt;mso-wrap-distance-left:0.00pt;mso-wrap-distance-top:0.00pt;mso-wrap-distance-right:0.00pt;mso-wrap-distance-bottom:0.00pt;rotation:269;z-index:1;" stroked="false">
                <v:imagedata r:id="rId29" o:title=""/>
                <o:lock v:ext="edit" rotation="t"/>
              </v:shape>
            </w:pict>
          </mc:Fallback>
        </mc:AlternateContent>
      </w:r>
      <w:r>
        <w:rPr>
          <w:b/>
          <w:highlight w:val="none"/>
        </w:rPr>
        <w:br w:type="page" w:clear="all"/>
      </w:r>
      <w:r>
        <w:rPr>
          <w:b/>
          <w:highlight w:val="none"/>
        </w:rPr>
      </w:r>
      <w:r/>
    </w:p>
    <w:p>
      <w:pPr>
        <w:pBdr/>
        <w:shd w:val="nil"/>
        <w:spacing/>
        <w:ind/>
        <w:jc w:val="center"/>
        <w:rPr>
          <w:b/>
          <w:bCs/>
          <w:highlight w:val="none"/>
        </w:rPr>
      </w:pPr>
      <w:r>
        <w:rPr>
          <w:b/>
          <w:highlight w:val="none"/>
        </w:rPr>
      </w:r>
      <w:r>
        <mc:AlternateContent>
          <mc:Choice Requires="wpg">
            <w:drawing>
              <wp:inline xmlns:wp="http://schemas.openxmlformats.org/drawingml/2006/wordprocessingDrawing" distT="0" distB="0" distL="0" distR="0">
                <wp:extent cx="8681910" cy="5842239"/>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13920" name=""/>
                        <pic:cNvPicPr>
                          <a:picLocks noChangeAspect="1"/>
                        </pic:cNvPicPr>
                        <pic:nvPr/>
                      </pic:nvPicPr>
                      <pic:blipFill rotWithShape="1">
                        <a:blip r:embed="rId30"/>
                        <a:stretch/>
                      </pic:blipFill>
                      <pic:spPr bwMode="auto">
                        <a:xfrm rot="16199969" flipH="0" flipV="0">
                          <a:off x="0" y="0"/>
                          <a:ext cx="8681909" cy="58422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683.61pt;height:460.02pt;mso-wrap-distance-left:0.00pt;mso-wrap-distance-top:0.00pt;mso-wrap-distance-right:0.00pt;mso-wrap-distance-bottom:0.00pt;rotation:269;z-index:1;" stroked="false">
                <v:imagedata r:id="rId30" o:title=""/>
                <o:lock v:ext="edit" rotation="t"/>
              </v:shape>
            </w:pict>
          </mc:Fallback>
        </mc:AlternateContent>
      </w:r>
      <w:r>
        <w:rPr>
          <w:b/>
          <w:highlight w:val="none"/>
        </w:rPr>
        <w:br w:type="page" w:clear="all"/>
      </w:r>
      <w:r>
        <w:rPr>
          <w:b/>
          <w:highlight w:val="none"/>
        </w:rPr>
      </w:r>
      <w:r>
        <w:rPr>
          <w:b/>
          <w:highlight w:val="none"/>
        </w:rPr>
      </w:r>
    </w:p>
    <w:p>
      <w:pPr>
        <w:pBdr/>
        <w:shd w:val="nil"/>
        <w:spacing/>
        <w:ind/>
        <w:jc w:val="center"/>
        <w:rPr>
          <w:b/>
          <w:bCs/>
          <w:highlight w:val="none"/>
        </w:rPr>
      </w:pPr>
      <w:r>
        <w:rPr>
          <w:b/>
          <w:highlight w:val="none"/>
        </w:rPr>
        <w:t xml:space="preserve">BIÊN BẢN KHẢO SÁT</w:t>
      </w:r>
      <w:r>
        <w:rPr>
          <w:b/>
          <w:bCs/>
          <w:highlight w:val="none"/>
        </w:rPr>
      </w:r>
    </w:p>
    <w:p>
      <w:pPr>
        <w:pBdr/>
        <w:shd w:val="nil" w:color="000000"/>
        <w:spacing/>
        <w:ind/>
        <w:jc w:val="center"/>
        <w:rPr>
          <w:b/>
          <w:bCs/>
          <w:highlight w:val="none"/>
        </w:rPr>
      </w:pPr>
      <w:r>
        <w:rPr>
          <w:b/>
          <w:highlight w:val="none"/>
        </w:rPr>
      </w:r>
      <w:r>
        <w:rPr>
          <w:b/>
          <w:highlight w:val="none"/>
        </w:rPr>
      </w:r>
      <w:r>
        <w:rPr>
          <w:b/>
          <w:highlight w:val="none"/>
        </w:rPr>
      </w:r>
    </w:p>
    <w:p>
      <w:pPr>
        <w:pBdr/>
        <w:shd w:val="nil" w:color="000000"/>
        <w:spacing/>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726567"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1" o:title=""/>
                <o:lock v:ext="edit" rotation="t"/>
              </v:shape>
            </w:pict>
          </mc:Fallback>
        </mc:AlternateContent>
      </w:r>
      <w:r>
        <w:rPr>
          <w:b/>
          <w:highlight w:val="none"/>
        </w:rPr>
        <w:br w:type="page" w:clear="all"/>
      </w:r>
      <w:r>
        <w:rPr>
          <w:b/>
          <w:highlight w:val="none"/>
        </w:rPr>
      </w: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w:t>
      </w:r>
      <w:r>
        <w:rPr>
          <w:b/>
          <w:lang w:val="vi-VN"/>
        </w:rPr>
        <w:t xml:space="preserve">U THẬP THỊ TRƯỜ</w:t>
      </w:r>
      <w:r>
        <w:rPr>
          <w:b/>
          <w:lang w:val="vi-VN"/>
        </w:rPr>
        <w:t xml:space="preserve">N</w:t>
      </w:r>
      <w:r>
        <w:rPr>
          <w:b/>
        </w:rPr>
        <w:t xml:space="preserve">G</w:t>
      </w:r>
      <w:r>
        <w:rPr>
          <w:i/>
          <w:lang w:val="pt-BR"/>
        </w:rPr>
      </w:r>
      <w:r>
        <w:rPr>
          <w:i/>
          <w:lang w:val="pt-BR"/>
        </w:rPr>
      </w:r>
    </w:p>
    <w:p>
      <w:pPr>
        <w:pBdr/>
        <w:spacing/>
        <w:ind/>
        <w:jc w:val="center"/>
        <w:rPr>
          <w:i/>
          <w:lang w:val="pt-BR"/>
        </w:rPr>
      </w:pPr>
      <w:r>
        <w:rPr>
          <w:i/>
          <w:lang w:val="pt-BR"/>
        </w:rPr>
        <w:t xml:space="preserve">(Kèm theo Báo cáo thẩm địn</w:t>
      </w:r>
      <w:r>
        <w:rPr>
          <w:i/>
          <w:highlight w:val="white"/>
          <w:lang w:val="pt-BR"/>
        </w:rPr>
        <w:t xml:space="preserve">h số </w:t>
      </w:r>
      <w:r>
        <w:rPr>
          <w:i/>
          <w:highlight w:val="white"/>
        </w:rPr>
        <w:t xml:space="preserve">275/2026/110</w:t>
      </w:r>
      <w:r>
        <w:rPr>
          <w:i/>
          <w:highlight w:val="white"/>
        </w:rPr>
        <w:t xml:space="preserve">3/VFI-BC.36.A</w:t>
      </w:r>
      <w:r>
        <w:rPr>
          <w:i/>
          <w:highlight w:val="white"/>
          <w:lang w:val="pt-BR"/>
        </w:rPr>
        <w:t xml:space="preserve"> ngày </w:t>
      </w:r>
      <w:r>
        <w:rPr>
          <w:i/>
          <w:highlight w:val="white"/>
          <w:lang w:val="pt-BR"/>
        </w:rPr>
        <w:t xml:space="preserve">22 tháng 7 n</w:t>
      </w:r>
      <w:r>
        <w:rPr>
          <w:i/>
          <w:highlight w:val="white"/>
          <w:lang w:val="pt-BR"/>
        </w:rPr>
        <w:t xml:space="preserve">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0984487872</w:t>
            </w:r>
            <w:r>
              <w:rPr>
                <w:sz w:val="22"/>
                <w:szCs w:val="22"/>
              </w:rPr>
              <w:t xml:space="preserve"> </w:t>
            </w:r>
            <w:r>
              <w:rPr>
                <w:sz w:val="22"/>
                <w:szCs w:val="22"/>
              </w:rPr>
              <w:t xml:space="preserve">(Hoàng Cát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r/>
            <w:r>
              <w:rPr>
                <w:color w:val="000000" w:themeColor="text1"/>
                <w:sz w:val="22"/>
                <w:szCs w:val="22"/>
              </w:rPr>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(180m²)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thuộc Khu 2 Trà Lĩnh, nằm giáp đường DT205 tại Thị trấn Hùng Quốc, huyện Trà Lĩnh, tỉnh Cao Bằng. Nằm cách chợ thị trấn Trà Lĩnh khoảng 400m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8m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vức</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Nhà 2 tầng</w:t>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21280" cy="2082352"/>
                      <wp:effectExtent l="0" t="0" r="0" b="0"/>
                      <wp:docPr id="20" name=""/>
                      <wp:cNvGraphicFramePr/>
                      <a:graphic xmlns:a="http://schemas.openxmlformats.org/drawingml/2006/main">
                        <a:graphicData uri="http://schemas.openxmlformats.org/drawingml/2006/picture">
                          <pic:pic xmlns:pic="http://schemas.openxmlformats.org/drawingml/2006/picture">
                            <pic:nvPicPr>
                              <pic:cNvPr id="866568207" name="" descr=""/>
                              <pic:cNvPicPr/>
                              <pic:nvPr/>
                            </pic:nvPicPr>
                            <pic:blipFill rotWithShape="1">
                              <a:blip r:embed="rId32"/>
                              <a:stretch/>
                            </pic:blipFill>
                            <pic:spPr bwMode="auto">
                              <a:xfrm flipH="0" flipV="0">
                                <a:off x="0" y="0"/>
                                <a:ext cx="2521279" cy="20823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98.53pt;height:163.96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08111" cy="2129977"/>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2808110" cy="21299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21.11pt;height:167.71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Tấn Sang</w:t>
            </w:r>
            <w:r/>
          </w:p>
        </w:tc>
      </w:tr>
    </w:tbl>
    <w:p>
      <w:pPr>
        <w:pBdr/>
        <w:spacing w:after="200" w:line="276" w:lineRule="auto"/>
        <w:ind/>
        <w:rPr>
          <w:b/>
          <w:bCs/>
          <w:iCs/>
          <w:lang w:val="pt-BR"/>
        </w:rPr>
      </w:pPr>
      <w:r>
        <w:rPr>
          <w:b/>
          <w:bCs/>
          <w:iCs/>
          <w:lang w:val="pt-BR"/>
        </w:rPr>
      </w:r>
      <w:r>
        <w:rPr>
          <w:b/>
          <w:bCs/>
          <w:iCs/>
          <w:lang w:val="pt-BR"/>
        </w:rPr>
      </w:r>
      <w:r>
        <w:rPr>
          <w:b/>
          <w:bCs/>
          <w:iCs/>
          <w:lang w:val="pt-BR"/>
        </w:rPr>
      </w:r>
    </w:p>
    <w:p>
      <w:pPr>
        <w:pBdr/>
        <w:spacing w:after="200" w:line="276" w:lineRule="auto"/>
        <w:ind/>
        <w:jc w:val="center"/>
        <w:rPr>
          <w:lang w:val="pt-BR"/>
        </w:rPr>
      </w:pPr>
      <w:r>
        <w:rPr>
          <w:b/>
          <w:bCs/>
          <w:iCs/>
          <w:highlight w:val="none"/>
          <w:lang w:val="pt-BR"/>
        </w:rPr>
      </w:r>
      <w:r>
        <w:rPr>
          <w:b/>
          <w:bCs/>
          <w:iCs/>
          <w:highlight w:val="none"/>
          <w:lang w:val="pt-BR"/>
        </w:rPr>
      </w:r>
      <w:r>
        <w:rPr>
          <w:b/>
          <w:bCs/>
          <w:iCs/>
          <w:highlight w:val="none"/>
          <w:lang w:val="pt-BR"/>
        </w:rPr>
      </w:r>
    </w:p>
    <w:p>
      <w:pPr>
        <w:pBdr/>
        <w:spacing w:after="200" w:line="276" w:lineRule="auto"/>
        <w:ind/>
        <w:jc w:val="center"/>
        <w:rPr>
          <w:b/>
          <w:bCs/>
          <w:iCs/>
          <w:highlight w:val="none"/>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https://www.facebook.com/groups/tralinhquetoi/posts/9968369949848403/</w:t>
            </w:r>
            <w:r>
              <w:rPr>
                <w:color w:val="000000" w:themeColor="text1"/>
                <w:sz w:val="22"/>
                <w:szCs w:val="22"/>
              </w:rPr>
              <w:br/>
              <w:t xml:space="preserve">SĐT: 0988415291</w:t>
            </w:r>
            <w:r>
              <w:rPr>
                <w:sz w:val="22"/>
                <w:szCs w:val="22"/>
              </w:rPr>
              <w:t xml:space="preserve"> </w:t>
            </w:r>
            <w:r>
              <w:rPr>
                <w:sz w:val="22"/>
                <w:szCs w:val="22"/>
              </w:rPr>
              <w:t xml:space="preserve">(Hoàng Bích Ngọc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3.072.000.000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thuộc Tổ dân phố 1, Thị trấn Hùng Quốc, Huyện Trà Lĩnh, cách chợ thị trấn Trà Lĩnh khoảng 450m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Khoảng 6m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136,1</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Nở hậu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sz w:val="22"/>
                <w:szCs w:val="22"/>
              </w:rPr>
            </w:pPr>
            <w:r>
              <w:rPr>
                <w:color w:val="000000"/>
                <w:sz w:val="22"/>
                <w:szCs w:val="22"/>
              </w:rPr>
            </w:r>
            <w:r>
              <mc:AlternateContent>
                <mc:Choice Requires="wpg">
                  <w:drawing>
                    <wp:inline xmlns:wp="http://schemas.openxmlformats.org/drawingml/2006/wordprocessingDrawing" distT="0" distB="0" distL="0" distR="0">
                      <wp:extent cx="2492715" cy="2502029"/>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585255" name=""/>
                              <pic:cNvPicPr>
                                <a:picLocks noChangeAspect="1"/>
                              </pic:cNvPicPr>
                              <pic:nvPr/>
                            </pic:nvPicPr>
                            <pic:blipFill rotWithShape="1">
                              <a:blip r:embed="rId34"/>
                              <a:stretch/>
                            </pic:blipFill>
                            <pic:spPr bwMode="auto">
                              <a:xfrm flipH="0" flipV="0">
                                <a:off x="0" y="0"/>
                                <a:ext cx="2492714" cy="25020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96.28pt;height:197.01pt;mso-wrap-distance-left:0.00pt;mso-wrap-distance-top:0.00pt;mso-wrap-distance-right:0.00pt;mso-wrap-distance-bottom:0.00pt;z-index:1;" stroked="false">
                      <v:imagedata r:id="rId34" o:title=""/>
                      <o:lock v:ext="edit" rotation="t"/>
                    </v:shape>
                  </w:pict>
                </mc:Fallback>
              </mc:AlternateContent>
            </w:r>
            <w:r>
              <w:t xml:space="preserve">           </w:t>
            </w:r>
            <w:r>
              <mc:AlternateContent>
                <mc:Choice Requires="wpg">
                  <w:drawing>
                    <wp:inline xmlns:wp="http://schemas.openxmlformats.org/drawingml/2006/wordprocessingDrawing" distT="0" distB="0" distL="0" distR="0">
                      <wp:extent cx="2635590" cy="2473454"/>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74495" name=""/>
                              <pic:cNvPicPr>
                                <a:picLocks noChangeAspect="1"/>
                              </pic:cNvPicPr>
                              <pic:nvPr/>
                            </pic:nvPicPr>
                            <pic:blipFill rotWithShape="1">
                              <a:blip r:embed="rId35"/>
                              <a:stretch/>
                            </pic:blipFill>
                            <pic:spPr bwMode="auto">
                              <a:xfrm flipH="0" flipV="0">
                                <a:off x="0" y="0"/>
                                <a:ext cx="2635589" cy="24734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07.53pt;height:194.76pt;mso-wrap-distance-left:0.00pt;mso-wrap-distance-top:0.00pt;mso-wrap-distance-right:0.00pt;mso-wrap-distance-bottom:0.00pt;z-index:1;" stroked="false">
                      <v:imagedata r:id="rId35" o:title=""/>
                      <o:lock v:ext="edit" rotation="t"/>
                    </v:shape>
                  </w:pict>
                </mc:Fallback>
              </mc:AlternateConten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p>
            <w:pPr>
              <w:pBdr/>
              <w:spacing/>
              <w:ind/>
              <w:rPr>
                <w:b/>
                <w:bCs/>
              </w:rPr>
            </w:pPr>
            <w:r>
              <w:rPr>
                <w:b/>
                <w:bCs/>
              </w:rPr>
            </w:r>
            <w:r>
              <w:rPr>
                <w:b/>
                <w:bCs/>
              </w:rPr>
            </w:r>
            <w:r>
              <w:rPr>
                <w:b/>
                <w:bCs/>
              </w:rPr>
            </w:r>
          </w:p>
          <w:p>
            <w:pPr>
              <w:pBdr/>
              <w:spacing/>
              <w:ind/>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Tấn Sang</w:t>
            </w:r>
            <w:r/>
          </w:p>
        </w:tc>
      </w:tr>
    </w:tbl>
    <w:p>
      <w:pPr>
        <w:pBdr/>
        <w:spacing w:after="200" w:line="276" w:lineRule="auto"/>
        <w:ind/>
        <w:jc w:val="center"/>
        <w:rPr>
          <w:b/>
          <w:bCs/>
          <w:lang w:val="pt-BR"/>
        </w:rPr>
      </w:pPr>
      <w:r>
        <w:rPr>
          <w:b/>
          <w:bCs/>
          <w:lang w:val="pt-BR"/>
        </w:rPr>
      </w:r>
      <w:r>
        <w:rPr>
          <w:b/>
          <w:bCs/>
          <w:lang w:val="pt-BR"/>
        </w:rPr>
      </w:r>
      <w:r>
        <w:rPr>
          <w:b/>
          <w:bCs/>
          <w:lang w:val="pt-BR"/>
        </w:rPr>
      </w:r>
    </w:p>
    <w:p>
      <w:pPr>
        <w:pBdr/>
        <w:spacing w:after="200" w:line="276" w:lineRule="auto"/>
        <w:ind/>
        <w:jc w:val="left"/>
        <w:rPr>
          <w:b/>
          <w:bCs/>
          <w:lang w:val="pt-BR"/>
        </w:rPr>
      </w:pPr>
      <w:r>
        <w:rPr>
          <w:b/>
          <w:bCs/>
          <w:iCs/>
          <w:highlight w:val="none"/>
          <w:lang w:val="pt-BR"/>
        </w:rPr>
      </w:r>
      <w:r>
        <w:rPr>
          <w:b/>
          <w:bCs/>
          <w:lang w:val="pt-BR"/>
        </w:rPr>
      </w:r>
    </w:p>
    <w:p>
      <w:pPr>
        <w:pBdr/>
        <w:spacing w:after="200" w:line="276" w:lineRule="auto"/>
        <w:ind/>
        <w:jc w:val="center"/>
        <w:rPr>
          <w:b/>
          <w:bCs/>
          <w:iCs/>
          <w:highlight w:val="none"/>
          <w:lang w:val="pt-BR"/>
        </w:rPr>
      </w:pPr>
      <w:r>
        <w:rPr>
          <w:b/>
          <w:bCs/>
          <w:iCs/>
          <w:lang w:val="pt-BR"/>
        </w:rPr>
        <w:t xml:space="preserve">TSSS 3</w:t>
      </w:r>
      <w:r>
        <w:rPr>
          <w:b/>
          <w:bCs/>
          <w:iCs/>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0976740311</w:t>
            </w:r>
            <w:r>
              <w:rPr>
                <w:sz w:val="22"/>
                <w:szCs w:val="22"/>
              </w:rPr>
              <w:t xml:space="preserve"> </w:t>
            </w:r>
            <w:r>
              <w:rPr>
                <w:sz w:val="22"/>
                <w:szCs w:val="22"/>
              </w:rPr>
              <w:t xml:space="preserve">(Lã Thanh Tùng</w:t>
            </w:r>
            <w:r>
              <w:rPr>
                <w:sz w:val="22"/>
                <w:szCs w:val="22"/>
              </w:rPr>
              <w:t xml:space="preserve">)</w:t>
            </w:r>
            <w:r>
              <w:rPr>
                <w:sz w:val="22"/>
                <w:szCs w:val="22"/>
              </w:rPr>
            </w:r>
            <w:r>
              <w:rPr>
                <w:sz w:val="22"/>
                <w:szCs w:val="22"/>
              </w:rPr>
            </w:r>
          </w:p>
        </w:tc>
      </w:tr>
      <w:tr>
        <w:trPr>
          <w:trHeight w:val="415"/>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2.660.000.000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7/2026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thuộc Khu 3 Trà Lĩnh, nằm giáp đường DT205 tại Thị trấn Hùng Quốc, huyện Trà Lĩnh, tỉnh Cao Bằng. Cách chợ thị trấn Trà Lĩnh khoảng 200m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
              <mc:AlternateContent>
                <mc:Choice Requires="wpg">
                  <w:drawing>
                    <wp:inline xmlns:wp="http://schemas.openxmlformats.org/drawingml/2006/wordprocessingDrawing" distT="0" distB="0" distL="0" distR="0">
                      <wp:extent cx="2521290" cy="2133013"/>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552535" name=""/>
                              <pic:cNvPicPr>
                                <a:picLocks noChangeAspect="1"/>
                              </pic:cNvPicPr>
                              <pic:nvPr/>
                            </pic:nvPicPr>
                            <pic:blipFill rotWithShape="1">
                              <a:blip r:embed="rId36"/>
                              <a:stretch/>
                            </pic:blipFill>
                            <pic:spPr bwMode="auto">
                              <a:xfrm flipH="0" flipV="0">
                                <a:off x="0" y="0"/>
                                <a:ext cx="2521289" cy="21330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98.53pt;height:167.95pt;mso-wrap-distance-left:0.00pt;mso-wrap-distance-top:0.00pt;mso-wrap-distance-right:0.00pt;mso-wrap-distance-bottom:0.00pt;z-index:1;" stroked="false">
                      <v:imagedata r:id="rId36" o:title=""/>
                      <o:lock v:ext="edit" rotation="t"/>
                    </v:shape>
                  </w:pict>
                </mc:Fallback>
              </mc:AlternateContent>
            </w: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692740" cy="2152063"/>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338947" name=""/>
                              <pic:cNvPicPr>
                                <a:picLocks noChangeAspect="1"/>
                              </pic:cNvPicPr>
                              <pic:nvPr/>
                            </pic:nvPicPr>
                            <pic:blipFill rotWithShape="1">
                              <a:blip r:embed="rId37"/>
                              <a:stretch/>
                            </pic:blipFill>
                            <pic:spPr bwMode="auto">
                              <a:xfrm flipH="0" flipV="0">
                                <a:off x="0" y="0"/>
                                <a:ext cx="2692739" cy="21520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12.03pt;height:169.45pt;mso-wrap-distance-left:0.00pt;mso-wrap-distance-top:0.00pt;mso-wrap-distance-right:0.00pt;mso-wrap-distance-bottom:0.00pt;z-index:1;" stroked="false">
                      <v:imagedata r:id="rId37"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left"/>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Tấn Sang</w:t>
            </w:r>
            <w:r>
              <w:rPr>
                <w:highlight w:val="none"/>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BCFE51B"/>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8">
    <w:nsid w:val="19438E57"/>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20C28462"/>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jp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Tấn Sang</cp:lastModifiedBy>
  <cp:revision>281</cp:revision>
  <dcterms:created xsi:type="dcterms:W3CDTF">2025-09-15T09:58:00Z</dcterms:created>
  <dcterms:modified xsi:type="dcterms:W3CDTF">2026-07-25T02:40:19Z</dcterms:modified>
</cp:coreProperties>
</file>