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58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58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275/2026/1068/VFI-CT.53.A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w:hAnsi="Times New Roman" w:cs="Times New Roman"/>
                                <w:b/>
                                <w:bCs/>
                                <w:color w:val="000000" w:themeColor="text1"/>
                                <w:sz w:val="24"/>
                                <w:szCs w:val="24"/>
                                <w:highlight w:val="yellow"/>
                              </w:rPr>
                            </w:pPr>
                            <w:r>
                              <w:rPr>
                                <w:rFonts w:ascii="Times New Roman Bold" w:hAnsi="Times New Roman Bold"/>
                                <w:b/>
                                <w:color w:val="000000" w:themeColor="text1"/>
                                <w:lang w:val="pt-BR"/>
                              </w:rPr>
                              <w:t xml:space="preserve">Khách hàng yêu c</w:t>
                            </w:r>
                            <w:r>
                              <w:rPr>
                                <w:rFonts w:ascii="Times New Roman Bold" w:hAnsi="Times New Roman Bold"/>
                                <w:b/>
                                <w:color w:val="000000" w:themeColor="text1"/>
                                <w:highlight w:val="white"/>
                                <w:lang w:val="pt-BR"/>
                              </w:rPr>
                              <w:t xml:space="preserve">ầu: </w:t>
                            </w:r>
                            <w:r>
                              <w:rPr>
                                <w:rFonts w:ascii="Times New Roman" w:hAnsi="Times New Roman" w:eastAsia="Times New Roman" w:cs="Times New Roman"/>
                                <w:b/>
                                <w:bCs/>
                                <w:color w:val="000000" w:themeColor="text1"/>
                                <w:spacing w:val="3"/>
                                <w:sz w:val="24"/>
                                <w:szCs w:val="24"/>
                                <w:highlight w:val="white"/>
                              </w:rPr>
                              <w:t xml:space="preserve">CÔNG TY TNHH LONG SƠN PHÚC THỌ</w:t>
                            </w:r>
                            <w:r>
                              <w:rPr>
                                <w:rFonts w:ascii="Times New Roman" w:hAnsi="Times New Roman" w:cs="Times New Roman"/>
                                <w:b/>
                                <w:bCs/>
                                <w:color w:val="000000" w:themeColor="text1"/>
                                <w:sz w:val="24"/>
                                <w:szCs w:val="24"/>
                                <w:highlight w:val="yellow"/>
                              </w:rPr>
                            </w:r>
                            <w:r>
                              <w:rPr>
                                <w:rFonts w:ascii="Times New Roman" w:hAnsi="Times New Roman" w:cs="Times New Roman"/>
                                <w:b/>
                                <w:bCs/>
                                <w:color w:val="000000" w:themeColor="text1"/>
                                <w:sz w:val="24"/>
                                <w:szCs w:val="24"/>
                                <w:highlight w:val="yellow"/>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89, tờ bản đồ số</w:t>
                            </w:r>
                            <w:r>
                              <w:rPr>
                                <w:color w:val="000000"/>
                              </w:rPr>
                              <w:t xml:space="preserve"> 33 có địa chỉ: Số 11 ngõ 72 Tôn Thất Tùng, phường Kim Liên, thành phố Hà Nội theo Giấy chứng nhận </w:t>
                            </w:r>
                            <w:r>
                              <w:rPr>
                                <w:color w:val="000000"/>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275/2026/1068/VFI-CT.53.A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w:hAnsi="Times New Roman" w:cs="Times New Roman"/>
                          <w:b/>
                          <w:bCs/>
                          <w:color w:val="000000" w:themeColor="text1"/>
                          <w:sz w:val="24"/>
                          <w:szCs w:val="24"/>
                          <w:highlight w:val="yellow"/>
                        </w:rPr>
                      </w:pPr>
                      <w:r>
                        <w:rPr>
                          <w:rFonts w:ascii="Times New Roman Bold" w:hAnsi="Times New Roman Bold"/>
                          <w:b/>
                          <w:color w:val="000000" w:themeColor="text1"/>
                          <w:lang w:val="pt-BR"/>
                        </w:rPr>
                        <w:t xml:space="preserve">Khách hàng yêu c</w:t>
                      </w:r>
                      <w:r>
                        <w:rPr>
                          <w:rFonts w:ascii="Times New Roman Bold" w:hAnsi="Times New Roman Bold"/>
                          <w:b/>
                          <w:color w:val="000000" w:themeColor="text1"/>
                          <w:highlight w:val="white"/>
                          <w:lang w:val="pt-BR"/>
                        </w:rPr>
                        <w:t xml:space="preserve">ầu: </w:t>
                      </w:r>
                      <w:r>
                        <w:rPr>
                          <w:rFonts w:ascii="Times New Roman" w:hAnsi="Times New Roman" w:eastAsia="Times New Roman" w:cs="Times New Roman"/>
                          <w:b/>
                          <w:bCs/>
                          <w:color w:val="000000" w:themeColor="text1"/>
                          <w:spacing w:val="3"/>
                          <w:sz w:val="24"/>
                          <w:szCs w:val="24"/>
                          <w:highlight w:val="white"/>
                        </w:rPr>
                        <w:t xml:space="preserve">CÔNG TY TNHH LONG SƠN PHÚC THỌ</w:t>
                      </w:r>
                      <w:r>
                        <w:rPr>
                          <w:rFonts w:ascii="Times New Roman" w:hAnsi="Times New Roman" w:cs="Times New Roman"/>
                          <w:b/>
                          <w:bCs/>
                          <w:color w:val="000000" w:themeColor="text1"/>
                          <w:sz w:val="24"/>
                          <w:szCs w:val="24"/>
                          <w:highlight w:val="yellow"/>
                        </w:rPr>
                      </w:r>
                      <w:r>
                        <w:rPr>
                          <w:rFonts w:ascii="Times New Roman" w:hAnsi="Times New Roman" w:cs="Times New Roman"/>
                          <w:b/>
                          <w:bCs/>
                          <w:color w:val="000000" w:themeColor="text1"/>
                          <w:sz w:val="24"/>
                          <w:szCs w:val="24"/>
                          <w:highlight w:val="yellow"/>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89, tờ bản đồ số</w:t>
                      </w:r>
                      <w:r>
                        <w:rPr>
                          <w:color w:val="000000"/>
                        </w:rPr>
                        <w:t xml:space="preserve"> 33 có địa chỉ: Số 11 ngõ 72 Tôn Thất Tùng, phường Kim Liên, thành phố Hà Nội theo Giấy chứng nhận </w:t>
                      </w:r>
                      <w:r>
                        <w:rPr>
                          <w:color w:val="000000"/>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4-19</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20</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t xml:space="preserve">-29</w:t>
            </w:r>
            <w:r>
              <w:rPr>
                <w:b/>
                <w:bCs/>
                <w:highlight w:val="white"/>
              </w:rPr>
            </w:r>
            <w:r>
              <w:rPr>
                <w:b/>
                <w:bCs/>
                <w:highlight w:val="white"/>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275/2026/1068/VFI-CT.53.A</w:t>
            </w:r>
            <w:r>
              <w:rPr>
                <w:color w:val="000000" w:themeColor="text1"/>
                <w:sz w:val="24"/>
                <w:szCs w:val="24"/>
              </w:rPr>
            </w:r>
            <w:r>
              <w:rPr>
                <w:color w:val="000000" w:themeColor="text1"/>
                <w:sz w:val="24"/>
                <w:szCs w:val="24"/>
              </w:rPr>
            </w:r>
          </w:p>
          <w:p>
            <w:pPr>
              <w:pStyle w:val="1042"/>
              <w:pBdr/>
              <w:spacing w:after="60"/>
              <w:ind w:right="-56"/>
              <w:jc w:val="center"/>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bCs/>
          <w:color w:val="000000" w:themeColor="text1"/>
          <w:spacing w:val="3"/>
          <w:sz w:val="24"/>
          <w:szCs w:val="24"/>
          <w:highlight w:val="white"/>
        </w:rPr>
        <w:t xml:space="preserve">CÔNG TY TNHH LONG SƠN PHÚC THỌ</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275/2026/1068/VFI-HĐTĐ.53.A</w:t>
      </w:r>
      <w:r>
        <w:rPr>
          <w:spacing w:val="-4"/>
          <w:lang w:val="vi-VN"/>
        </w:rPr>
        <w:t xml:space="preserve"> ký ngày </w:t>
      </w:r>
      <w:r>
        <w:rPr>
          <w:color w:val="000000" w:themeColor="text1"/>
          <w:spacing w:val="-4"/>
        </w:rPr>
        <w:t xml:space="preserve">2 tháng 7 năm 2026</w:t>
      </w:r>
      <w:r>
        <w:rPr>
          <w:spacing w:val="-4"/>
          <w:lang w:val="vi-VN"/>
        </w:rPr>
        <w:t xml:space="preserve"> </w:t>
      </w:r>
      <w:r>
        <w:rPr>
          <w:spacing w:val="-4"/>
          <w:lang w:val="vi-VN"/>
        </w:rPr>
        <w:t xml:space="preserve">giữ</w:t>
      </w:r>
      <w:r>
        <w:rPr>
          <w:b w:val="0"/>
          <w:bCs w:val="0"/>
          <w:spacing w:val="-4"/>
          <w:lang w:val="vi-VN"/>
        </w:rPr>
        <w:t xml:space="preserve">a </w:t>
      </w:r>
      <w:r>
        <w:rPr>
          <w:rFonts w:ascii="Times New Roman" w:hAnsi="Times New Roman" w:eastAsia="Times New Roman" w:cs="Times New Roman"/>
          <w:b w:val="0"/>
          <w:bCs w:val="0"/>
          <w:color w:val="000000" w:themeColor="text1"/>
          <w:spacing w:val="3"/>
          <w:sz w:val="24"/>
          <w:szCs w:val="24"/>
          <w:highlight w:val="none"/>
        </w:rPr>
        <w:t xml:space="preserve">Công ty</w:t>
      </w:r>
      <w:r>
        <w:rPr>
          <w:rFonts w:ascii="Times New Roman" w:hAnsi="Times New Roman" w:eastAsia="Times New Roman" w:cs="Times New Roman"/>
          <w:b w:val="0"/>
          <w:bCs w:val="0"/>
          <w:color w:val="000000" w:themeColor="text1"/>
          <w:spacing w:val="3"/>
          <w:sz w:val="24"/>
          <w:szCs w:val="24"/>
          <w:highlight w:val="white"/>
        </w:rPr>
        <w:t xml:space="preserve"> TNHH </w:t>
      </w:r>
      <w:r>
        <w:rPr>
          <w:rFonts w:ascii="Times New Roman" w:hAnsi="Times New Roman" w:eastAsia="Times New Roman" w:cs="Times New Roman"/>
          <w:b w:val="0"/>
          <w:bCs w:val="0"/>
          <w:color w:val="000000" w:themeColor="text1"/>
          <w:spacing w:val="3"/>
          <w:sz w:val="24"/>
          <w:szCs w:val="24"/>
          <w:highlight w:val="none"/>
        </w:rPr>
        <w:t xml:space="preserve">Long Sơn Phúc Thọ</w:t>
      </w:r>
      <w:r>
        <w:rPr>
          <w:b w:val="0"/>
          <w:bCs w:val="0"/>
        </w:rPr>
        <w:t xml:space="preserve"> </w:t>
      </w:r>
      <w:r>
        <w:rPr>
          <w:b w:val="0"/>
          <w:bCs w:val="0"/>
          <w:spacing w:val="-6"/>
        </w:rPr>
        <w:t xml:space="preserve">v</w:t>
      </w:r>
      <w:r>
        <w:rPr>
          <w:b w:val="0"/>
          <w:bCs w:val="0"/>
          <w:spacing w:val="-6"/>
        </w:rPr>
        <w:t xml:space="preserve">ới</w:t>
      </w:r>
      <w:r>
        <w:rPr>
          <w:b w:val="0"/>
          <w:bCs w:val="0"/>
          <w:spacing w:val="-6"/>
        </w:rPr>
        <w:t xml:space="preserve"> </w:t>
      </w:r>
      <w:r>
        <w:rPr>
          <w:b w:val="0"/>
          <w:bCs w:val="0"/>
          <w:color w:val="000000" w:themeColor="text1"/>
          <w:spacing w:val="-4"/>
          <w:lang w:val="vi-VN"/>
        </w:rPr>
        <w:t xml:space="preserve">Công ty Cổ phần Thẩm định và Đầu tư Tài chính Hoa Sen</w:t>
      </w:r>
      <w:r>
        <w:rPr>
          <w:b w:val="0"/>
          <w:bCs w:val="0"/>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275/2026/1068/VFI-BC.53.A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ind/>
              <w:rPr>
                <w:rFonts w:ascii="Times New Roman" w:hAnsi="Times New Roman" w:cs="Times New Roman"/>
                <w:b/>
                <w:bCs/>
                <w:color w:val="000000" w:themeColor="text1"/>
                <w:sz w:val="24"/>
                <w:szCs w:val="24"/>
                <w:highlight w:val="yellow"/>
              </w:rPr>
            </w:pPr>
            <w:r>
              <w:rPr>
                <w:rFonts w:ascii="Times New Roman" w:hAnsi="Times New Roman" w:eastAsia="Times New Roman" w:cs="Times New Roman"/>
                <w:b/>
                <w:bCs/>
                <w:color w:val="000000" w:themeColor="text1"/>
                <w:highlight w:val="yellow"/>
              </w:rPr>
            </w:r>
            <w:r>
              <w:rPr>
                <w:rFonts w:ascii="Times New Roman" w:hAnsi="Times New Roman" w:eastAsia="Times New Roman" w:cs="Times New Roman"/>
                <w:b/>
                <w:bCs/>
                <w:color w:val="000000" w:themeColor="text1"/>
                <w:spacing w:val="3"/>
                <w:sz w:val="24"/>
                <w:szCs w:val="24"/>
                <w:highlight w:val="white"/>
              </w:rPr>
              <w:t xml:space="preserve">CÔNG TY TNHH LONG SƠN PHÚC THỌ</w:t>
            </w:r>
            <w:r>
              <w:rPr>
                <w:rFonts w:ascii="Times New Roman" w:hAnsi="Times New Roman" w:cs="Times New Roman"/>
                <w:b/>
                <w:bCs/>
                <w:color w:val="000000" w:themeColor="text1"/>
                <w:sz w:val="24"/>
                <w:szCs w:val="24"/>
                <w:highlight w:val="yellow"/>
              </w:rPr>
            </w:r>
            <w:r>
              <w:rPr>
                <w:rFonts w:ascii="Times New Roman" w:hAnsi="Times New Roman" w:cs="Times New Roman"/>
                <w:b/>
                <w:bCs/>
                <w:color w:val="000000" w:themeColor="text1"/>
                <w:sz w:val="24"/>
                <w:szCs w:val="24"/>
                <w:highlight w:val="yellow"/>
              </w:rPr>
            </w:r>
          </w:p>
        </w:tc>
      </w:tr>
      <w:tr>
        <w:trPr>
          <w:trHeight w:val="41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spacing w:val="3"/>
                <w:sz w:val="23"/>
                <w:highlight w:val="white"/>
              </w:rPr>
              <w:t xml:space="preserve">Số nhà 11 - Ngõ 72 Tôn Thất Tùng, Phường Kim Liên,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Mã số thuế</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spacing w:val="3"/>
                <w:sz w:val="23"/>
                <w:highlight w:val="white"/>
              </w:rPr>
              <w:t xml:space="preserve">0110834061</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r>
            <w:r>
              <w:rPr>
                <w:rFonts w:ascii="Times New Roman" w:hAnsi="Times New Roman" w:eastAsia="Times New Roman" w:cs="Times New Roman"/>
                <w:color w:val="000000" w:themeColor="text1"/>
                <w:spacing w:val="3"/>
                <w:sz w:val="23"/>
                <w:highlight w:val="white"/>
              </w:rPr>
              <w:t xml:space="preserve">Đại diện</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spacing w:val="3"/>
                <w:sz w:val="23"/>
                <w:highlight w:val="white"/>
              </w:rPr>
              <w:t xml:space="preserve"> </w:t>
            </w:r>
            <w:r>
              <w:rPr>
                <w:rFonts w:ascii="Times New Roman" w:hAnsi="Times New Roman" w:eastAsia="Times New Roman" w:cs="Times New Roman"/>
                <w:b/>
                <w:bCs/>
                <w:color w:val="000000" w:themeColor="text1"/>
                <w:spacing w:val="3"/>
                <w:sz w:val="23"/>
                <w:highlight w:val="white"/>
              </w:rPr>
              <w:t xml:space="preserve">Bà Nguyễn Thị Hà                              Chức vụ: Giám đốc</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89, tờ bản đồ số 33 có địa chỉ: Số 11 ngõ 72 Tôn Thất Tùng, phường Kim Liên, thành phố Hà Nội theo Giấy chứng nhận </w:t>
      </w:r>
      <w:r>
        <w:rPr>
          <w:color w:val="000000" w:themeColor="text1"/>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89, tờ bản đồ số 33 có địa chỉ: Số 11 ngõ 72 Tôn Thất Tùng, phường Kim Liên, thành phố Hà Nội theo Giấy chứng nhận </w:t>
            </w:r>
            <w:r>
              <w:rPr>
                <w:b/>
                <w:bCs/>
                <w:color w:val="000000"/>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78,9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260.000.000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20.514.000.000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20.514.000.000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tỷ, năm trăm mười bốn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299"/>
        <w:gridCol w:w="12263"/>
      </w:tblGrid>
      <w:tr>
        <w:trPr>
          <w:trHeight w:val="1843"/>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6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2"/>
              <w:pBdr/>
              <w:spacing w:after="60"/>
              <w:ind/>
              <w:rPr>
                <w:color w:val="000000" w:themeColor="text1"/>
                <w:sz w:val="24"/>
                <w:szCs w:val="24"/>
                <w:highlight w:val="none"/>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275/2026/106</w:t>
            </w:r>
            <w:r>
              <w:rPr>
                <w:rStyle w:val="1041"/>
                <w:rFonts w:ascii="Times New Roman" w:hAnsi="Times New Roman"/>
                <w:color w:val="000000" w:themeColor="text1"/>
                <w:highlight w:val="none"/>
                <w:lang w:val="pt-BR"/>
              </w:rPr>
              <w:t xml:space="preserve">8/</w:t>
            </w:r>
            <w:r>
              <w:rPr>
                <w:rStyle w:val="1041"/>
                <w:rFonts w:ascii="Times New Roman" w:hAnsi="Times New Roman"/>
                <w:color w:val="000000" w:themeColor="text1"/>
                <w:highlight w:val="none"/>
                <w:lang w:val="pt-BR"/>
              </w:rPr>
              <w:t xml:space="preserve">VFI-BC.53.A</w:t>
            </w:r>
            <w:r>
              <w:rPr>
                <w:color w:val="000000" w:themeColor="text1"/>
                <w:sz w:val="24"/>
                <w:szCs w:val="24"/>
                <w:highlight w:val="none"/>
              </w:rPr>
            </w:r>
            <w:r>
              <w:rPr>
                <w:color w:val="000000" w:themeColor="text1"/>
                <w:sz w:val="24"/>
                <w:szCs w:val="24"/>
                <w:highlight w:val="none"/>
              </w:rPr>
            </w:r>
          </w:p>
          <w:p>
            <w:pPr>
              <w:pStyle w:val="1042"/>
              <w:pBdr/>
              <w:spacing w:after="60"/>
              <w:ind w:right="-56"/>
              <w:jc w:val="center"/>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275/2026/1068/VFI-CT.53.A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ind/>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rPr>
            </w:r>
            <w:r>
              <w:rPr>
                <w:rFonts w:ascii="Times New Roman" w:hAnsi="Times New Roman" w:eastAsia="Times New Roman" w:cs="Times New Roman"/>
                <w:b/>
                <w:bCs/>
                <w:color w:val="000000" w:themeColor="text1"/>
                <w:spacing w:val="3"/>
                <w:sz w:val="24"/>
                <w:szCs w:val="24"/>
                <w:highlight w:val="white"/>
              </w:rPr>
              <w:t xml:space="preserve">CÔNG TY TNHH LONG SƠN PHÚC THỌ</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spacing w:val="3"/>
                <w:sz w:val="23"/>
                <w:highlight w:val="white"/>
              </w:rPr>
              <w:t xml:space="preserve">Số nhà 11 - Ngõ 72 Tôn Thất Tùng, Phường Kim Liên,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Mã số thuế</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spacing w:val="3"/>
                <w:sz w:val="23"/>
                <w:highlight w:val="white"/>
              </w:rPr>
              <w:t xml:space="preserve">0110834061</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r>
            <w:r>
              <w:rPr>
                <w:rFonts w:ascii="Times New Roman" w:hAnsi="Times New Roman" w:eastAsia="Times New Roman" w:cs="Times New Roman"/>
                <w:color w:val="000000" w:themeColor="text1"/>
                <w:spacing w:val="3"/>
                <w:sz w:val="23"/>
                <w:highlight w:val="white"/>
              </w:rPr>
              <w:t xml:space="preserve">Đại diện</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spacing w:val="3"/>
                <w:sz w:val="23"/>
                <w:highlight w:val="white"/>
              </w:rPr>
              <w:t xml:space="preserve"> </w:t>
            </w:r>
            <w:r>
              <w:rPr>
                <w:rFonts w:ascii="Times New Roman" w:hAnsi="Times New Roman" w:eastAsia="Times New Roman" w:cs="Times New Roman"/>
                <w:b/>
                <w:bCs/>
                <w:color w:val="000000" w:themeColor="text1"/>
                <w:spacing w:val="3"/>
                <w:sz w:val="23"/>
                <w:highlight w:val="white"/>
              </w:rPr>
              <w:t xml:space="preserve">Bà Nguyễn Thị Hà                              Chức vụ: Giám đốc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89, tờ bản đồ số 33 có địa chỉ: Số 11 ngõ 72 Tôn Thất Tùng, phường Kim Liên, thành phố Hà Nội theo Giấy chứng nhận </w:t>
            </w:r>
            <w:r>
              <w:rPr>
                <w:bCs/>
                <w:color w:val="000000" w:themeColor="text1"/>
                <w:lang w:val="pt-BR"/>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Kim Liên,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21.001611111111, 105.82888888889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02/07/2026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4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w:t>
      </w:r>
      <w:r>
        <w:rPr>
          <w:bCs/>
          <w:color w:val="000000" w:themeColor="text1"/>
          <w:lang w:val="pt-BR"/>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275/2026/1068/VFI-HĐTĐ.53.A ngày 02/07/2026 giữa </w:t>
      </w:r>
      <w:r>
        <w:rPr>
          <w:rFonts w:ascii="Times New Roman" w:hAnsi="Times New Roman" w:eastAsia="Times New Roman" w:cs="Times New Roman"/>
          <w:b w:val="0"/>
          <w:bCs w:val="0"/>
          <w:color w:val="000000" w:themeColor="text1"/>
          <w:spacing w:val="3"/>
          <w:sz w:val="24"/>
          <w:szCs w:val="24"/>
          <w:highlight w:val="none"/>
        </w:rPr>
        <w:t xml:space="preserve">Công ty</w:t>
      </w:r>
      <w:r>
        <w:rPr>
          <w:rFonts w:ascii="Times New Roman" w:hAnsi="Times New Roman" w:eastAsia="Times New Roman" w:cs="Times New Roman"/>
          <w:b w:val="0"/>
          <w:bCs w:val="0"/>
          <w:color w:val="000000" w:themeColor="text1"/>
          <w:spacing w:val="3"/>
          <w:sz w:val="24"/>
          <w:szCs w:val="24"/>
          <w:highlight w:val="white"/>
        </w:rPr>
        <w:t xml:space="preserve"> TNHH </w:t>
      </w:r>
      <w:r>
        <w:rPr>
          <w:rFonts w:ascii="Times New Roman" w:hAnsi="Times New Roman" w:eastAsia="Times New Roman" w:cs="Times New Roman"/>
          <w:b w:val="0"/>
          <w:bCs w:val="0"/>
          <w:color w:val="000000" w:themeColor="text1"/>
          <w:spacing w:val="3"/>
          <w:sz w:val="24"/>
          <w:szCs w:val="24"/>
          <w:highlight w:val="none"/>
        </w:rPr>
        <w:t xml:space="preserve">Long Sơn Phúc Thọ</w:t>
      </w:r>
      <w:r>
        <w:rPr>
          <w:color w:val="000000" w:themeColor="text1"/>
          <w:lang w:val="pt-BR"/>
        </w:rPr>
        <w:t xml:space="preserve"> với Công ty Cổ phần Thẩm định và Đầu tư Tài chính Hoa Sen.</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highlight w:val="white"/>
          <w:lang w:val="pt-BR"/>
        </w:rPr>
        <w:tab/>
      </w:r>
      <w:r>
        <w:rPr>
          <w:rFonts w:ascii="Times New Roman" w:hAnsi="Times New Roman" w:eastAsia="Times New Roman" w:cs="Times New Roman"/>
          <w:color w:val="000000" w:themeColor="text1"/>
          <w:sz w:val="24"/>
          <w:szCs w:val="24"/>
          <w:highlight w:val="white"/>
        </w:rPr>
        <w:t xml:space="preserve">Phường Kim Liên, một trong những khu vực sôi động bậc nhất của quận Đống Đa, đang chuẩn bị cho một diện mạo hoàn toàn mới. Bản đồ quy hoạch phường Kim Liên quận Đống Đa Hà Nội mới nhất vừa được công bố đã mang đến nhiều thông tin hấp dẫn. Cùng khám</w:t>
      </w:r>
      <w:r>
        <w:rPr>
          <w:rFonts w:ascii="Times New Roman" w:hAnsi="Times New Roman" w:eastAsia="Times New Roman" w:cs="Times New Roman"/>
          <w:color w:val="000000" w:themeColor="text1"/>
          <w:sz w:val="24"/>
          <w:szCs w:val="24"/>
        </w:rPr>
        <w:t xml:space="preserve"> phá nhữ</w:t>
      </w:r>
      <w:r>
        <w:rPr>
          <w:rFonts w:ascii="Times New Roman" w:hAnsi="Times New Roman" w:eastAsia="Times New Roman" w:cs="Times New Roman"/>
          <w:color w:val="000000" w:themeColor="text1"/>
          <w:sz w:val="24"/>
          <w:szCs w:val="24"/>
        </w:rPr>
        <w:t xml:space="preserve">ng thay đổi đáng chú ý và tìm hiểu những cơ hội đầu tư tiềm năng tại đây.</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Phường Kim Liên nằm tại quận Đống Đa, thành phố Hà Nội, và được xem là một trong những phường có vị trí chiến lược, tiếp giáp với nhiều khu vực trọng yếu. Theo thống kê, Kim Liên giáp với phường Phương Liên ở phía Đông Bắc, phường Trung Tự ở phía Tây Bắc, </w:t>
      </w:r>
      <w:r>
        <w:rPr>
          <w:rFonts w:ascii="Times New Roman" w:hAnsi="Times New Roman" w:eastAsia="Times New Roman" w:cs="Times New Roman"/>
          <w:color w:val="000000" w:themeColor="text1"/>
          <w:sz w:val="24"/>
          <w:szCs w:val="24"/>
        </w:rPr>
        <w:t xml:space="preserve">phường Phương Mai ở phía Đông Nam và phường Khương Thượng ở phía Tây Nam.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Vị trí này không chỉ tạo điều kiện thuận lợi cho sự phát triển kinh tế mà còn là điểm kết nối giao thông quan trọng, giúp cư dân dễ dàng di chuyển đến các khu vực lân cận.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Năm 2024, thị trường bất động sản tại phường Kim Liên, quận Đống Đa, Hà Nội, tiếp tục thu hút sự chú ý nhờ vào vị trí địa lý đắc địa, sự phát triển mạnh mẽ của hạ tầng giao thông và nhu cầu sở hữu nhà riêng ngày càng tăng cao. Đây là khu vực có lịch sử đô </w:t>
      </w:r>
      <w:r>
        <w:rPr>
          <w:rFonts w:ascii="Times New Roman" w:hAnsi="Times New Roman" w:eastAsia="Times New Roman" w:cs="Times New Roman"/>
          <w:color w:val="000000" w:themeColor="text1"/>
          <w:sz w:val="24"/>
          <w:szCs w:val="24"/>
        </w:rPr>
        <w:t xml:space="preserve">thị hóa lâu đời, nổi bật với sự sầm uất và sự đa dạng về loại hình bất động sản như nhà đất, chung cư mini và chung cư cao tầng. Bài viết này sẽ cung cấp cái nhìn chi tiết về giá cả cũng như các dự án bất động sản thổ cư nổi bật trong khu vực.</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Tóm lại, tình hình quy hoạch phường Kim Liên hiện tại đang cho thấy nhiều chuyển biến tích cực, góp phần thúc đẩy sự phát triển bền vững và chất lượng cuộc sống cho cư dân. Các dự án cải tạo hạ tầng và phát triển không gian đô thị không chỉ đáp ứng nhu cầu</w:t>
      </w:r>
      <w:r>
        <w:rPr>
          <w:rFonts w:ascii="Times New Roman" w:hAnsi="Times New Roman" w:eastAsia="Times New Roman" w:cs="Times New Roman"/>
          <w:color w:val="000000" w:themeColor="text1"/>
          <w:sz w:val="24"/>
          <w:szCs w:val="24"/>
        </w:rPr>
        <w:t xml:space="preserve"> ở mà còn bảo tồn giá trị văn hóa và lịch sử của khu vực. Từ đó tạo ra cơ hội cho cả người dân và nhà đầu tư, đặc biệt là trong bối cảnh thị trường bất động sản tại Hà Nội đang có nhiều biến động.</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rPr>
      </w:pPr>
      <w:r>
        <w:rPr>
          <w:rFonts w:ascii="Times New Roman" w:hAnsi="Times New Roman" w:eastAsia="Times New Roman" w:cs="Times New Roman"/>
          <w:i/>
          <w:iCs/>
          <w:color w:val="000000" w:themeColor="text1"/>
          <w:sz w:val="24"/>
          <w:szCs w:val="24"/>
          <w:highlight w:val="none"/>
          <w:lang w:val="pt-BR" w:bidi="pt-BR"/>
        </w:rPr>
        <w:t xml:space="preserve">(Nguồn: </w:t>
      </w:r>
      <w:r>
        <w:rPr>
          <w:rFonts w:ascii="Times New Roman" w:hAnsi="Times New Roman" w:eastAsia="Times New Roman" w:cs="Times New Roman"/>
          <w:i/>
          <w:iCs/>
          <w:color w:val="000000" w:themeColor="text1"/>
          <w:sz w:val="24"/>
          <w:szCs w:val="24"/>
          <w:highlight w:val="none"/>
          <w:lang w:val="pt-BR" w:bidi="pt-BR"/>
        </w:rPr>
        <w:t xml:space="preserve">https://onehousing.vn/blog/cap-nhat-ban-do-quy-hoach-phuong-kim-lien-quan-dong-da-ha-noi-moi-nhat-n17t</w:t>
      </w:r>
      <w:r>
        <w:rPr>
          <w:rFonts w:ascii="Times New Roman" w:hAnsi="Times New Roman" w:eastAsia="Times New Roman" w:cs="Times New Roman"/>
          <w:i/>
          <w:iCs/>
          <w:color w:val="000000" w:themeColor="text1"/>
          <w:sz w:val="24"/>
          <w:szCs w:val="24"/>
          <w:highlight w:val="none"/>
          <w:lang w:val="pt-BR" w:bidi="pt-BR"/>
        </w:rPr>
        <w:t xml:space="preserve">)</w:t>
      </w:r>
      <w:r>
        <w:rPr>
          <w:rFonts w:ascii="Times New Roman" w:hAnsi="Times New Roman" w:cs="Times New Roman"/>
          <w:bCs/>
          <w:i/>
          <w:color w:val="000000" w:themeColor="text1"/>
          <w:sz w:val="24"/>
          <w:szCs w:val="24"/>
        </w:rPr>
      </w:r>
      <w:r>
        <w:rPr>
          <w:rFonts w:ascii="Times New Roman" w:hAnsi="Times New Roman" w:cs="Times New Roman"/>
          <w:bCs/>
          <w:i/>
          <w:color w:val="000000" w:themeColor="text1"/>
          <w:sz w:val="24"/>
          <w:szCs w:val="24"/>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Tên tài sản</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jc w:val="both"/>
              <w:rPr>
                <w:b/>
                <w:bCs/>
                <w:color w:val="000000"/>
                <w:sz w:val="24"/>
                <w:szCs w:val="24"/>
              </w:rPr>
            </w:pPr>
            <w:r>
              <w:rPr>
                <w:b/>
                <w:bCs/>
                <w:color w:val="000000"/>
                <w:sz w:val="24"/>
                <w:szCs w:val="24"/>
              </w:rPr>
              <w:t xml:space="preserve">Quyền sử dụng đất tại thửa đất số: 89, tờ bản đồ số 33 có địa chỉ: Số 11 ngõ 72 Tôn Thất Tùng, phường Kim Liên, thành phố Hà Nội theo Giấy chứng nhận </w:t>
            </w:r>
            <w:r>
              <w:rPr>
                <w:b/>
                <w:bCs/>
                <w:color w:val="000000"/>
                <w:sz w:val="24"/>
                <w:szCs w:val="24"/>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b/>
                <w:bCs/>
                <w:color w:val="000000"/>
                <w:sz w:val="24"/>
                <w:szCs w:val="24"/>
              </w:rPr>
              <w:t xml:space="preserve">.</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1.</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Nội dung Thửa đất theo Hồ sơ pháp lý</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Thửa đất số:</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89</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Tờ bản đồ số:</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ee0000"/>
                <w:sz w:val="24"/>
                <w:szCs w:val="24"/>
              </w:rPr>
            </w:pPr>
            <w:r>
              <w:rPr>
                <w:color w:val="000000" w:themeColor="text1"/>
                <w:sz w:val="24"/>
                <w:szCs w:val="24"/>
              </w:rPr>
              <w:t xml:space="preserve">33</w:t>
            </w:r>
            <w:r>
              <w:rPr>
                <w:color w:val="ee0000"/>
                <w:sz w:val="24"/>
                <w:szCs w:val="24"/>
              </w:rPr>
            </w:r>
            <w:r>
              <w:rPr>
                <w:color w:val="ee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Địa chỉ:</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jc w:val="both"/>
              <w:rPr>
                <w:color w:val="000000"/>
                <w:sz w:val="24"/>
                <w:szCs w:val="24"/>
              </w:rPr>
            </w:pPr>
            <w:r>
              <w:rPr>
                <w:color w:val="000000"/>
                <w:sz w:val="24"/>
                <w:szCs w:val="24"/>
              </w:rPr>
              <w:t xml:space="preserve">Số 11 ngõ 72 Tôn Thất Tùng, phường Kim Liên, thành phố Hà Nội</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Diện tích (m²):</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78,9</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Hình thức sử dụng: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Sử dụng chung của vợ và chồng</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Mục đích sử dụng:</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Đất ở tại đô thị</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Thời hạn sử dụng: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Lâu dài</w:t>
            </w:r>
            <w:r>
              <w:rPr>
                <w:color w:val="000000"/>
                <w:sz w:val="24"/>
                <w:szCs w:val="24"/>
              </w:rPr>
            </w:r>
            <w:r>
              <w:rPr>
                <w:color w:val="000000"/>
                <w:sz w:val="24"/>
                <w:szCs w:val="24"/>
              </w:rPr>
            </w:r>
          </w:p>
        </w:tc>
      </w:tr>
      <w:tr>
        <w:trPr>
          <w:trHeight w:val="20"/>
        </w:trPr>
        <w:tc>
          <w:tcPr>
            <w:tcBorders/>
            <w:tcW w:w="734" w:type="dxa"/>
            <w:vAlign w:val="center"/>
            <w:vMerge w:val="restart"/>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vMerge w:val="restart"/>
            <w:textDirection w:val="lrTb"/>
            <w:noWrap w:val="false"/>
          </w:tcPr>
          <w:p>
            <w:pPr>
              <w:pBdr/>
              <w:spacing/>
              <w:ind/>
              <w:rPr>
                <w:color w:val="000000"/>
                <w:sz w:val="24"/>
                <w:szCs w:val="24"/>
              </w:rPr>
            </w:pPr>
            <w:r>
              <w:rPr>
                <w:color w:val="000000"/>
                <w:sz w:val="24"/>
                <w:szCs w:val="24"/>
              </w:rPr>
              <w:t xml:space="preserve">Ghi chú</w:t>
            </w:r>
            <w:r>
              <w:rPr>
                <w:color w:val="000000"/>
                <w:sz w:val="24"/>
                <w:szCs w:val="24"/>
              </w:rPr>
            </w:r>
            <w:r>
              <w:rPr>
                <w:color w:val="000000"/>
                <w:sz w:val="24"/>
                <w:szCs w:val="24"/>
              </w:rPr>
            </w:r>
          </w:p>
        </w:tc>
        <w:tc>
          <w:tcPr>
            <w:gridSpan w:val="3"/>
            <w:tcBorders/>
            <w:tcW w:w="6259" w:type="dxa"/>
            <w:vAlign w:val="center"/>
            <w:vMerge w:val="restart"/>
            <w:textDirection w:val="lrTb"/>
            <w:noWrap w:val="false"/>
          </w:tcPr>
          <w:p>
            <w:pPr>
              <w:pBdr/>
              <w:spacing w:after="0" w:before="0" w:line="240" w:lineRule="auto"/>
              <w:ind/>
              <w:jc w:val="both"/>
              <w:rPr>
                <w:color w:val="000000" w:themeColor="text1"/>
                <w:sz w:val="24"/>
                <w:szCs w:val="24"/>
              </w:rPr>
            </w:pPr>
            <w:r>
              <w:rPr>
                <w:rFonts w:ascii="Times New Roman" w:hAnsi="Times New Roman" w:eastAsia="Times New Roman" w:cs="Times New Roman"/>
                <w:color w:val="000000" w:themeColor="text1"/>
                <w:sz w:val="24"/>
                <w:szCs w:val="24"/>
              </w:rPr>
              <w:t xml:space="preserve">- Số tờ bản đồ, số thửa đất được xác định theo bản đồ dự án tổng thể thuộc phường Khương Thượng, quận Đống Đa (cũ).</w:t>
              <w:br/>
              <w:t xml:space="preserve">- Giấy chứng nhận này được cấp đổi từ Giấy chứng nhận quyền sử dụng đất quyền sở hữu nhà ở và tài sản khác gắn liền với đất số DĐ 386943 do </w:t>
            </w:r>
            <w:r>
              <w:rPr>
                <w:rFonts w:ascii="Times New Roman" w:hAnsi="Times New Roman" w:eastAsia="Times New Roman" w:cs="Times New Roman"/>
                <w:color w:val="000000" w:themeColor="text1"/>
                <w:sz w:val="24"/>
                <w:szCs w:val="24"/>
              </w:rPr>
              <w:t xml:space="preserve">Sở Tài nguyên và Môi trường thành phố Hà Nội cấp ngày 06/12/2021.</w: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Thông tin quy hoạch:</w:t>
            </w:r>
            <w:r>
              <w:rPr>
                <w:color w:val="000000"/>
                <w:sz w:val="24"/>
                <w:szCs w:val="24"/>
              </w:rPr>
            </w:r>
            <w:r>
              <w:rPr>
                <w:color w:val="000000"/>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szCs w:val="24"/>
              </w:rPr>
              <w:t xml:space="preserve">định vị trí tài sản thuộc quy hoạch đất ở. </w:t>
            </w:r>
            <w:r>
              <w:rPr>
                <w:color w:val="000000" w:themeColor="text1"/>
                <w:sz w:val="24"/>
                <w:szCs w:val="24"/>
              </w:rPr>
            </w:r>
            <w:r>
              <w:rPr>
                <w:color w:val="000000" w:themeColor="text1"/>
                <w:sz w:val="24"/>
                <w:szCs w:val="24"/>
              </w:rPr>
            </w:r>
          </w:p>
          <w:p>
            <w:pPr>
              <w:pBdr/>
              <w:spacing/>
              <w:ind/>
              <w:jc w:val="both"/>
              <w:rPr>
                <w:color w:val="000000" w:themeColor="text1"/>
                <w:sz w:val="24"/>
                <w:szCs w:val="24"/>
              </w:rPr>
            </w:pPr>
            <w:r>
              <w:rPr>
                <w:color w:val="000000" w:themeColor="text1"/>
                <w:sz w:val="24"/>
                <w:szCs w:val="24"/>
              </w:rPr>
            </w:r>
            <w:r>
              <w:rPr>
                <w:color w:val="000000" w:themeColor="text1"/>
                <w:sz w:val="24"/>
                <w:szCs w:val="24"/>
              </w:rPr>
              <mc:AlternateContent>
                <mc:Choice Requires="wpg">
                  <w:drawing>
                    <wp:inline xmlns:wp="http://schemas.openxmlformats.org/drawingml/2006/wordprocessingDrawing" distT="0" distB="0" distL="0" distR="0">
                      <wp:extent cx="3769700" cy="18407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11434" name=""/>
                              <pic:cNvPicPr>
                                <a:picLocks noChangeAspect="1"/>
                              </pic:cNvPicPr>
                              <pic:nvPr/>
                            </pic:nvPicPr>
                            <pic:blipFill rotWithShape="1">
                              <a:blip r:embed="rId17"/>
                              <a:stretch/>
                            </pic:blipFill>
                            <pic:spPr bwMode="auto">
                              <a:xfrm flipH="0" flipV="0">
                                <a:off x="0" y="0"/>
                                <a:ext cx="3769699" cy="18407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6.83pt;height:144.94pt;mso-wrap-distance-left:0.00pt;mso-wrap-distance-top:0.00pt;mso-wrap-distance-right:0.00pt;mso-wrap-distance-bottom:0.00pt;z-index:1;" stroked="false">
                      <v:imagedata r:id="rId17" o:title=""/>
                      <o:lock v:ext="edit" rotation="t"/>
                    </v:shape>
                  </w:pict>
                </mc:Fallback>
              </mc:AlternateConten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Về đất:</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2.1</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Vị trí; Giao thông;</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Đường tiếp giáp chính:</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b w:val="0"/>
                <w:bCs w:val="0"/>
                <w:color w:val="000000"/>
                <w:sz w:val="24"/>
                <w:szCs w:val="24"/>
              </w:rPr>
            </w:pPr>
            <w:r>
              <w:rPr>
                <w:b w:val="0"/>
                <w:bCs w:val="0"/>
                <w:color w:val="000000"/>
                <w:sz w:val="24"/>
                <w:szCs w:val="24"/>
              </w:rPr>
            </w:r>
            <w:r>
              <w:rPr>
                <w:rFonts w:ascii="Times New Roman" w:hAnsi="Times New Roman" w:eastAsia="Times New Roman" w:cs="Times New Roman"/>
                <w:b w:val="0"/>
                <w:bCs w:val="0"/>
                <w:color w:val="000000" w:themeColor="text1"/>
                <w:sz w:val="24"/>
                <w:szCs w:val="24"/>
              </w:rPr>
              <w:t xml:space="preserve"> Đường bê tông, ngõ ô tô không thông, đoạn đầu đường rộng, đoạn sau ngõ nhỏ ô tô không đi qua được</w:t>
            </w:r>
            <w:r>
              <w:rPr>
                <w:b w:val="0"/>
                <w:bCs w:val="0"/>
                <w:color w:val="000000"/>
                <w:sz w:val="24"/>
                <w:szCs w:val="24"/>
              </w:rPr>
            </w:r>
            <w:r>
              <w:rPr>
                <w:b w:val="0"/>
                <w:bCs w:val="0"/>
                <w:color w:val="000000"/>
                <w:sz w:val="24"/>
                <w:szCs w:val="24"/>
              </w:rPr>
            </w:r>
          </w:p>
        </w:tc>
        <w:tc>
          <w:tcPr>
            <w:tcBorders/>
            <w:tcW w:w="2126" w:type="dxa"/>
            <w:vAlign w:val="center"/>
            <w:textDirection w:val="lrTb"/>
            <w:noWrap w:val="false"/>
          </w:tcPr>
          <w:p>
            <w:pPr>
              <w:pBdr/>
              <w:spacing/>
              <w:ind/>
              <w:rPr>
                <w:b w:val="0"/>
                <w:bCs w:val="0"/>
                <w:color w:val="000000"/>
                <w:sz w:val="24"/>
                <w:szCs w:val="24"/>
              </w:rPr>
            </w:pPr>
            <w:r>
              <w:rPr>
                <w:b w:val="0"/>
                <w:bCs w:val="0"/>
                <w:color w:val="000000"/>
                <w:sz w:val="24"/>
                <w:szCs w:val="24"/>
              </w:rPr>
              <w:t xml:space="preserve">Số mặt tiền:</w:t>
            </w:r>
            <w:r>
              <w:rPr>
                <w:b w:val="0"/>
                <w:bCs w:val="0"/>
                <w:color w:val="000000"/>
                <w:sz w:val="24"/>
                <w:szCs w:val="24"/>
              </w:rPr>
            </w:r>
            <w:r>
              <w:rPr>
                <w:b w:val="0"/>
                <w:bCs w:val="0"/>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Tiếp giáp 1 mặt tiền</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jc w:val="both"/>
              <w:rPr>
                <w:color w:val="000000"/>
                <w:sz w:val="24"/>
                <w:szCs w:val="24"/>
              </w:rPr>
            </w:pPr>
            <w:r>
              <w:rPr>
                <w:color w:val="000000"/>
                <w:sz w:val="24"/>
                <w:szCs w:val="24"/>
              </w:rPr>
              <w:t xml:space="preserve">Mặt cắt đường/ngõ nhỏ nhất từ đường chính dẫn đến tài sản thẩm định giá</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b w:val="0"/>
                <w:bCs w:val="0"/>
                <w:color w:val="000000"/>
                <w:sz w:val="24"/>
                <w:szCs w:val="24"/>
              </w:rPr>
            </w:pPr>
            <w:r>
              <w:rPr>
                <w:b w:val="0"/>
                <w:bCs w:val="0"/>
                <w:color w:val="000000" w:themeColor="text1"/>
                <w:sz w:val="24"/>
                <w:szCs w:val="24"/>
              </w:rPr>
            </w:r>
            <w:r>
              <w:rPr>
                <w:rFonts w:ascii="Times New Roman" w:hAnsi="Times New Roman" w:eastAsia="Times New Roman" w:cs="Times New Roman"/>
                <w:b w:val="0"/>
                <w:bCs w:val="0"/>
                <w:color w:val="000000" w:themeColor="text1"/>
                <w:sz w:val="22"/>
              </w:rPr>
              <w:t xml:space="preserve">  5,5 </w:t>
            </w:r>
            <w:r>
              <w:rPr>
                <w:b w:val="0"/>
                <w:bCs w:val="0"/>
                <w:color w:val="000000"/>
                <w:sz w:val="24"/>
                <w:szCs w:val="24"/>
              </w:rPr>
            </w:r>
            <w:r>
              <w:rPr>
                <w:b w:val="0"/>
                <w:bCs w:val="0"/>
                <w:color w:val="000000"/>
                <w:sz w:val="24"/>
                <w:szCs w:val="24"/>
              </w:rPr>
            </w:r>
          </w:p>
        </w:tc>
        <w:tc>
          <w:tcPr>
            <w:tcBorders/>
            <w:tcW w:w="2126" w:type="dxa"/>
            <w:vAlign w:val="center"/>
            <w:textDirection w:val="lrTb"/>
            <w:noWrap w:val="false"/>
          </w:tcPr>
          <w:p>
            <w:pPr>
              <w:pBdr/>
              <w:spacing/>
              <w:ind/>
              <w:jc w:val="both"/>
              <w:rPr>
                <w:b w:val="0"/>
                <w:bCs w:val="0"/>
                <w:color w:val="000000"/>
                <w:sz w:val="24"/>
                <w:szCs w:val="24"/>
              </w:rPr>
            </w:pPr>
            <w:r>
              <w:rPr>
                <w:b w:val="0"/>
                <w:bCs w:val="0"/>
                <w:color w:val="000000"/>
                <w:sz w:val="24"/>
                <w:szCs w:val="24"/>
              </w:rPr>
              <w:t xml:space="preserve">Mặt cắt đường/ngõ trước mặt tài sản thẩm định giá</w:t>
            </w:r>
            <w:r>
              <w:rPr>
                <w:b w:val="0"/>
                <w:bCs w:val="0"/>
                <w:color w:val="000000"/>
                <w:sz w:val="24"/>
                <w:szCs w:val="24"/>
              </w:rPr>
              <w:t xml:space="preserve"> (m)</w:t>
            </w:r>
            <w:r>
              <w:rPr>
                <w:b w:val="0"/>
                <w:bCs w:val="0"/>
                <w:color w:val="000000"/>
                <w:sz w:val="24"/>
                <w:szCs w:val="24"/>
              </w:rPr>
              <w:t xml:space="preserve">:</w:t>
            </w:r>
            <w:r>
              <w:rPr>
                <w:b w:val="0"/>
                <w:bCs w:val="0"/>
                <w:color w:val="000000"/>
                <w:sz w:val="24"/>
                <w:szCs w:val="24"/>
              </w:rPr>
            </w:r>
            <w:r>
              <w:rPr>
                <w:b w:val="0"/>
                <w:bCs w:val="0"/>
                <w:color w:val="000000"/>
                <w:sz w:val="24"/>
                <w:szCs w:val="24"/>
              </w:rPr>
            </w:r>
          </w:p>
        </w:tc>
        <w:tc>
          <w:tcPr>
            <w:tcBorders/>
            <w:tcW w:w="2007" w:type="dxa"/>
            <w:vAlign w:val="center"/>
            <w:textDirection w:val="lrTb"/>
            <w:noWrap w:val="false"/>
          </w:tcPr>
          <w:p>
            <w:pPr>
              <w:pBdr/>
              <w:spacing/>
              <w:ind/>
              <w:jc w:val="center"/>
              <w:rPr>
                <w:b w:val="0"/>
                <w:bCs w:val="0"/>
                <w:color w:val="000000"/>
                <w:sz w:val="24"/>
                <w:szCs w:val="24"/>
              </w:rPr>
            </w:pPr>
            <w:r>
              <w:rPr>
                <w:b w:val="0"/>
                <w:bCs w:val="0"/>
                <w:color w:val="000000" w:themeColor="text1"/>
                <w:sz w:val="24"/>
                <w:szCs w:val="24"/>
              </w:rPr>
              <w:t xml:space="preserve">6</w:t>
            </w:r>
            <w:r>
              <w:rPr>
                <w:b w:val="0"/>
                <w:bCs w:val="0"/>
                <w:color w:val="000000"/>
                <w:sz w:val="24"/>
                <w:szCs w:val="24"/>
              </w:rPr>
            </w:r>
            <w:r>
              <w:rPr>
                <w:b w:val="0"/>
                <w:bCs w:val="0"/>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Khoảng cách đến trục đường chính</w:t>
            </w:r>
            <w:r>
              <w:rPr>
                <w:color w:val="000000"/>
                <w:sz w:val="24"/>
                <w:szCs w:val="24"/>
              </w:rPr>
              <w:t xml:space="preserve"> (m)</w:t>
            </w:r>
            <w:r>
              <w:rPr>
                <w:color w:val="000000"/>
                <w:sz w:val="24"/>
                <w:szCs w:val="24"/>
              </w:rPr>
              <w:t xml:space="preserve">:</w:t>
            </w:r>
            <w:r>
              <w:rPr>
                <w:color w:val="000000"/>
                <w:sz w:val="24"/>
                <w:szCs w:val="24"/>
              </w:rPr>
            </w:r>
            <w:r>
              <w:rPr>
                <w:color w:val="000000"/>
                <w:sz w:val="24"/>
                <w:szCs w:val="24"/>
              </w:rPr>
            </w:r>
          </w:p>
        </w:tc>
        <w:tc>
          <w:tcPr>
            <w:gridSpan w:val="3"/>
            <w:tcBorders/>
            <w:tcW w:w="6259" w:type="dxa"/>
            <w:vAlign w:val="center"/>
            <w:textDirection w:val="lrTb"/>
            <w:noWrap w:val="false"/>
          </w:tcPr>
          <w:p>
            <w:pPr>
              <w:pBdr/>
              <w:spacing w:after="0" w:before="0" w:line="240" w:lineRule="auto"/>
              <w:ind/>
              <w:jc w:val="both"/>
              <w:rPr>
                <w:sz w:val="24"/>
                <w:szCs w:val="24"/>
              </w:rPr>
            </w:pPr>
            <w:r>
              <w:rPr>
                <w:rFonts w:ascii="Times New Roman" w:hAnsi="Times New Roman" w:eastAsia="Times New Roman" w:cs="Times New Roman"/>
                <w:color w:val="000000"/>
                <w:sz w:val="24"/>
                <w:szCs w:val="24"/>
              </w:rPr>
              <w:t xml:space="preserve">Tài sản nằm tiếp giáp đường nội khu, cách đường Tôn Thất Tùng khoảng 45m, </w:t>
            </w:r>
            <w:r>
              <w:rPr>
                <w:color w:val="000000" w:themeColor="text1"/>
                <w:sz w:val="24"/>
                <w:szCs w:val="24"/>
              </w:rPr>
              <w:t xml:space="preserve">cách bệnh viện Đại học Y Hà Nội ~ 100m. </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Các hướng tiếp giáp:</w:t>
            </w:r>
            <w:r>
              <w:rPr>
                <w:color w:val="000000"/>
                <w:sz w:val="24"/>
                <w:szCs w:val="24"/>
              </w:rPr>
            </w:r>
            <w:r>
              <w:rPr>
                <w:color w:val="000000"/>
                <w:sz w:val="24"/>
                <w:szCs w:val="24"/>
              </w:rPr>
            </w:r>
          </w:p>
        </w:tc>
        <w:tc>
          <w:tcPr>
            <w:gridSpan w:val="3"/>
            <w:tcBorders/>
            <w:tcW w:w="6259" w:type="dxa"/>
            <w:vAlign w:val="center"/>
            <w:textDirection w:val="lrTb"/>
            <w:noWrap w:val="false"/>
          </w:tcPr>
          <w:p>
            <w:pPr>
              <w:pBdr/>
              <w:spacing w:after="0" w:before="0" w:line="240" w:lineRule="auto"/>
              <w:ind/>
              <w:jc w:val="both"/>
              <w:rPr>
                <w:sz w:val="24"/>
                <w:szCs w:val="24"/>
              </w:rPr>
            </w:pPr>
            <w:r>
              <w:rPr>
                <w:rFonts w:ascii="Times New Roman" w:hAnsi="Times New Roman" w:eastAsia="Times New Roman" w:cs="Times New Roman"/>
                <w:color w:val="000000"/>
                <w:sz w:val="24"/>
                <w:szCs w:val="24"/>
              </w:rPr>
              <w:t xml:space="preserve">Hướng Bắc : Tiếp giáp đường bê tông rộng khoảng 6m</w:t>
              <w:br/>
              <w:t xml:space="preserve">Các hướng khác: Tiếp giáp các thửa đất khác.</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gridSpan w:val="4"/>
            <w:tcBorders/>
            <w:tcW w:w="8781" w:type="dxa"/>
            <w:vAlign w:val="center"/>
            <w:textDirection w:val="lrTb"/>
            <w:noWrap w:val="false"/>
          </w:tcPr>
          <w:p>
            <w:pPr>
              <w:pBdr/>
              <w:spacing/>
              <w:ind/>
              <w:rPr>
                <w:color w:val="000000"/>
                <w:sz w:val="24"/>
                <w:szCs w:val="24"/>
              </w:rPr>
            </w:pPr>
            <w:r>
              <w:rPr>
                <w:color w:val="000000"/>
                <w:sz w:val="24"/>
                <w:szCs w:val="24"/>
              </w:rPr>
              <w:t xml:space="preserve">Vị trí trên bản đồ vệ tinh: </w:t>
            </w:r>
            <w:r>
              <w:rPr>
                <w:color w:val="000000"/>
                <w:sz w:val="24"/>
                <w:szCs w:val="24"/>
              </w:rPr>
              <w:t xml:space="preserve">(</w:t>
            </w:r>
            <w:r>
              <w:rPr>
                <w:color w:val="000000"/>
                <w:sz w:val="24"/>
                <w:szCs w:val="24"/>
              </w:rPr>
              <w:t xml:space="preserve">21.001611111111</w:t>
            </w:r>
            <w:r>
              <w:rPr>
                <w:color w:val="000000"/>
                <w:sz w:val="24"/>
                <w:szCs w:val="24"/>
              </w:rPr>
              <w:t xml:space="preserve">, </w:t>
            </w:r>
            <w:r>
              <w:rPr>
                <w:color w:val="000000"/>
                <w:sz w:val="24"/>
                <w:szCs w:val="24"/>
              </w:rPr>
              <w:t xml:space="preserve">105.82888888889</w:t>
            </w:r>
            <w:r>
              <w:rPr>
                <w:color w:val="000000"/>
                <w:sz w:val="24"/>
                <w:szCs w:val="24"/>
              </w:rPr>
              <w:t xml:space="preserve">)</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gridSpan w:val="4"/>
            <w:tcBorders/>
            <w:tcW w:w="8781" w:type="dxa"/>
            <w:vAlign w:val="center"/>
            <w:textDirection w:val="lrTb"/>
            <w:noWrap w:val="false"/>
          </w:tcPr>
          <w:p>
            <w:pPr>
              <w:pBdr/>
              <w:spacing/>
              <w:ind/>
              <w:rPr>
                <w:color w:val="000000"/>
                <w:sz w:val="24"/>
                <w:szCs w:val="24"/>
              </w:rPr>
            </w:pPr>
            <w:r>
              <w:rPr>
                <w:color w:val="000000"/>
                <w:sz w:val="24"/>
                <w:szCs w:val="24"/>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8" o:title=""/>
                      <o:lock v:ext="edit" rotation="t"/>
                    </v:shape>
                  </w:pict>
                </mc:Fallback>
              </mc:AlternateConten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2.2.</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Diện tích; Kích thước; Hình dáng</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Diện tích sử dụng riêng thực tế (m²):</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78,9</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Diện tích sử dụng chung thực tế (m²):</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Mặt tiền (m):</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themeColor="text1"/>
                <w:sz w:val="24"/>
                <w:szCs w:val="24"/>
              </w:rPr>
              <w:t xml:space="preserve">5,05</w:t>
            </w:r>
            <w:r>
              <w:rPr>
                <w:color w:val="000000"/>
                <w:sz w:val="24"/>
                <w:szCs w:val="24"/>
              </w:rPr>
            </w:r>
            <w:r>
              <w:rPr>
                <w:color w:val="000000"/>
                <w:sz w:val="24"/>
                <w:szCs w:val="24"/>
              </w:rPr>
            </w:r>
          </w:p>
        </w:tc>
        <w:tc>
          <w:tcPr>
            <w:tcBorders/>
            <w:tcW w:w="2126" w:type="dxa"/>
            <w:vAlign w:val="center"/>
            <w:textDirection w:val="lrTb"/>
            <w:noWrap w:val="false"/>
          </w:tcPr>
          <w:p>
            <w:pPr>
              <w:pBdr/>
              <w:spacing/>
              <w:ind/>
              <w:rPr>
                <w:sz w:val="24"/>
                <w:szCs w:val="24"/>
              </w:rPr>
            </w:pPr>
            <w:r>
              <w:rPr>
                <w:sz w:val="24"/>
                <w:szCs w:val="24"/>
              </w:rPr>
              <w:t xml:space="preserve">Chiều sâu (m): </w:t>
            </w:r>
            <w:r>
              <w:rPr>
                <w:sz w:val="24"/>
                <w:szCs w:val="24"/>
              </w:rPr>
            </w:r>
            <w:r>
              <w:rPr>
                <w:sz w:val="24"/>
                <w:szCs w:val="24"/>
              </w:rPr>
            </w:r>
          </w:p>
        </w:tc>
        <w:tc>
          <w:tcPr>
            <w:tcBorders/>
            <w:tcW w:w="2007"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15,55 và 15,31</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Hình dáng:</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Hình chữ nhật</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Hướng:</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themeColor="text1"/>
                <w:sz w:val="24"/>
                <w:szCs w:val="24"/>
              </w:rPr>
              <w:t xml:space="preserve">Bắc</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2.3.</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Điều kiện kinh doanh; Hạ tầng nội bộ; Hạ tầng xung quanh</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Hạ tầng nội bộ:</w:t>
            </w:r>
            <w:r>
              <w:rPr>
                <w:color w:val="000000"/>
                <w:sz w:val="24"/>
                <w:szCs w:val="24"/>
              </w:rPr>
            </w:r>
            <w:r>
              <w:rPr>
                <w:color w:val="000000"/>
                <w:sz w:val="24"/>
                <w:szCs w:val="24"/>
              </w:rPr>
            </w:r>
          </w:p>
        </w:tc>
        <w:tc>
          <w:tcPr>
            <w:gridSpan w:val="3"/>
            <w:tcBorders/>
            <w:tcW w:w="6259" w:type="dxa"/>
            <w:vAlign w:val="center"/>
            <w:textDirection w:val="lrTb"/>
            <w:noWrap w:val="false"/>
          </w:tcPr>
          <w:p>
            <w:pPr>
              <w:pBdr/>
              <w:spacing/>
              <w:ind/>
              <w:rPr>
                <w:color w:val="000000"/>
                <w:sz w:val="24"/>
                <w:szCs w:val="24"/>
              </w:rPr>
            </w:pPr>
            <w:r>
              <w:rPr>
                <w:color w:val="000000"/>
                <w:sz w:val="24"/>
                <w:szCs w:val="24"/>
              </w:rPr>
              <w:t xml:space="preserve">Hạ tầng cấp nước: Nước máy, Hạ tầng thoát nước: Rãnh có nắp, Hạ tầng cấp điện: Điện lưới, Hạ tầng thông tin liên lạc: Điện thoại, Mạng internet, Truyền hình cáp</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Hạ tầng xung quanh:</w:t>
            </w:r>
            <w:r>
              <w:rPr>
                <w:color w:val="000000"/>
                <w:sz w:val="24"/>
                <w:szCs w:val="24"/>
              </w:rPr>
            </w:r>
            <w:r>
              <w:rPr>
                <w:color w:val="000000"/>
                <w:sz w:val="24"/>
                <w:szCs w:val="24"/>
              </w:rPr>
            </w:r>
          </w:p>
        </w:tc>
        <w:tc>
          <w:tcPr>
            <w:gridSpan w:val="3"/>
            <w:tcBorders/>
            <w:tcW w:w="6259" w:type="dxa"/>
            <w:vAlign w:val="center"/>
            <w:textDirection w:val="lrTb"/>
            <w:noWrap w:val="false"/>
          </w:tcPr>
          <w:p>
            <w:pPr>
              <w:pBdr/>
              <w:spacing w:after="0" w:before="0" w:line="240" w:lineRule="auto"/>
              <w:ind/>
              <w:rPr>
                <w:sz w:val="24"/>
                <w:szCs w:val="24"/>
              </w:rPr>
            </w:pPr>
            <w:r>
              <w:rPr>
                <w:rFonts w:ascii="Times New Roman" w:hAnsi="Times New Roman" w:eastAsia="Times New Roman" w:cs="Times New Roman"/>
                <w:color w:val="000000"/>
                <w:sz w:val="24"/>
                <w:szCs w:val="24"/>
              </w:rPr>
              <w:t xml:space="preserve">Môi trường trong lành, an ninh đảm bảo, dân trí tốt</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Mật độ dân cư:</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sz w:val="24"/>
                <w:szCs w:val="24"/>
              </w:rPr>
            </w:pPr>
            <w:r>
              <w:rPr>
                <w:color w:val="000000"/>
                <w:sz w:val="24"/>
                <w:szCs w:val="24"/>
              </w:rPr>
              <w:t xml:space="preserve">Cao/đông đúc</w:t>
            </w:r>
            <w:r>
              <w:rPr>
                <w:color w:val="000000"/>
                <w:sz w:val="24"/>
                <w:szCs w:val="24"/>
              </w:rPr>
            </w:r>
            <w:r>
              <w:rPr>
                <w:color w:val="000000"/>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Đời sống dân cư:</w:t>
            </w:r>
            <w:r>
              <w:rPr>
                <w:color w:val="000000"/>
                <w:sz w:val="24"/>
                <w:szCs w:val="24"/>
              </w:rPr>
            </w:r>
            <w:r>
              <w:rPr>
                <w:color w:val="000000"/>
                <w:sz w:val="24"/>
                <w:szCs w:val="24"/>
              </w:rPr>
            </w:r>
          </w:p>
        </w:tc>
        <w:tc>
          <w:tcPr>
            <w:tcBorders/>
            <w:tcW w:w="2007" w:type="dxa"/>
            <w:vAlign w:val="center"/>
            <w:textDirection w:val="lrTb"/>
            <w:noWrap w:val="false"/>
          </w:tcPr>
          <w:p>
            <w:pPr>
              <w:pBdr/>
              <w:spacing/>
              <w:ind/>
              <w:jc w:val="center"/>
              <w:rPr>
                <w:color w:val="000000"/>
                <w:sz w:val="24"/>
                <w:szCs w:val="24"/>
              </w:rPr>
            </w:pPr>
            <w:r>
              <w:rPr>
                <w:color w:val="000000"/>
                <w:sz w:val="24"/>
                <w:szCs w:val="24"/>
              </w:rPr>
              <w:t xml:space="preserve">Ổn định</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w:t>
            </w:r>
            <w:r>
              <w:rPr>
                <w:color w:val="000000"/>
                <w:sz w:val="24"/>
                <w:szCs w:val="24"/>
              </w:rPr>
            </w:r>
            <w:r>
              <w:rPr>
                <w:color w:val="000000"/>
                <w:sz w:val="24"/>
                <w:szCs w:val="24"/>
              </w:rPr>
            </w:r>
          </w:p>
        </w:tc>
        <w:tc>
          <w:tcPr>
            <w:tcBorders/>
            <w:tcW w:w="2522" w:type="dxa"/>
            <w:vAlign w:val="center"/>
            <w:textDirection w:val="lrTb"/>
            <w:noWrap w:val="false"/>
          </w:tcPr>
          <w:p>
            <w:pPr>
              <w:pBdr/>
              <w:spacing/>
              <w:ind/>
              <w:rPr>
                <w:color w:val="000000"/>
                <w:sz w:val="24"/>
                <w:szCs w:val="24"/>
              </w:rPr>
            </w:pPr>
            <w:r>
              <w:rPr>
                <w:color w:val="000000"/>
                <w:sz w:val="24"/>
                <w:szCs w:val="24"/>
              </w:rPr>
              <w:t xml:space="preserve">Lợi thế kinh doanh:</w:t>
            </w:r>
            <w:r>
              <w:rPr>
                <w:color w:val="000000"/>
                <w:sz w:val="24"/>
                <w:szCs w:val="24"/>
              </w:rPr>
            </w:r>
            <w:r>
              <w:rPr>
                <w:color w:val="000000"/>
                <w:sz w:val="24"/>
                <w:szCs w:val="24"/>
              </w:rPr>
            </w:r>
          </w:p>
        </w:tc>
        <w:tc>
          <w:tcPr>
            <w:tcBorders/>
            <w:tcW w:w="2126" w:type="dxa"/>
            <w:vAlign w:val="center"/>
            <w:textDirection w:val="lrTb"/>
            <w:noWrap w:val="false"/>
          </w:tcPr>
          <w:p>
            <w:pPr>
              <w:pBdr/>
              <w:spacing/>
              <w:ind/>
              <w:jc w:val="center"/>
              <w:rPr>
                <w:color w:val="000000" w:themeColor="text1"/>
                <w:sz w:val="24"/>
                <w:szCs w:val="24"/>
              </w:rPr>
            </w:pPr>
            <w:r>
              <w:rPr>
                <w:color w:val="000000" w:themeColor="text1"/>
                <w:sz w:val="24"/>
                <w:szCs w:val="24"/>
              </w:rPr>
              <w:t xml:space="preserve">Tốt</w:t>
            </w:r>
            <w:r>
              <w:rPr>
                <w:color w:val="000000" w:themeColor="text1"/>
                <w:sz w:val="24"/>
                <w:szCs w:val="24"/>
              </w:rPr>
            </w:r>
            <w:r>
              <w:rPr>
                <w:color w:val="000000" w:themeColor="text1"/>
                <w:sz w:val="24"/>
                <w:szCs w:val="24"/>
              </w:rPr>
            </w:r>
          </w:p>
        </w:tc>
        <w:tc>
          <w:tcPr>
            <w:tcBorders/>
            <w:tcW w:w="2126" w:type="dxa"/>
            <w:vAlign w:val="center"/>
            <w:textDirection w:val="lrTb"/>
            <w:noWrap w:val="false"/>
          </w:tcPr>
          <w:p>
            <w:pPr>
              <w:pBdr/>
              <w:spacing/>
              <w:ind/>
              <w:rPr>
                <w:color w:val="000000"/>
                <w:sz w:val="24"/>
                <w:szCs w:val="24"/>
              </w:rPr>
            </w:pPr>
            <w:r>
              <w:rPr>
                <w:color w:val="000000"/>
                <w:sz w:val="24"/>
                <w:szCs w:val="24"/>
              </w:rPr>
              <w:t xml:space="preserve">Khả năng chuyển nhượng:</w:t>
            </w:r>
            <w:r>
              <w:rPr>
                <w:color w:val="000000"/>
                <w:sz w:val="24"/>
                <w:szCs w:val="24"/>
              </w:rPr>
            </w:r>
            <w:r>
              <w:rPr>
                <w:color w:val="000000"/>
                <w:sz w:val="24"/>
                <w:szCs w:val="24"/>
              </w:rPr>
            </w:r>
          </w:p>
        </w:tc>
        <w:tc>
          <w:tcPr>
            <w:tcBorders/>
            <w:tcW w:w="2007"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Tốt </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b/>
                <w:bCs/>
                <w:color w:val="000000"/>
                <w:sz w:val="24"/>
                <w:szCs w:val="24"/>
              </w:rPr>
            </w:pPr>
            <w:r>
              <w:rPr>
                <w:b/>
                <w:bCs/>
                <w:color w:val="000000"/>
                <w:sz w:val="24"/>
                <w:szCs w:val="24"/>
              </w:rPr>
              <w:t xml:space="preserve">3.</w:t>
            </w:r>
            <w:r>
              <w:rPr>
                <w:b/>
                <w:bCs/>
                <w:color w:val="000000"/>
                <w:sz w:val="24"/>
                <w:szCs w:val="24"/>
              </w:rPr>
            </w:r>
            <w:r>
              <w:rPr>
                <w:b/>
                <w:bCs/>
                <w:color w:val="000000"/>
                <w:sz w:val="24"/>
                <w:szCs w:val="24"/>
              </w:rPr>
            </w:r>
          </w:p>
        </w:tc>
        <w:tc>
          <w:tcPr>
            <w:gridSpan w:val="4"/>
            <w:tcBorders/>
            <w:tcW w:w="8781" w:type="dxa"/>
            <w:vAlign w:val="center"/>
            <w:textDirection w:val="lrTb"/>
            <w:noWrap w:val="false"/>
          </w:tcPr>
          <w:p>
            <w:pPr>
              <w:pBdr/>
              <w:spacing/>
              <w:ind/>
              <w:rPr>
                <w:b/>
                <w:bCs/>
                <w:color w:val="000000"/>
                <w:sz w:val="24"/>
                <w:szCs w:val="24"/>
              </w:rPr>
            </w:pPr>
            <w:r>
              <w:rPr>
                <w:b/>
                <w:bCs/>
                <w:color w:val="000000"/>
                <w:sz w:val="24"/>
                <w:szCs w:val="24"/>
              </w:rPr>
              <w:t xml:space="preserve">Tài sản gắn liền với đất</w:t>
            </w:r>
            <w:r>
              <w:rPr>
                <w:b/>
                <w:bCs/>
                <w:color w:val="000000"/>
                <w:sz w:val="24"/>
                <w:szCs w:val="24"/>
              </w:rPr>
            </w:r>
            <w:r>
              <w:rPr>
                <w:b/>
                <w:bCs/>
                <w:color w:val="000000"/>
                <w:sz w:val="24"/>
                <w:szCs w:val="24"/>
              </w:rPr>
            </w:r>
          </w:p>
        </w:tc>
      </w:tr>
      <w:tr>
        <w:trPr>
          <w:trHeight w:val="20"/>
        </w:trPr>
        <w:tc>
          <w:tcPr>
            <w:tcBorders/>
            <w:tcW w:w="734" w:type="dxa"/>
            <w:vAlign w:val="center"/>
            <w:textDirection w:val="lrTb"/>
            <w:noWrap w:val="false"/>
          </w:tcPr>
          <w:p>
            <w:pPr>
              <w:pBdr/>
              <w:spacing/>
              <w:ind/>
              <w:jc w:val="center"/>
              <w:rPr>
                <w:color w:val="000000"/>
                <w:sz w:val="24"/>
                <w:szCs w:val="24"/>
              </w:rPr>
            </w:pPr>
            <w:r>
              <w:rPr>
                <w:color w:val="000000"/>
                <w:sz w:val="24"/>
                <w:szCs w:val="24"/>
              </w:rPr>
              <w:t xml:space="preserve"> </w:t>
            </w:r>
            <w:r>
              <w:rPr>
                <w:color w:val="000000"/>
                <w:sz w:val="24"/>
                <w:szCs w:val="24"/>
              </w:rPr>
            </w:r>
            <w:r>
              <w:rPr>
                <w:color w:val="000000"/>
                <w:sz w:val="24"/>
                <w:szCs w:val="24"/>
              </w:rPr>
            </w:r>
          </w:p>
        </w:tc>
        <w:tc>
          <w:tcPr>
            <w:gridSpan w:val="4"/>
            <w:tcBorders/>
            <w:tcW w:w="8781" w:type="dxa"/>
            <w:textDirection w:val="lrTb"/>
            <w:noWrap w:val="false"/>
          </w:tcPr>
          <w:p>
            <w:pPr>
              <w:pBdr/>
              <w:spacing w:after="0" w:before="0" w:line="240" w:lineRule="auto"/>
              <w:ind/>
              <w:jc w:val="both"/>
              <w:rPr>
                <w:sz w:val="24"/>
                <w:szCs w:val="24"/>
              </w:rPr>
            </w:pPr>
            <w:r>
              <w:rPr>
                <w:rFonts w:ascii="Times New Roman" w:hAnsi="Times New Roman" w:eastAsia="Times New Roman" w:cs="Times New Roman"/>
                <w:color w:val="000000"/>
                <w:sz w:val="24"/>
                <w:szCs w:val="24"/>
              </w:rPr>
              <w:t xml:space="preserve">+ Tại thời điểm khảo sát dưới sự hướng dẫn của khách hàng, CTXD gắn liền với đất là Nhà 2 tầng, xây dựng năm 1990, Diện tích khoảng 65m2/ sàn. Tổng diện tích xây dựng là 130m2. Hiện tại, di</w:t>
            </w:r>
            <w:r>
              <w:rPr>
                <w:rFonts w:ascii="Times New Roman" w:hAnsi="Times New Roman" w:eastAsia="Times New Roman" w:cs="Times New Roman"/>
                <w:color w:val="000000"/>
                <w:sz w:val="24"/>
                <w:szCs w:val="24"/>
              </w:rPr>
              <w:t xml:space="preserve">ện tích công trình trên đất khác với công</w:t>
            </w:r>
            <w:r>
              <w:rPr>
                <w:rFonts w:ascii="Times New Roman" w:hAnsi="Times New Roman" w:eastAsia="Times New Roman" w:cs="Times New Roman"/>
                <w:color w:val="000000"/>
                <w:sz w:val="24"/>
                <w:szCs w:val="24"/>
              </w:rPr>
              <w:t xml:space="preserve"> trình được chứng nhận trê</w:t>
            </w:r>
            <w:r>
              <w:rPr>
                <w:rFonts w:ascii="Times New Roman" w:hAnsi="Times New Roman" w:eastAsia="Times New Roman" w:cs="Times New Roman"/>
                <w:color w:val="000000"/>
                <w:sz w:val="24"/>
                <w:szCs w:val="24"/>
              </w:rPr>
              <w:t xml:space="preserve">n GCN số AA 07065922.</w:t>
            </w:r>
            <w:r>
              <w:rPr>
                <w:sz w:val="24"/>
                <w:szCs w:val="24"/>
              </w:rPr>
            </w:r>
            <w:r>
              <w:rPr>
                <w:sz w:val="24"/>
                <w:szCs w:val="24"/>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3"/>
        <w:pBdr/>
        <w:tabs>
          <w:tab w:val="left" w:leader="none" w:pos="993"/>
        </w:tabs>
        <w:spacing w:after="120" w:before="240" w:line="276" w:lineRule="auto"/>
        <w:ind w:left="0"/>
        <w:jc w:val="both"/>
        <w:rPr>
          <w:b/>
          <w:color w:val="auto"/>
        </w:rPr>
      </w:pPr>
      <w:r>
        <w:rPr>
          <w:b/>
          <w:bCs/>
          <w:lang w:val="pt-BR"/>
        </w:rPr>
        <w:t xml:space="preserve">V. C</w:t>
      </w:r>
      <w:r>
        <w:rPr>
          <w:b/>
          <w:bCs/>
          <w:color w:val="auto"/>
          <w:lang w:val="pt-BR"/>
        </w:rPr>
        <w:t xml:space="preserve">ÁC GIẢ THIẾT VÀ GIẢ THIẾT ĐẶC BIỆT</w:t>
      </w:r>
      <w:r>
        <w:rPr>
          <w:b/>
          <w:color w:val="auto"/>
        </w:rPr>
      </w:r>
      <w:r>
        <w:rPr>
          <w:b/>
          <w:color w:val="auto"/>
        </w:rPr>
      </w:r>
    </w:p>
    <w:p>
      <w:pPr>
        <w:pStyle w:val="1043"/>
        <w:numPr>
          <w:ilvl w:val="0"/>
          <w:numId w:val="3"/>
        </w:numPr>
        <w:pBdr/>
        <w:tabs>
          <w:tab w:val="left" w:leader="none" w:pos="993"/>
        </w:tabs>
        <w:spacing w:after="120" w:before="120" w:line="264" w:lineRule="auto"/>
        <w:ind/>
        <w:jc w:val="both"/>
        <w:rPr>
          <w:color w:val="auto"/>
          <w:spacing w:val="-2"/>
        </w:rPr>
      </w:pPr>
      <w:r>
        <w:rPr>
          <w:color w:val="auto"/>
          <w:spacing w:val="-2"/>
          <w:lang w:val="pt-BR"/>
        </w:rPr>
        <w:t xml:space="preserve">Chúng tôi giả định rằng tài sản thẩm </w:t>
      </w:r>
      <w:r>
        <w:rPr>
          <w:color w:val="auto"/>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auto"/>
          <w:spacing w:val="-2"/>
          <w:lang w:val="pt-BR"/>
        </w:rPr>
        <w:t xml:space="preserve">đới (nếu có) trong trường hợp này.</w:t>
      </w:r>
      <w:r>
        <w:rPr>
          <w:color w:val="auto"/>
          <w:spacing w:val="-2"/>
        </w:rPr>
      </w:r>
      <w:r>
        <w:rPr>
          <w:color w:val="auto"/>
          <w:spacing w:val="-2"/>
        </w:rPr>
      </w:r>
    </w:p>
    <w:p>
      <w:pPr>
        <w:pStyle w:val="1043"/>
        <w:numPr>
          <w:ilvl w:val="0"/>
          <w:numId w:val="46"/>
        </w:numPr>
        <w:pBdr/>
        <w:spacing w:after="120" w:before="120" w:line="288" w:lineRule="auto"/>
        <w:ind/>
        <w:jc w:val="both"/>
        <w:rPr>
          <w:color w:val="auto"/>
        </w:rPr>
      </w:pPr>
      <w:r>
        <w:rPr>
          <w:rFonts w:ascii="Times New Roman" w:hAnsi="Times New Roman" w:eastAsia="Times New Roman" w:cs="Times New Roman"/>
          <w:color w:val="auto"/>
          <w:sz w:val="24"/>
          <w:highlight w:val="none"/>
        </w:rPr>
      </w:r>
      <w:r>
        <w:rPr>
          <w:rFonts w:ascii="Times New Roman" w:hAnsi="Times New Roman" w:eastAsia="Times New Roman" w:cs="Times New Roman"/>
          <w:color w:val="auto"/>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auto"/>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auto"/>
          <w:sz w:val="24"/>
        </w:rPr>
        <w:t xml:space="preserve"> nhận rõ tình trạng quy hoạch thì kết quả thẩm định giá cần được xem xét, điều chỉnh phù hợp, đồng thời chúng tôi bảo lưu quyền xem xét lại kết quả thẩm định giá.</w:t>
      </w:r>
      <w:r>
        <w:rPr>
          <w:color w:val="auto"/>
        </w:rPr>
      </w:r>
      <w:r>
        <w:rPr>
          <w:color w:val="auto"/>
        </w:rPr>
      </w:r>
    </w:p>
    <w:p>
      <w:pPr>
        <w:pStyle w:val="1043"/>
        <w:numPr>
          <w:ilvl w:val="0"/>
          <w:numId w:val="47"/>
        </w:numPr>
        <w:pBdr/>
        <w:spacing w:after="120" w:before="120" w:line="288" w:lineRule="auto"/>
        <w:ind/>
        <w:jc w:val="both"/>
        <w:rPr>
          <w:color w:val="auto"/>
        </w:rPr>
      </w:pPr>
      <w:r>
        <w:rPr>
          <w:rFonts w:ascii="Times New Roman" w:hAnsi="Times New Roman" w:eastAsia="Times New Roman" w:cs="Times New Roman"/>
          <w:color w:val="auto"/>
          <w:sz w:val="24"/>
        </w:rPr>
        <w:t xml:space="preserve">Tại thời điểm khảo sát, Tổ thẩm định xác nhận trên đất có CTXD </w:t>
      </w:r>
      <w:r>
        <w:rPr>
          <w:rFonts w:ascii="Times New Roman" w:hAnsi="Times New Roman" w:eastAsia="Times New Roman" w:cs="Times New Roman"/>
          <w:color w:val="auto"/>
          <w:sz w:val="24"/>
          <w:szCs w:val="24"/>
        </w:rPr>
        <w:t xml:space="preserve">Nhà 2 tầng, xây dựng năm 1990, Diện tích khoảng 65m2/ sàn. Tổng diện tích xây dựng là 130m2. Hiện tại, diện tích công trình trên đất khác với công trình được chứng nhận trê</w:t>
      </w:r>
      <w:r>
        <w:rPr>
          <w:rFonts w:ascii="Times New Roman" w:hAnsi="Times New Roman" w:eastAsia="Times New Roman" w:cs="Times New Roman"/>
          <w:color w:val="auto"/>
          <w:sz w:val="24"/>
          <w:szCs w:val="24"/>
        </w:rPr>
        <w:t xml:space="preserve">n GCN số AA 07065922.</w:t>
      </w:r>
      <w:r>
        <w:rPr>
          <w:rFonts w:ascii="Times New Roman" w:hAnsi="Times New Roman" w:eastAsia="Times New Roman" w:cs="Times New Roman"/>
          <w:color w:val="auto"/>
          <w:sz w:val="24"/>
        </w:rPr>
        <w:t xml:space="preserve"> </w:t>
      </w:r>
      <w:r>
        <w:rPr>
          <w:rFonts w:ascii="Times New Roman" w:hAnsi="Times New Roman" w:eastAsia="Times New Roman" w:cs="Times New Roman"/>
          <w:color w:val="auto"/>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color w:val="auto"/>
        </w:rPr>
      </w:r>
      <w:r>
        <w:rPr>
          <w:color w:val="auto"/>
        </w:rPr>
      </w:r>
    </w:p>
    <w:p>
      <w:pPr>
        <w:pStyle w:val="1043"/>
        <w:numPr>
          <w:ilvl w:val="0"/>
          <w:numId w:val="3"/>
        </w:numPr>
        <w:pBdr/>
        <w:tabs>
          <w:tab w:val="left" w:leader="none" w:pos="993"/>
        </w:tabs>
        <w:spacing w:after="120" w:before="120" w:line="264" w:lineRule="auto"/>
        <w:ind/>
        <w:jc w:val="both"/>
        <w:rPr>
          <w:color w:val="auto"/>
          <w:spacing w:val="-2"/>
        </w:rPr>
      </w:pPr>
      <w:r>
        <w:rPr>
          <w:color w:val="auto"/>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auto"/>
          <w:spacing w:val="-2"/>
        </w:rPr>
      </w:r>
      <w:r>
        <w:rPr>
          <w:color w:val="auto"/>
          <w:spacing w:val="-2"/>
        </w:rPr>
      </w:r>
    </w:p>
    <w:p>
      <w:pPr>
        <w:pBdr/>
        <w:spacing w:after="120" w:before="120" w:line="276" w:lineRule="auto"/>
        <w:ind/>
        <w:rPr>
          <w:b/>
          <w:bCs/>
          <w:color w:val="auto"/>
        </w:rPr>
      </w:pPr>
      <w:r>
        <w:rPr>
          <w:b/>
          <w:bCs/>
          <w:color w:val="auto"/>
          <w:lang w:val="pt-BR"/>
        </w:rPr>
        <w:t xml:space="preserve">V</w:t>
      </w:r>
      <w:r>
        <w:rPr>
          <w:b/>
          <w:bCs/>
          <w:color w:val="auto"/>
          <w:lang w:val="pt-BR"/>
        </w:rPr>
        <w:t xml:space="preserve">I</w:t>
      </w:r>
      <w:r>
        <w:rPr>
          <w:b/>
          <w:bCs/>
          <w:color w:val="auto"/>
          <w:lang w:val="pt-BR"/>
        </w:rPr>
        <w:t xml:space="preserve">. CƠ SỞ GIÁ TRỊ</w:t>
      </w:r>
      <w:r>
        <w:rPr>
          <w:b/>
          <w:bCs/>
          <w:color w:val="auto"/>
          <w:lang w:val="pt-BR"/>
        </w:rPr>
        <w:t xml:space="preserve"> THẨM ĐỊNH GIÁ</w:t>
      </w:r>
      <w:r>
        <w:rPr>
          <w:b/>
          <w:bCs/>
          <w:color w:val="auto"/>
        </w:rPr>
      </w:r>
      <w:r>
        <w:rPr>
          <w:b/>
          <w:bCs/>
          <w:color w:val="auto"/>
        </w:rPr>
      </w:r>
    </w:p>
    <w:p>
      <w:pPr>
        <w:pStyle w:val="1043"/>
        <w:numPr>
          <w:ilvl w:val="0"/>
          <w:numId w:val="3"/>
        </w:numPr>
        <w:pBdr/>
        <w:tabs>
          <w:tab w:val="left" w:leader="none" w:pos="993"/>
        </w:tabs>
        <w:spacing w:after="120" w:before="120" w:line="264" w:lineRule="auto"/>
        <w:ind/>
        <w:jc w:val="both"/>
        <w:rPr>
          <w:color w:val="auto"/>
        </w:rPr>
      </w:pPr>
      <w:r>
        <w:rPr>
          <w:b/>
          <w:bCs/>
          <w:color w:val="auto"/>
          <w:lang w:val="pt-BR"/>
        </w:rPr>
        <w:t xml:space="preserve">Giá trị thị trường</w:t>
      </w:r>
      <w:r>
        <w:rPr>
          <w:b/>
          <w:bCs/>
          <w:color w:val="auto"/>
          <w:lang w:val="pt-BR"/>
        </w:rPr>
        <w:t xml:space="preserve">:</w:t>
      </w:r>
      <w:r>
        <w:rPr>
          <w:color w:val="auto"/>
          <w:lang w:val="pt-BR"/>
        </w:rPr>
        <w:t xml:space="preserve"> Kết quả thẩm định giá trị tài sản được xác định dựa trên cơ sở giá trị thị trường tại thời điểm thẩm định theo </w:t>
      </w:r>
      <w:r>
        <w:rPr>
          <w:color w:val="auto"/>
          <w:lang w:val="pt-BR"/>
        </w:rPr>
        <w:t xml:space="preserve">Chuẩn mực thẩm định giá Việt Nam về Cơ sở giá trị thẩm định giá</w:t>
      </w:r>
      <w:r>
        <w:rPr>
          <w:color w:val="auto"/>
          <w:lang w:val="pt-BR"/>
        </w:rPr>
        <w:t xml:space="preserve">: </w:t>
      </w:r>
      <w:r>
        <w:rPr>
          <w:i/>
          <w:iCs/>
          <w:color w:val="auto"/>
          <w:lang w:val="pt-BR"/>
        </w:rPr>
        <w:t xml:space="preserve">“</w:t>
      </w:r>
      <w:r>
        <w:rPr>
          <w:i/>
          <w:iCs/>
          <w:color w:val="auto"/>
          <w:lang w:val="pt-BR"/>
        </w:rPr>
        <w:t xml:space="preserve">Giá trị thị trường là khoản tiền ước </w:t>
      </w:r>
      <w:r>
        <w:rPr>
          <w:i/>
          <w:iCs/>
          <w:color w:val="auto"/>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auto"/>
          <w:lang w:val="pt-BR"/>
        </w:rPr>
        <w:t xml:space="preserve">”</w:t>
      </w:r>
      <w:r>
        <w:rPr>
          <w:color w:val="auto"/>
          <w:lang w:val="pt-BR"/>
        </w:rPr>
        <w:t xml:space="preserve">. </w:t>
      </w:r>
      <w:r>
        <w:rPr>
          <w:color w:val="auto"/>
        </w:rPr>
      </w:r>
      <w:r>
        <w:rPr>
          <w:color w:val="auto"/>
        </w:rPr>
      </w:r>
    </w:p>
    <w:p>
      <w:pPr>
        <w:pBdr/>
        <w:spacing w:after="120" w:before="120" w:line="276" w:lineRule="auto"/>
        <w:ind/>
        <w:jc w:val="both"/>
        <w:rPr>
          <w:color w:val="auto"/>
        </w:rPr>
      </w:pPr>
      <w:r>
        <w:rPr>
          <w:b/>
          <w:bCs/>
          <w:color w:val="auto"/>
          <w:lang w:val="pt-BR"/>
        </w:rPr>
        <w:t xml:space="preserve">VII. CÁCH TIẾP CẬN, PHƯƠNG PHÁP THẨM ĐỊNH GIÁ</w:t>
      </w:r>
      <w:r>
        <w:rPr>
          <w:color w:val="auto"/>
        </w:rPr>
      </w:r>
      <w:r>
        <w:rPr>
          <w:color w:val="auto"/>
        </w:rPr>
      </w:r>
    </w:p>
    <w:p>
      <w:pPr>
        <w:pStyle w:val="1043"/>
        <w:numPr>
          <w:ilvl w:val="0"/>
          <w:numId w:val="24"/>
        </w:numPr>
        <w:pBdr/>
        <w:spacing w:after="120" w:before="120" w:line="276" w:lineRule="auto"/>
        <w:ind w:hanging="357" w:left="357"/>
        <w:jc w:val="both"/>
        <w:rPr>
          <w:b/>
          <w:color w:val="auto"/>
        </w:rPr>
      </w:pPr>
      <w:r>
        <w:rPr>
          <w:b/>
          <w:color w:val="auto"/>
          <w:lang w:val="pt-BR"/>
        </w:rPr>
        <w:t xml:space="preserve">Cách tiếp cận và phương pháp thẩm định:</w:t>
      </w:r>
      <w:r>
        <w:rPr>
          <w:b/>
          <w:color w:val="auto"/>
        </w:rPr>
      </w:r>
      <w:r>
        <w:rPr>
          <w:b/>
          <w:color w:val="auto"/>
        </w:rPr>
      </w:r>
    </w:p>
    <w:p>
      <w:pPr>
        <w:pStyle w:val="1043"/>
        <w:numPr>
          <w:ilvl w:val="0"/>
          <w:numId w:val="3"/>
        </w:numPr>
        <w:pBdr/>
        <w:tabs>
          <w:tab w:val="left" w:leader="none" w:pos="993"/>
        </w:tabs>
        <w:spacing w:after="120" w:before="120" w:line="276" w:lineRule="auto"/>
        <w:ind w:left="357"/>
        <w:jc w:val="both"/>
        <w:rPr>
          <w:bCs/>
          <w:color w:val="auto"/>
        </w:rPr>
      </w:pPr>
      <w:r>
        <w:rPr>
          <w:bCs/>
          <w:i/>
          <w:iCs/>
          <w:color w:val="auto"/>
          <w:lang w:val="pt-BR"/>
        </w:rPr>
        <w:t xml:space="preserve">Cách t</w:t>
      </w:r>
      <w:r>
        <w:rPr>
          <w:bCs/>
          <w:i/>
          <w:iCs/>
          <w:color w:val="auto"/>
          <w:lang w:val="pt-BR"/>
        </w:rPr>
        <w:t xml:space="preserve">iếp cận từ thị trường:</w:t>
      </w:r>
      <w:r>
        <w:rPr>
          <w:bCs/>
          <w:i/>
          <w:iCs/>
          <w:color w:val="auto"/>
          <w:lang w:val="pt-BR"/>
        </w:rPr>
        <w:t xml:space="preserve"> </w:t>
      </w:r>
      <w:r>
        <w:rPr>
          <w:bCs/>
          <w:color w:val="auto"/>
          <w:lang w:val="pt-BR"/>
        </w:rPr>
        <w:t xml:space="preserve">X</w:t>
      </w:r>
      <w:r>
        <w:rPr>
          <w:bCs/>
          <w:color w:val="auto"/>
          <w:lang w:val="pt-BR"/>
        </w:rPr>
        <w:t xml:space="preserve">ác định giá trị của tài sản thẩm định giá thông qua việc so sánh tài sản thẩm định giá với các tài sản so sánh đã có các thông tin về giá trên thị trường</w:t>
      </w:r>
      <w:r>
        <w:rPr>
          <w:bCs/>
          <w:color w:val="auto"/>
          <w:lang w:val="pt-BR"/>
        </w:rPr>
        <w:t xml:space="preserve">.</w:t>
      </w:r>
      <w:r>
        <w:rPr>
          <w:bCs/>
          <w:color w:val="auto"/>
        </w:rPr>
      </w:r>
      <w:r>
        <w:rPr>
          <w:bCs/>
          <w:color w:val="auto"/>
        </w:rPr>
      </w:r>
    </w:p>
    <w:p>
      <w:pPr>
        <w:pStyle w:val="1043"/>
        <w:numPr>
          <w:ilvl w:val="0"/>
          <w:numId w:val="3"/>
        </w:numPr>
        <w:pBdr/>
        <w:tabs>
          <w:tab w:val="left" w:leader="none" w:pos="993"/>
        </w:tabs>
        <w:spacing w:after="120" w:before="120" w:line="276" w:lineRule="auto"/>
        <w:ind w:left="357"/>
        <w:jc w:val="both"/>
        <w:rPr>
          <w:bCs/>
          <w:color w:val="auto"/>
        </w:rPr>
      </w:pPr>
      <w:r>
        <w:rPr>
          <w:bCs/>
          <w:i/>
          <w:iCs/>
          <w:color w:val="auto"/>
          <w:lang w:val="pt-BR"/>
        </w:rPr>
        <w:t xml:space="preserve">Phương pháp so sánh:</w:t>
      </w:r>
      <w:r>
        <w:rPr>
          <w:bCs/>
          <w:color w:val="auto"/>
          <w:lang w:val="pt-BR"/>
        </w:rPr>
        <w:t xml:space="preserve"> </w:t>
      </w:r>
      <w:r>
        <w:rPr>
          <w:bCs/>
          <w:color w:val="auto"/>
          <w:lang w:val="pt-BR"/>
        </w:rPr>
        <w:t xml:space="preserve">X</w:t>
      </w:r>
      <w:r>
        <w:rPr>
          <w:bCs/>
          <w:color w:val="auto"/>
          <w:lang w:val="pt-BR"/>
        </w:rPr>
        <w:t xml:space="preserve">ác đ</w:t>
      </w:r>
      <w:r>
        <w:rPr>
          <w:bCs/>
          <w:color w:val="auto"/>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auto"/>
          <w:lang w:val="pt-BR"/>
        </w:rPr>
        <w:t xml:space="preserve">.</w:t>
      </w:r>
      <w:r>
        <w:rPr>
          <w:bCs/>
          <w:color w:val="auto"/>
        </w:rPr>
      </w:r>
      <w:r>
        <w:rPr>
          <w:bCs/>
          <w:color w:val="auto"/>
        </w:rPr>
      </w:r>
    </w:p>
    <w:p>
      <w:pPr>
        <w:pStyle w:val="1043"/>
        <w:numPr>
          <w:ilvl w:val="0"/>
          <w:numId w:val="24"/>
        </w:numPr>
        <w:pBdr/>
        <w:spacing w:after="120" w:before="120" w:line="276" w:lineRule="auto"/>
        <w:ind w:hanging="357" w:left="357"/>
        <w:jc w:val="both"/>
        <w:rPr>
          <w:b/>
          <w:color w:val="auto"/>
        </w:rPr>
      </w:pPr>
      <w:r>
        <w:rPr>
          <w:b/>
          <w:color w:val="auto"/>
          <w:lang w:val="pt-BR"/>
        </w:rPr>
        <w:t xml:space="preserve">Xác định cách tiếp cận và phương pháp đối với tài sản thẩm định giá</w:t>
      </w:r>
      <w:r>
        <w:rPr>
          <w:b/>
          <w:color w:val="auto"/>
          <w:lang w:val="pt-BR"/>
        </w:rPr>
        <w:t xml:space="preserve">:</w:t>
      </w:r>
      <w:r>
        <w:rPr>
          <w:b/>
          <w:color w:val="auto"/>
        </w:rPr>
      </w:r>
      <w:r>
        <w:rPr>
          <w:b/>
          <w:color w:val="auto"/>
        </w:rPr>
      </w:r>
    </w:p>
    <w:p>
      <w:pPr>
        <w:pStyle w:val="1043"/>
        <w:numPr>
          <w:ilvl w:val="0"/>
          <w:numId w:val="3"/>
        </w:numPr>
        <w:pBdr/>
        <w:spacing w:after="120" w:before="120" w:line="276" w:lineRule="auto"/>
        <w:ind w:left="357"/>
        <w:jc w:val="both"/>
        <w:rPr>
          <w:spacing w:val="-4"/>
          <w:lang w:val="pt-BR"/>
        </w:rPr>
      </w:pPr>
      <w:r>
        <w:rPr>
          <w:color w:val="auto"/>
          <w:spacing w:val="-4"/>
          <w:lang w:val="pt-BR"/>
        </w:rPr>
        <w:t xml:space="preserve">Căn cứ vào mục đích thẩm địn</w:t>
      </w:r>
      <w:r>
        <w:rPr>
          <w:spacing w:val="-4"/>
          <w:lang w:val="pt-BR"/>
        </w:rPr>
        <w:t xml:space="preserve">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9"/>
        <w:gridCol w:w="2021"/>
        <w:gridCol w:w="1751"/>
        <w:gridCol w:w="1751"/>
        <w:gridCol w:w="1751"/>
        <w:gridCol w:w="1751"/>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5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202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5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5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5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top"/>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1134"/>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Kim Liên, 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Kim Liên, 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Kim Liên, Thành phố Hà Nội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Kim Liên, Thành phố Hà Nội</w:t>
            </w:r>
            <w:r>
              <w:rPr>
                <w:sz w:val="22"/>
                <w:szCs w:val="22"/>
              </w:rPr>
            </w:r>
            <w:r>
              <w:rPr>
                <w:sz w:val="22"/>
                <w:szCs w:val="22"/>
              </w:rPr>
            </w:r>
          </w:p>
        </w:tc>
      </w:tr>
      <w:tr>
        <w:trPr>
          <w:trHeight w:val="555"/>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r>
      <w:tr>
        <w:trPr>
          <w:trHeight w:val="838"/>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0979223428 </w:t>
              <w:br/>
              <w:t xml:space="preserve">(Sale Nguyễn Lương)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0896 228 638</w:t>
              <w:br/>
              <w:t xml:space="preserve">(Anh Chung)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0365 380 300</w:t>
              <w:br/>
              <w:t xml:space="preserve">(Anh Hưng)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7/2026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7/2026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7/2026 </w:t>
            </w:r>
            <w:r>
              <w:rPr>
                <w:sz w:val="22"/>
                <w:szCs w:val="22"/>
              </w:rPr>
            </w:r>
            <w:r>
              <w:rPr>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13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250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tiếp giáp đường nội khu, cách đường Tôn Thất Tùng khoảng 45m, cách bệnh viện Đại học Y Hà Nội ~ 100m.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tại ngõ Khương Thượng, phường Kim Liên, Thành phố Hà Nội; cách đường Khương Thượng khoảng 50m, cách đường Trường Chinh khoảng 100m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Kim Liên, Thành phố Hà Nội. Cách đường Trường Chinh khoảng 100m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Kim Liên, Thành phố Hà Nội. Cách đường Trường Chinh khoảng 100m </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ind/>
              <w:jc w:val="center"/>
              <w:rPr>
                <w:color w:val="000000"/>
                <w:sz w:val="24"/>
                <w:szCs w:val="24"/>
              </w:rPr>
            </w:pPr>
            <w:r>
              <w:rPr>
                <w:rFonts w:ascii="Times New Roman" w:hAnsi="Times New Roman" w:eastAsia="Times New Roman" w:cs="Times New Roman"/>
                <w:color w:val="000000"/>
                <w:sz w:val="22"/>
                <w:szCs w:val="22"/>
              </w:rPr>
              <w:t xml:space="preserve">Đường bê tông </w:t>
            </w:r>
            <w:r>
              <w:rPr>
                <w:color w:val="000000"/>
                <w:sz w:val="24"/>
                <w:szCs w:val="24"/>
              </w:rPr>
            </w:r>
            <w:r>
              <w:rPr>
                <w:color w:val="000000"/>
                <w:sz w:val="24"/>
                <w:szCs w:val="24"/>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b w:val="0"/>
                <w:bCs w:val="0"/>
                <w:sz w:val="22"/>
                <w:szCs w:val="22"/>
                <w:highlight w:val="white"/>
              </w:rPr>
            </w:pPr>
            <w:r>
              <w:rPr>
                <w:rFonts w:ascii="Times New Roman" w:hAnsi="Times New Roman" w:eastAsia="Times New Roman" w:cs="Times New Roman"/>
                <w:b w:val="0"/>
                <w:bCs w:val="0"/>
                <w:color w:val="000000"/>
                <w:sz w:val="22"/>
                <w:szCs w:val="22"/>
                <w:highlight w:val="yellow"/>
              </w:rPr>
            </w:r>
            <w:r>
              <w:rPr>
                <w:rFonts w:ascii="Times New Roman" w:hAnsi="Times New Roman" w:eastAsia="Times New Roman" w:cs="Times New Roman"/>
                <w:b w:val="0"/>
                <w:bCs w:val="0"/>
                <w:color w:val="000000" w:themeColor="text1"/>
                <w:sz w:val="22"/>
              </w:rPr>
              <w:t xml:space="preserve">  5,5 (Ngõ cụt)</w:t>
            </w:r>
            <w:r>
              <w:rPr>
                <w:b w:val="0"/>
                <w:bCs w:val="0"/>
                <w:sz w:val="22"/>
                <w:szCs w:val="22"/>
                <w:highlight w:val="white"/>
              </w:rPr>
            </w:r>
            <w:r>
              <w:rPr>
                <w:b w:val="0"/>
                <w:bCs w:val="0"/>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b w:val="0"/>
                <w:bCs w:val="0"/>
                <w:sz w:val="22"/>
                <w:szCs w:val="22"/>
              </w:rPr>
            </w:pPr>
            <w:r>
              <w:rPr>
                <w:rFonts w:ascii="Times New Roman" w:hAnsi="Times New Roman" w:eastAsia="Times New Roman" w:cs="Times New Roman"/>
                <w:b w:val="0"/>
                <w:bCs w:val="0"/>
                <w:color w:val="000000"/>
                <w:sz w:val="22"/>
                <w:szCs w:val="22"/>
              </w:rPr>
              <w:t xml:space="preserve">2,5</w:t>
            </w:r>
            <w:r>
              <w:rPr>
                <w:b w:val="0"/>
                <w:bCs w:val="0"/>
                <w:sz w:val="22"/>
                <w:szCs w:val="22"/>
              </w:rPr>
            </w:r>
            <w:r>
              <w:rPr>
                <w:b w:val="0"/>
                <w:bCs w:val="0"/>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78,9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46,6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27,53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52,38</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Tiếp giáp 2 mặt đường trước sau</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ở và kinh doanh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ở và kinh doanh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ở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Phù hợp để ở </w:t>
            </w:r>
            <w:r>
              <w:rPr>
                <w:sz w:val="22"/>
                <w:szCs w:val="22"/>
              </w:rPr>
            </w:r>
            <w:r>
              <w:rPr>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2 tầng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3 tầng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4 tầng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4 tầng  </w:t>
            </w:r>
            <w:r>
              <w:rPr>
                <w:sz w:val="22"/>
                <w:szCs w:val="22"/>
              </w:rPr>
            </w:r>
            <w:r>
              <w:rPr>
                <w:sz w:val="22"/>
                <w:szCs w:val="22"/>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tầng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sàn sử dụng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139,8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110,12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209,52</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13.800.000.000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8.700.000.000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14.000.000.000</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12.144.000.000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7.656.000.000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12.460.000.000</w:t>
            </w:r>
            <w:r>
              <w:rPr>
                <w:sz w:val="22"/>
                <w:szCs w:val="22"/>
              </w:rPr>
            </w:r>
            <w:r>
              <w:rPr>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668.375.971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803.466.389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1.710.706.730</w:t>
            </w:r>
            <w:r>
              <w:rPr>
                <w:sz w:val="22"/>
                <w:szCs w:val="22"/>
              </w:rPr>
            </w:r>
            <w:r>
              <w:rPr>
                <w:sz w:val="22"/>
                <w:szCs w:val="22"/>
              </w:rP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Đơn giá xây dựng theo Quyết định số 425/QĐ-BXD ngày 30/3/2026 của Bộ Xây Dựng (đồng/m²)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7.968.240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8.686.048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8.686.048</w:t>
            </w:r>
            <w:r>
              <w:rPr>
                <w:sz w:val="22"/>
                <w:szCs w:val="22"/>
              </w:rPr>
            </w:r>
            <w:r>
              <w:rPr>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 Tỷ lệ % CLCL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94%</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đất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11.475.624.029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6.852.533.611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10.749.293.270</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246.258.026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248.911.501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205.217.512</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ff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Lợi thế kinh doanh</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5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5"/>
        <w:gridCol w:w="937"/>
        <w:gridCol w:w="2210"/>
        <w:gridCol w:w="2223"/>
        <w:gridCol w:w="2221"/>
        <w:gridCol w:w="2224"/>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11.475.624.029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6.852.533.611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10.749.293.270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246.258.026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248.911.501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205.217.512</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246.258.026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248.911.501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205.217.512 </w:t>
            </w:r>
            <w:r>
              <w:rPr>
                <w:color w:val="000000" w:themeColor="text1"/>
              </w:rPr>
            </w:r>
            <w:r>
              <w:rPr>
                <w:color w:val="000000" w:themeColor="text1"/>
              </w:rPr>
            </w:r>
          </w:p>
        </w:tc>
      </w:tr>
      <w:tr>
        <w:trPr>
          <w:trHeight w:val="23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khu, cách đường Tôn Thất Tùng khoảng 45m, cách bệnh viện Đại học Y Hà Nội ~ 100m.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ngõ Khương Thượng, phường Kim Liên, Thành phố Hà Nội; cách đường Khương Thượng khoảng 50m, cách đường Trường Chinh khoảng 100m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Kim Liên, Thành phố Hà Nội. Cách đường Trường Chinh khoảng 100m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Kim Liên, Thành phố Hà Nội. Cách đường Trường Chinh khoảng 100m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246.258.026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248.911.501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205.217.512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246.258.026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248.911.501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205.217.512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     5,5 (Ngõ cụt)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61.564.507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49.782.300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51.304.378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307.822.533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298.693.801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256.521.890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78,9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46,6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27,53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52,38</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-36.938.704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-49.782.300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-24.626.101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270.883.829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248.911.501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231.895.788 </w:t>
            </w:r>
            <w:r>
              <w:rPr>
                <w:color w:val="000000" w:themeColor="text1"/>
              </w:rPr>
            </w:r>
            <w:r>
              <w:rPr>
                <w:color w:val="000000" w:themeColor="text1"/>
              </w:rP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19.700.642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19.912.920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290.584.471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268.824.421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231.895.788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đường trước sau</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-24.625.803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265.958.668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268.824.421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231.895.788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265.958.668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268.824.421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231.895.788 </w:t>
            </w:r>
            <w:r>
              <w:rPr>
                <w:color w:val="000000" w:themeColor="text1"/>
              </w:rPr>
            </w:r>
            <w:r>
              <w:rPr>
                <w:color w:val="000000" w:themeColor="text1"/>
              </w:rPr>
            </w:r>
          </w:p>
        </w:tc>
      </w:tr>
      <w:tr>
        <w:trPr>
          <w:trHeight w:val="8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r>
      <w:tr>
        <w:trPr>
          <w:trHeight w:val="54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7.467.345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6.156.525 </w:t>
            </w:r>
            <w:r>
              <w:rPr>
                <w:color w:val="000000" w:themeColor="text1"/>
              </w:rPr>
            </w:r>
            <w:r>
              <w:rPr>
                <w:color w:val="000000" w:themeColor="text1"/>
              </w:rPr>
            </w:r>
          </w:p>
        </w:tc>
      </w:tr>
      <w:tr>
        <w:trPr>
          <w:trHeight w:val="43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265.958.668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276.291.766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238.052.314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265.958.668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276.291.766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238.052.314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265.958.668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276.291.766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238.052.314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260.100.916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142.829.655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126.944.865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82.087.005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 - 25%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19.700.642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27.380.265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32.834.802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-8,5</w:t>
      </w:r>
      <w:r>
        <w:t xml:space="preserve">% đến</w:t>
      </w:r>
      <w:r>
        <w:t xml:space="preserve"> </w:t>
      </w:r>
      <w:r>
        <w:t xml:space="preserve"> </w:t>
      </w:r>
      <w:r>
        <w:t xml:space="preserve">6,2%,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265.958.668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88.652.889</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276.291.766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92.097.255</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238.052.314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79.350.771</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260.100.916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260.000.000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260.000.000</w:t>
      </w:r>
      <w:r>
        <w:rPr>
          <w:b/>
          <w:bCs/>
          <w:color w:val="000000" w:themeColor="text1"/>
        </w:rPr>
        <w:t xml:space="preserve"> </w:t>
      </w:r>
      <w:r>
        <w:rPr>
          <w:b/>
          <w:bCs/>
        </w:rPr>
        <w:t xml:space="preserve">đồng/m².</w:t>
      </w:r>
      <w:r>
        <w:rPr>
          <w:b/>
          <w:bCs/>
        </w:rPr>
      </w:r>
      <w:r>
        <w:rPr>
          <w:b/>
          <w:bCs/>
        </w:rPr>
      </w:r>
    </w:p>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89, tờ bản đồ số 33 có địa chỉ: Số 11 ngõ 72 Tôn Thất Tùng, phường Kim Liên, thành phố Hà Nội theo Giấy chứng nhận </w:t>
            </w:r>
            <w:r>
              <w:rPr>
                <w:b/>
                <w:bCs/>
                <w:color w:val="000000"/>
              </w:rPr>
              <w:t xml:space="preserve">quyền sử dụng đất, quyền sở hữu tài sản gắn liền với đất  số: AA 07065922, số vào sổ cấp GCN: CN 8529 do Chi nhánh Văn phòng Đăng ký đất đai Khu vực Ba Đình- Hoàn Kiếm- Đống Đa cấp ngày 20/05/2026; Chủ sử dụng đất là Ông Nguyễn Hồng Sơn và Bà Nguyễn Thị Hà</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78,9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260.000.000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20.514.000.000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20.514.000.000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tỷ, năm trăm mười bốn triệu đồng chẵn</w:t>
            </w:r>
            <w:r>
              <w:rPr>
                <w:b/>
                <w:bCs/>
                <w:i/>
                <w:iCs/>
                <w:color w:val="000000"/>
              </w:rPr>
              <w:t xml:space="preserve">./.)</w:t>
            </w:r>
            <w:r>
              <w:rPr>
                <w:b/>
                <w:bCs/>
                <w:i/>
                <w:iCs/>
                <w:color w:val="000000"/>
              </w:rPr>
            </w:r>
            <w:r>
              <w:rPr>
                <w:b/>
                <w:bCs/>
                <w:i/>
                <w:iCs/>
                <w:color w:val="000000"/>
              </w:rPr>
            </w:r>
          </w:p>
        </w:tc>
      </w:tr>
    </w:tbl>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color w:val="auto"/>
        </w:rPr>
      </w:pPr>
      <w:r>
        <w:rPr>
          <w:color w:val="auto"/>
          <w:lang w:val="vi-VN"/>
        </w:rPr>
        <w:t xml:space="preserve">Chúng tôi giả định rằng tà</w:t>
      </w:r>
      <w:r>
        <w:rPr>
          <w:color w:val="auto"/>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auto"/>
          <w:lang w:val="vi-VN"/>
        </w:rPr>
        <w:t xml:space="preserve">sinh, liên đới (nếu có) trong trường hợp này.</w:t>
      </w:r>
      <w:r>
        <w:rPr>
          <w:color w:val="auto"/>
        </w:rPr>
      </w:r>
      <w:r>
        <w:rPr>
          <w:color w:val="auto"/>
        </w:rPr>
      </w:r>
    </w:p>
    <w:p>
      <w:pPr>
        <w:pStyle w:val="1043"/>
        <w:numPr>
          <w:ilvl w:val="0"/>
          <w:numId w:val="5"/>
        </w:numPr>
        <w:pBdr/>
        <w:spacing w:after="120" w:before="120" w:line="288" w:lineRule="auto"/>
        <w:ind/>
        <w:jc w:val="both"/>
        <w:rPr>
          <w:color w:val="auto"/>
        </w:rPr>
      </w:pPr>
      <w:r>
        <w:rPr>
          <w:rFonts w:ascii="Times New Roman" w:hAnsi="Times New Roman" w:eastAsia="Times New Roman" w:cs="Times New Roman"/>
          <w:color w:val="auto"/>
          <w:sz w:val="24"/>
          <w:highlight w:val="none"/>
        </w:rPr>
      </w:r>
      <w:r>
        <w:rPr>
          <w:rFonts w:ascii="Times New Roman" w:hAnsi="Times New Roman" w:eastAsia="Times New Roman" w:cs="Times New Roman"/>
          <w:color w:val="auto"/>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auto"/>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auto"/>
          <w:sz w:val="24"/>
        </w:rPr>
        <w:t xml:space="preserve"> nhận rõ tình trạng quy hoạch thì kết quả thẩm định giá cần được xem xét, điều chỉnh phù hợp, đồng thời chúng tôi bảo lưu quyền xem xét lại kết quả thẩm định giá.</w:t>
      </w:r>
      <w:r>
        <w:rPr>
          <w:color w:val="auto"/>
        </w:rPr>
      </w:r>
      <w:r>
        <w:rPr>
          <w:color w:val="auto"/>
        </w:rPr>
      </w:r>
    </w:p>
    <w:p>
      <w:pPr>
        <w:pStyle w:val="1043"/>
        <w:numPr>
          <w:ilvl w:val="0"/>
          <w:numId w:val="45"/>
        </w:numPr>
        <w:pBdr/>
        <w:spacing w:after="120" w:before="120" w:line="288" w:lineRule="auto"/>
        <w:ind/>
        <w:jc w:val="both"/>
        <w:rPr>
          <w:color w:val="auto"/>
        </w:rPr>
      </w:pPr>
      <w:r>
        <w:rPr>
          <w:rFonts w:ascii="Times New Roman" w:hAnsi="Times New Roman" w:eastAsia="Times New Roman" w:cs="Times New Roman"/>
          <w:color w:val="auto"/>
          <w:sz w:val="24"/>
        </w:rPr>
        <w:t xml:space="preserve">Tại thời điểm khảo sát, Tổ thẩm định xác nhận trên đất có CTXD </w:t>
      </w:r>
      <w:r>
        <w:rPr>
          <w:rFonts w:ascii="Times New Roman" w:hAnsi="Times New Roman" w:eastAsia="Times New Roman" w:cs="Times New Roman"/>
          <w:color w:val="auto"/>
          <w:sz w:val="24"/>
          <w:szCs w:val="24"/>
        </w:rPr>
        <w:t xml:space="preserve">Nhà 2 tầng, xây dựng năm 1990, Diện tích khoảng 65m2/ sàn. Tổng diện tích xây dựng là 130m2. Hiện tại, diện tích công trình trên đất khác với công trình được chứng nhận trê</w:t>
      </w:r>
      <w:r>
        <w:rPr>
          <w:rFonts w:ascii="Times New Roman" w:hAnsi="Times New Roman" w:eastAsia="Times New Roman" w:cs="Times New Roman"/>
          <w:color w:val="auto"/>
          <w:sz w:val="24"/>
          <w:szCs w:val="24"/>
        </w:rPr>
        <w:t xml:space="preserve">n GCN số AA 07065922.</w:t>
      </w:r>
      <w:r>
        <w:rPr>
          <w:rFonts w:ascii="Times New Roman" w:hAnsi="Times New Roman" w:eastAsia="Times New Roman" w:cs="Times New Roman"/>
          <w:color w:val="auto"/>
          <w:sz w:val="24"/>
        </w:rPr>
        <w:t xml:space="preserve"> </w:t>
      </w:r>
      <w:r>
        <w:rPr>
          <w:rFonts w:ascii="Times New Roman" w:hAnsi="Times New Roman" w:eastAsia="Times New Roman" w:cs="Times New Roman"/>
          <w:color w:val="auto"/>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color w:val="auto"/>
        </w:rPr>
      </w:r>
      <w:r>
        <w:rPr>
          <w:color w:val="auto"/>
        </w:rPr>
      </w:r>
    </w:p>
    <w:p>
      <w:pPr>
        <w:pStyle w:val="1043"/>
        <w:numPr>
          <w:ilvl w:val="0"/>
          <w:numId w:val="3"/>
        </w:numPr>
        <w:pBdr/>
        <w:tabs>
          <w:tab w:val="left" w:leader="none" w:pos="993"/>
        </w:tabs>
        <w:spacing w:after="120" w:before="120" w:line="288" w:lineRule="auto"/>
        <w:ind/>
        <w:jc w:val="both"/>
        <w:rPr>
          <w:lang w:val="vi-VN"/>
        </w:rPr>
      </w:pPr>
      <w:r>
        <w:rPr>
          <w:color w:val="auto"/>
          <w:lang w:val="vi-VN"/>
        </w:rPr>
        <w:t xml:space="preserve">Tổ thẩm định giá sử dụng Phương pháp so sánh để xác định giá trị tài sản thẩm định giá trong đó  việc thu thập thông tin </w:t>
      </w:r>
      <w:r>
        <w:rPr>
          <w:color w:val="auto"/>
        </w:rPr>
        <w:t xml:space="preserve">TSSS</w:t>
      </w:r>
      <w:r>
        <w:rPr>
          <w:color w:val="auto"/>
          <w:lang w:val="vi-VN"/>
        </w:rPr>
        <w:t xml:space="preserve"> đã giao dịch thành công còn gặp nhiều hạn chế, vì vậy</w:t>
      </w:r>
      <w:r>
        <w:rPr>
          <w:color w:val="auto"/>
        </w:rPr>
        <w:t xml:space="preserve">,</w:t>
      </w:r>
      <w:r>
        <w:rPr>
          <w:color w:val="auto"/>
          <w:lang w:val="vi-VN"/>
        </w:rPr>
        <w:t xml:space="preserve"> </w:t>
      </w:r>
      <w:r>
        <w:rPr>
          <w:color w:val="auto"/>
        </w:rPr>
        <w:t xml:space="preserve">T</w:t>
      </w:r>
      <w:r>
        <w:rPr>
          <w:color w:val="auto"/>
          <w:lang w:val="vi-VN"/>
        </w:rPr>
        <w:t xml:space="preserve">ổ thẩm định giá sử dụng các </w:t>
      </w:r>
      <w:r>
        <w:rPr>
          <w:color w:val="auto"/>
        </w:rPr>
        <w:t xml:space="preserve">TSSS</w:t>
      </w:r>
      <w:r>
        <w:rPr>
          <w:color w:val="auto"/>
          <w:lang w:val="vi-VN"/>
        </w:rPr>
        <w:t xml:space="preserve"> là các tài sản đang được </w:t>
      </w:r>
      <w:r>
        <w:rPr>
          <w:color w:val="auto"/>
        </w:rPr>
        <w:t xml:space="preserve">r</w:t>
      </w:r>
      <w:r>
        <w:rPr>
          <w:color w:val="auto"/>
          <w:lang w:val="vi-VN"/>
        </w:rPr>
        <w:t xml:space="preserve">ao bán trên thị t</w:t>
      </w:r>
      <w:r>
        <w:rPr>
          <w:lang w:val="vi-VN"/>
        </w:rPr>
        <w:t xml:space="preserve">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4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275/2026/1068/VFI-CT.53.A</w:t>
      </w:r>
      <w:r>
        <w:rPr>
          <w:color w:val="ff0000"/>
          <w:lang w:val="vi-VN"/>
        </w:rPr>
        <w:t xml:space="preserve"> </w:t>
      </w:r>
      <w:r>
        <w:rPr>
          <w:color w:val="000000" w:themeColor="text1"/>
        </w:rPr>
        <w:t xml:space="preserve">ngày 15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275/2026/1068/VFI-BC.53.A</w:t>
      </w:r>
      <w:r>
        <w:rPr>
          <w:i/>
          <w:lang w:val="pt-BR"/>
        </w:rPr>
        <w:t xml:space="preserve"> ngày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81935" cy="252125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68188" name=""/>
                              <pic:cNvPicPr>
                                <a:picLocks noChangeAspect="1"/>
                              </pic:cNvPicPr>
                              <pic:nvPr/>
                            </pic:nvPicPr>
                            <pic:blipFill rotWithShape="1">
                              <a:blip r:embed="rId19"/>
                              <a:stretch/>
                            </pic:blipFill>
                            <pic:spPr bwMode="auto">
                              <a:xfrm flipH="0" flipV="0">
                                <a:off x="0" y="0"/>
                                <a:ext cx="1681935" cy="2521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2.44pt;height:198.5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8999" cy="21292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12189" name=""/>
                              <pic:cNvPicPr>
                                <a:picLocks noChangeAspect="1"/>
                              </pic:cNvPicPr>
                              <pic:nvPr/>
                            </pic:nvPicPr>
                            <pic:blipFill rotWithShape="1">
                              <a:blip r:embed="rId20"/>
                              <a:stretch/>
                            </pic:blipFill>
                            <pic:spPr bwMode="auto">
                              <a:xfrm flipH="0" flipV="0">
                                <a:off x="0" y="0"/>
                                <a:ext cx="2838998" cy="2129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54pt;height:167.6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7926" cy="216594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85441" name=""/>
                              <pic:cNvPicPr>
                                <a:picLocks noChangeAspect="1"/>
                              </pic:cNvPicPr>
                              <pic:nvPr/>
                            </pic:nvPicPr>
                            <pic:blipFill rotWithShape="1">
                              <a:blip r:embed="rId21"/>
                              <a:stretch/>
                            </pic:blipFill>
                            <pic:spPr bwMode="auto">
                              <a:xfrm flipH="0" flipV="0">
                                <a:off x="0" y="0"/>
                                <a:ext cx="2887926" cy="21659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40pt;height:170.5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2889" cy="23571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4100" name=""/>
                              <pic:cNvPicPr>
                                <a:picLocks noChangeAspect="1"/>
                              </pic:cNvPicPr>
                              <pic:nvPr/>
                            </pic:nvPicPr>
                            <pic:blipFill rotWithShape="1">
                              <a:blip r:embed="rId22"/>
                              <a:stretch/>
                            </pic:blipFill>
                            <pic:spPr bwMode="auto">
                              <a:xfrm flipH="0" flipV="0">
                                <a:off x="0" y="0"/>
                                <a:ext cx="3142889" cy="23571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7.47pt;height:185.6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0210" cy="20776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00329" name=""/>
                              <pic:cNvPicPr>
                                <a:picLocks noChangeAspect="1"/>
                              </pic:cNvPicPr>
                              <pic:nvPr/>
                            </pic:nvPicPr>
                            <pic:blipFill rotWithShape="1">
                              <a:blip r:embed="rId23"/>
                              <a:stretch/>
                            </pic:blipFill>
                            <pic:spPr bwMode="auto">
                              <a:xfrm flipH="0" flipV="0">
                                <a:off x="0" y="0"/>
                                <a:ext cx="2770209" cy="2077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13pt;height:163.6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67327" cy="222549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19044" name=""/>
                              <pic:cNvPicPr>
                                <a:picLocks noChangeAspect="1"/>
                              </pic:cNvPicPr>
                              <pic:nvPr/>
                            </pic:nvPicPr>
                            <pic:blipFill rotWithShape="1">
                              <a:blip r:embed="rId24"/>
                              <a:stretch/>
                            </pic:blipFill>
                            <pic:spPr bwMode="auto">
                              <a:xfrm flipH="0" flipV="0">
                                <a:off x="0" y="0"/>
                                <a:ext cx="2967327" cy="22254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3.65pt;height:175.2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highlight w:val="white"/>
        </w:rPr>
      </w:pPr>
      <w:r>
        <w:rPr>
          <w:i/>
          <w:lang w:val="pt-BR"/>
        </w:rPr>
        <w:t xml:space="preserve">(Kèm theo Báo cáo thẩm định số </w:t>
      </w:r>
      <w:r>
        <w:rPr>
          <w:i/>
        </w:rPr>
        <w:t xml:space="preserve">275/2026/1068/VFI-</w:t>
      </w:r>
      <w:r>
        <w:rPr>
          <w:i/>
          <w:highlight w:val="white"/>
        </w:rPr>
        <w:t xml:space="preserve">BC</w:t>
      </w:r>
      <w:r>
        <w:rPr>
          <w:i/>
          <w:highlight w:val="white"/>
        </w:rPr>
        <w:t xml:space="preserve">.53.A</w:t>
      </w:r>
      <w:r>
        <w:rPr>
          <w:i/>
          <w:highlight w:val="white"/>
          <w:lang w:val="pt-BR"/>
        </w:rPr>
        <w:t xml:space="preserve"> ngày </w:t>
      </w:r>
      <w:r>
        <w:rPr>
          <w:i/>
          <w:highlight w:val="white"/>
          <w:lang w:val="pt-BR"/>
        </w:rPr>
        <w:t xml:space="preserve">15 tháng 7 năm</w:t>
      </w:r>
      <w:r>
        <w:rPr>
          <w:i/>
          <w:highlight w:val="white"/>
          <w:lang w:val="pt-BR"/>
        </w:rPr>
        <w:t xml:space="preserve">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0979223428</w:t>
            </w:r>
            <w:r>
              <w:rPr>
                <w:sz w:val="22"/>
                <w:szCs w:val="22"/>
              </w:rPr>
              <w:t xml:space="preserve"> </w:t>
            </w:r>
            <w:r>
              <w:rPr>
                <w:sz w:val="22"/>
                <w:szCs w:val="22"/>
              </w:rPr>
              <w:br/>
              <w:t xml:space="preserve">(Sale Nguyễn Lương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12.420.000.000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(46,6m²)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Tài sản nằm tại ngõ Khương Thượng, phường Kim Liên, Thành phố Hà Nội; cách đường Khương Thượng khoảng 50m, cách đường Trường Chinh khoảng 100m</w:t>
            </w:r>
            <w:r>
              <w:rPr>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3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8280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3828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5.1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9888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8988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4.4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6387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3638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2.3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0896 228 638</w:t>
            </w:r>
            <w:r>
              <w:rPr>
                <w:sz w:val="22"/>
                <w:szCs w:val="22"/>
              </w:rPr>
              <w:t xml:space="preserve"> </w:t>
            </w:r>
            <w:r>
              <w:rPr>
                <w:sz w:val="22"/>
                <w:szCs w:val="22"/>
              </w:rPr>
              <w:br/>
              <w:t xml:space="preserve">(Anh 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(27,53m²)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Kim Liên, Thành phố Hà Nội. Cách đường Trường Chinh khoảng 100m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Nhà 4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3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br/>
            </w:r>
            <w:r>
              <w:rPr>
                <w:sz w:val="22"/>
                <w:szCs w:val="22"/>
              </w:rPr>
              <w:t xml:space="preserve">SĐT: </w:t>
            </w:r>
            <w:r>
              <w:rPr>
                <w:color w:val="000000" w:themeColor="text1"/>
                <w:sz w:val="22"/>
                <w:szCs w:val="22"/>
              </w:rPr>
              <w:t xml:space="preserve">0365 380 300</w:t>
            </w:r>
            <w:r>
              <w:rPr>
                <w:sz w:val="22"/>
                <w:szCs w:val="22"/>
              </w:rPr>
              <w:t xml:space="preserve"> </w:t>
            </w:r>
            <w:r>
              <w:rPr>
                <w:sz w:val="22"/>
                <w:szCs w:val="22"/>
              </w:rPr>
              <w:br/>
              <w:t xml:space="preserve">(Anh Hưng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(52,38m²)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Kim Liên, Thành phố Hà Nội. Cách đường Trường Chinh khoảng 100m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07967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0796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21.2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2308"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623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14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84816"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06621"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57460"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40"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703D3B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C20896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674F153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6CF69B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2">
    <w:nsid w:val="48C2EB5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287</cp:revision>
  <dcterms:created xsi:type="dcterms:W3CDTF">2025-09-15T09:58:00Z</dcterms:created>
  <dcterms:modified xsi:type="dcterms:W3CDTF">2026-07-20T02:51:25Z</dcterms:modified>
</cp:coreProperties>
</file>