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header2.xml" ContentType="application/vnd.openxmlformats-officedocument.wordprocessingml.head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4302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4302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Số: 275/2026/1095/VFI-CT.39.A</w:t>
                            </w: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w:hAnsi="Times New Roman" w:eastAsia="Times New Roman" w:cs="Times New Roman"/>
                                <w:b/>
                                <w:color w:val="000000"/>
                                <w:sz w:val="24"/>
                              </w:rPr>
                              <w:t xml:space="preserve">Khách hàng yêu cầu: CÔNG TY TNHH AGRI VINA</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Tài sản thẩm định: </w:t>
                            </w:r>
                            <w:r>
                              <w:rPr>
                                <w:rFonts w:ascii="Times New Roman" w:hAnsi="Times New Roman" w:eastAsia="Times New Roman" w:cs="Times New Roman"/>
                                <w:color w:val="000000"/>
                                <w:sz w:val="24"/>
                              </w:rPr>
                              <w:t xml:space="preserve">Quyền sử dụng đất và tài sản gắn liền với đất tại thửa số:456, tờ bản đồ số: 35 đất có địa chỉ: Tổ 4, phường Phan Si Păng, thị xã Sa Pa, tỉnh Lào Cai (nay là Tổ 1, phường Sa Pa, tỉnh Lào Cai) theo Giấy chứng nhận quyền đất, quyền sở hữu nhà ở và tài sản kh</w:t>
                            </w:r>
                            <w:r>
                              <w:rPr>
                                <w:rFonts w:ascii="Times New Roman" w:hAnsi="Times New Roman" w:eastAsia="Times New Roman" w:cs="Times New Roman"/>
                                <w:color w:val="000000"/>
                                <w:sz w:val="24"/>
                              </w:rPr>
                              <w:t xml:space="preserve">ác gắn liền với đất  số: DL403907, số vào sổ cấp GCN: CN 00503 do Chi Nhánh Văn Phòng Đăng Ký Đất Đai Thị Xã Sa Pa  cấp ngày 04/12/2023; Chủ sử dụng đất là Ông Đỗ Ngọc Tuấn và Bà đặng Thị Thúy</w:t>
                            </w:r>
                            <w:r>
                              <w:rPr>
                                <w:rFonts w:ascii="Times New Roman" w:hAnsi="Times New Roman" w:eastAsia="Times New Roman" w:cs="Times New Roman"/>
                                <w:i/>
                                <w:color w:val="000000"/>
                                <w:sz w:val="24"/>
                              </w:rPr>
                              <w:t xml:space="preserve">.</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07/2026.</w:t>
                            </w:r>
                            <w:r/>
                          </w:p>
                          <w:p>
                            <w:pPr>
                              <w:pBdr/>
                              <w:spacing w:after="120" w:before="120" w:line="360" w:lineRule="auto"/>
                              <w:ind/>
                              <w:jc w:val="center"/>
                              <w:rPr>
                                <w:bCs/>
                                <w:i/>
                                <w:iCs/>
                              </w:rPr>
                            </w:pPr>
                            <w:r>
                              <w:rPr>
                                <w:b/>
                                <w:bCs/>
                                <w:lang w:val="pt-BR"/>
                              </w:rPr>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0.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center"/>
                        <w:rPr/>
                      </w:pPr>
                      <w:r>
                        <w:rPr>
                          <w:rFonts w:ascii="Times New Roman" w:hAnsi="Times New Roman" w:eastAsia="Times New Roman" w:cs="Times New Roman"/>
                          <w:b/>
                          <w:color w:val="000000"/>
                          <w:sz w:val="24"/>
                        </w:rPr>
                        <w:t xml:space="preserve">Số: 275/2026/1095/VFI-CT.39.A</w:t>
                      </w:r>
                      <w:r/>
                    </w:p>
                    <w:p>
                      <w:pPr>
                        <w:pBdr>
                          <w:top w:val="none" w:color="000000" w:sz="4" w:space="0"/>
                          <w:left w:val="none" w:color="000000" w:sz="4" w:space="0"/>
                          <w:bottom w:val="none" w:color="000000" w:sz="4" w:space="0"/>
                          <w:right w:val="none" w:color="000000" w:sz="4" w:space="0"/>
                        </w:pBdr>
                        <w:tabs>
                          <w:tab w:val="left" w:leader="none" w:pos="3002"/>
                        </w:tabs>
                        <w:spacing w:after="120" w:before="120" w:line="276" w:lineRule="auto"/>
                        <w:ind w:right="0" w:firstLine="0" w:left="0"/>
                        <w:jc w:val="center"/>
                        <w:rPr/>
                      </w:pPr>
                      <w:r>
                        <w:rPr>
                          <w:rFonts w:ascii="Times New Roman" w:hAnsi="Times New Roman" w:eastAsia="Times New Roman" w:cs="Times New Roman"/>
                          <w:b/>
                          <w:color w:val="000000"/>
                          <w:sz w:val="24"/>
                        </w:rPr>
                        <w:t xml:space="preserve">Khách hàng yêu cầu: CÔNG TY TNHH AGRI VINA</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Tài sản thẩm định: </w:t>
                      </w:r>
                      <w:r>
                        <w:rPr>
                          <w:rFonts w:ascii="Times New Roman" w:hAnsi="Times New Roman" w:eastAsia="Times New Roman" w:cs="Times New Roman"/>
                          <w:color w:val="000000"/>
                          <w:sz w:val="24"/>
                        </w:rPr>
                        <w:t xml:space="preserve">Quyền sử dụng đất và tài sản gắn liền với đất tại thửa số:456, tờ bản đồ số: 35 đất có địa chỉ: Tổ 4, phường Phan Si Păng, thị xã Sa Pa, tỉnh Lào Cai (nay là Tổ 1, phường Sa Pa, tỉnh Lào Cai) theo Giấy chứng nhận quyền đất, quyền sở hữu nhà ở và tài sản kh</w:t>
                      </w:r>
                      <w:r>
                        <w:rPr>
                          <w:rFonts w:ascii="Times New Roman" w:hAnsi="Times New Roman" w:eastAsia="Times New Roman" w:cs="Times New Roman"/>
                          <w:color w:val="000000"/>
                          <w:sz w:val="24"/>
                        </w:rPr>
                        <w:t xml:space="preserve">ác gắn liền với đất  số: DL403907, số vào sổ cấp GCN: CN 00503 do Chi Nhánh Văn Phòng Đăng Ký Đất Đai Thị Xã Sa Pa  cấp ngày 04/12/2023; Chủ sử dụng đất là Ông Đỗ Ngọc Tuấn và Bà đặng Thị Thúy</w:t>
                      </w:r>
                      <w:r>
                        <w:rPr>
                          <w:rFonts w:ascii="Times New Roman" w:hAnsi="Times New Roman" w:eastAsia="Times New Roman" w:cs="Times New Roman"/>
                          <w:i/>
                          <w:color w:val="000000"/>
                          <w:sz w:val="24"/>
                        </w:rPr>
                        <w:t xml:space="preserve">.</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center"/>
                        <w:rPr/>
                      </w:pPr>
                      <w:r>
                        <w:rPr>
                          <w:rFonts w:ascii="Times New Roman" w:hAnsi="Times New Roman" w:eastAsia="Times New Roman" w:cs="Times New Roman"/>
                          <w:b/>
                          <w:color w:val="000000"/>
                          <w:sz w:val="24"/>
                        </w:rPr>
                        <w:t xml:space="preserve">Thời điểm thẩm định: </w:t>
                      </w:r>
                      <w:r>
                        <w:rPr>
                          <w:rFonts w:ascii="Times New Roman" w:hAnsi="Times New Roman" w:eastAsia="Times New Roman" w:cs="Times New Roman"/>
                          <w:color w:val="000000"/>
                          <w:sz w:val="24"/>
                        </w:rPr>
                        <w:t xml:space="preserve">Tháng 07/2026.</w:t>
                      </w:r>
                      <w:r/>
                    </w:p>
                    <w:p>
                      <w:pPr>
                        <w:pBdr/>
                        <w:spacing w:after="120" w:before="120" w:line="360" w:lineRule="auto"/>
                        <w:ind/>
                        <w:jc w:val="center"/>
                        <w:rPr>
                          <w:bCs/>
                          <w:i/>
                          <w:iCs/>
                        </w:rPr>
                      </w:pPr>
                      <w:r>
                        <w:rPr>
                          <w:b/>
                          <w:bCs/>
                          <w:lang w:val="pt-BR"/>
                        </w:rPr>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right"/>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default" r:id="rId9"/>
          <w:headerReference w:type="even" r:id="rId10"/>
          <w:footerReference w:type="default" r:id="rId11"/>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1-3</w:t>
            </w: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4-23</w:t>
            </w: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rPr>
              <w:t xml:space="preserve"> </w:t>
            </w:r>
            <w:r/>
          </w:p>
        </w:tc>
      </w:tr>
      <w:tr>
        <w:trPr/>
        <w:tc>
          <w:tcPr>
            <w:tcBorders/>
            <w:tcMar>
              <w:left w:w="108" w:type="dxa"/>
              <w:right w:w="108" w:type="dxa"/>
            </w:tcMar>
            <w:tcW w:w="7280" w:type="dxa"/>
            <w:vAlign w:val="center"/>
            <w:textDirection w:val="lrTb"/>
            <w:noWrap w:val="false"/>
          </w:tcPr>
          <w:p>
            <w:pPr>
              <w:pStyle w:val="104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24</w:t>
            </w:r>
            <w:r/>
          </w:p>
        </w:tc>
      </w:tr>
      <w:tr>
        <w:trPr/>
        <w:tc>
          <w:tcPr>
            <w:tcBorders/>
            <w:tcMar>
              <w:left w:w="108" w:type="dxa"/>
              <w:right w:w="108" w:type="dxa"/>
            </w:tcMar>
            <w:tcW w:w="7280" w:type="dxa"/>
            <w:vAlign w:val="center"/>
            <w:textDirection w:val="lrTb"/>
            <w:noWrap w:val="false"/>
          </w:tcPr>
          <w:p>
            <w:pPr>
              <w:pStyle w:val="104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24-34</w:t>
            </w:r>
            <w:r/>
          </w:p>
        </w:tc>
      </w:tr>
    </w:tbl>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rPr>
          <w:b/>
          <w:sz w:val="22"/>
          <w:szCs w:val="22"/>
          <w:lang w:val="vi-VN"/>
        </w:rPr>
        <w:sectPr>
          <w:footerReference w:type="first" r:id="rId12"/>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3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3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bl>
    <w:tbl>
      <w:tblPr>
        <w:tblStyle w:val="1049"/>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053"/>
        <w:gridCol w:w="5614"/>
      </w:tblGrid>
      <w:tr>
        <w:trPr>
          <w:trHeight w:val="482"/>
        </w:trPr>
        <w:tc>
          <w:tcPr>
            <w:tcBorders/>
            <w:tcMar>
              <w:left w:w="108" w:type="dxa"/>
              <w:top w:w="0" w:type="dxa"/>
              <w:right w:w="108" w:type="dxa"/>
              <w:bottom w:w="0" w:type="dxa"/>
            </w:tcMar>
            <w:tcW w:w="4053" w:type="dxa"/>
            <w:vAlign w:val="top"/>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rPr>
              <w:t xml:space="preserve">Số: 275/2026/1095/VFI-CT.39.A</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c>
          <w:tcPr>
            <w:tcBorders/>
            <w:tcMar>
              <w:left w:w="108" w:type="dxa"/>
              <w:top w:w="0" w:type="dxa"/>
              <w:right w:w="108" w:type="dxa"/>
              <w:bottom w:w="0" w:type="dxa"/>
            </w:tcMar>
            <w:tcW w:w="5614" w:type="dxa"/>
            <w:vAlign w:val="top"/>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rFonts w:ascii="Times New Roman" w:hAnsi="Times New Roman" w:cs="Times New Roman"/>
                <w:color w:val="000000" w:themeColor="text1"/>
                <w:sz w:val="24"/>
                <w:szCs w:val="24"/>
              </w:rPr>
            </w:pPr>
            <w:r>
              <w:rPr>
                <w:rFonts w:ascii="Times New Roman" w:hAnsi="Times New Roman" w:eastAsia="Times New Roman" w:cs="Times New Roman"/>
                <w:i/>
                <w:color w:val="000000" w:themeColor="text1"/>
                <w:sz w:val="24"/>
                <w:szCs w:val="24"/>
              </w:rPr>
              <w:t xml:space="preserve">TP. Hà Nội, </w:t>
            </w:r>
            <w:r>
              <w:rPr>
                <w:rFonts w:ascii="Times New Roman" w:hAnsi="Times New Roman" w:eastAsia="Times New Roman" w:cs="Times New Roman"/>
                <w:i/>
                <w:color w:val="000000" w:themeColor="text1"/>
                <w:sz w:val="24"/>
                <w:szCs w:val="24"/>
              </w:rPr>
              <w:t xml:space="preserve">ngày 21 tháng 7 năm 2026</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tc>
      </w:tr>
    </w:tbl>
    <w:p>
      <w:pPr>
        <w:pBdr>
          <w:top w:val="none" w:color="000000" w:sz="4" w:space="0"/>
          <w:left w:val="none" w:color="000000" w:sz="4" w:space="0"/>
          <w:bottom w:val="none" w:color="000000" w:sz="4" w:space="0"/>
          <w:right w:val="none" w:color="000000" w:sz="4" w:space="0"/>
        </w:pBdr>
        <w:spacing w:after="120" w:before="200" w:line="288" w:lineRule="auto"/>
        <w:ind w:right="0" w:firstLine="0" w:left="0"/>
        <w:jc w:val="center"/>
        <w:rPr>
          <w:rFonts w:ascii="Times New Roman" w:hAnsi="Times New Roman" w:cs="Times New Roman"/>
          <w:color w:val="000000" w:themeColor="text1"/>
          <w:sz w:val="24"/>
          <w:szCs w:val="24"/>
        </w:rPr>
      </w:pPr>
      <w:r>
        <w:rPr>
          <w:rFonts w:ascii="Times New Roman" w:hAnsi="Times New Roman" w:eastAsia="Times New Roman" w:cs="Times New Roman"/>
          <w:b/>
          <w:color w:val="000000" w:themeColor="text1"/>
          <w:sz w:val="24"/>
          <w:szCs w:val="24"/>
        </w:rPr>
        <w:t xml:space="preserve">CHỨNG THƯ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cs="Times New Roman"/>
          <w:color w:val="000000" w:themeColor="text1"/>
          <w:szCs w:val="24"/>
        </w:rPr>
      </w:pPr>
      <w:r>
        <w:rPr>
          <w:rFonts w:ascii="Times New Roman" w:hAnsi="Times New Roman" w:eastAsia="Times New Roman" w:cs="Times New Roman"/>
          <w:b/>
          <w:color w:val="000000" w:themeColor="text1"/>
          <w:sz w:val="24"/>
          <w:szCs w:val="24"/>
          <w:u w:val="single"/>
        </w:rPr>
        <w:t xml:space="preserve">Kính gửi</w:t>
      </w:r>
      <w:r>
        <w:rPr>
          <w:rFonts w:ascii="Times New Roman" w:hAnsi="Times New Roman" w:eastAsia="Times New Roman" w:cs="Times New Roman"/>
          <w:b/>
          <w:color w:val="000000" w:themeColor="text1"/>
          <w:sz w:val="24"/>
          <w:szCs w:val="24"/>
        </w:rPr>
        <w:t xml:space="preserve">: CÔNG TY TNHH AGRI VINA</w:t>
      </w:r>
      <w:r>
        <w:rPr>
          <w:rFonts w:ascii="Times New Roman" w:hAnsi="Times New Roman" w:cs="Times New Roman"/>
          <w:color w:val="000000" w:themeColor="text1"/>
          <w:szCs w:val="24"/>
        </w:rPr>
      </w:r>
      <w:r>
        <w:rPr>
          <w:rFonts w:ascii="Times New Roman" w:hAnsi="Times New Roman" w:cs="Times New Roman"/>
          <w:color w:val="000000" w:themeColor="text1"/>
          <w:szCs w:val="24"/>
        </w:rPr>
      </w:r>
    </w:p>
    <w:p>
      <w:pPr>
        <w:pBdr>
          <w:top w:val="none" w:color="000000" w:sz="4" w:space="0"/>
          <w:left w:val="none" w:color="000000" w:sz="4" w:space="0"/>
          <w:bottom w:val="none" w:color="000000" w:sz="4" w:space="0"/>
          <w:right w:val="none" w:color="000000" w:sz="4" w:space="0"/>
        </w:pBdr>
        <w:tabs>
          <w:tab w:val="left" w:leader="none" w:pos="450"/>
        </w:tabs>
        <w:spacing w:after="120" w:before="120" w:line="288" w:lineRule="auto"/>
        <w:ind w:right="0" w:firstLine="0" w:left="-72"/>
        <w:jc w:val="both"/>
        <w:rPr>
          <w:rFonts w:ascii="Times New Roman" w:hAnsi="Times New Roman" w:cs="Times New Roman"/>
          <w:color w:val="000000" w:themeColor="text1"/>
          <w:szCs w:val="24"/>
          <w:highlight w:val="white"/>
        </w:rPr>
      </w:pPr>
      <w:r>
        <w:rPr>
          <w:rFonts w:ascii="Times New Roman" w:hAnsi="Times New Roman" w:eastAsia="Times New Roman" w:cs="Times New Roman"/>
          <w:color w:val="000000" w:themeColor="text1"/>
          <w:spacing w:val="-4"/>
          <w:sz w:val="24"/>
          <w:szCs w:val="24"/>
        </w:rPr>
        <w:tab/>
        <w:t xml:space="preserve">Căn cứ Hợp đồng dịch vụ thẩm định giá số: 275/2026/1095/VFI-HĐTĐ.39.A ký ngày 20 tháng 7 năm 2026 giữa </w:t>
      </w:r>
      <w:r>
        <w:rPr>
          <w:rFonts w:ascii="Times New Roman" w:hAnsi="Times New Roman" w:eastAsia="Times New Roman" w:cs="Times New Roman"/>
          <w:color w:val="000000" w:themeColor="text1"/>
          <w:sz w:val="24"/>
          <w:szCs w:val="24"/>
        </w:rPr>
        <w:t xml:space="preserve">Công Ty TNHH Agri Vina </w:t>
      </w:r>
      <w:r>
        <w:rPr>
          <w:rFonts w:ascii="Times New Roman" w:hAnsi="Times New Roman" w:eastAsia="Times New Roman" w:cs="Times New Roman"/>
          <w:color w:val="000000" w:themeColor="text1"/>
          <w:spacing w:val="-6"/>
          <w:sz w:val="24"/>
          <w:szCs w:val="24"/>
        </w:rPr>
        <w:t xml:space="preserve">với  </w:t>
      </w:r>
      <w:r>
        <w:rPr>
          <w:rFonts w:ascii="Times New Roman" w:hAnsi="Times New Roman" w:eastAsia="Times New Roman" w:cs="Times New Roman"/>
          <w:color w:val="000000" w:themeColor="text1"/>
          <w:spacing w:val="-4"/>
          <w:sz w:val="24"/>
          <w:szCs w:val="24"/>
        </w:rPr>
        <w:t xml:space="preserve">Công ty Cổ phần Thẩm định và Đầu tư Tài chính Hoa Sen;</w:t>
      </w:r>
      <w:r>
        <w:rPr>
          <w:rFonts w:ascii="Times New Roman" w:hAnsi="Times New Roman" w:cs="Times New Roman"/>
          <w:color w:val="000000" w:themeColor="text1"/>
          <w:szCs w:val="24"/>
          <w:highlight w:val="white"/>
        </w:rPr>
      </w:r>
      <w:r>
        <w:rPr>
          <w:rFonts w:ascii="Times New Roman" w:hAnsi="Times New Roman" w:cs="Times New Roman"/>
          <w:color w:val="000000" w:themeColor="text1"/>
          <w:szCs w:val="24"/>
          <w:highlight w:val="white"/>
        </w:rP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rFonts w:ascii="Times New Roman" w:hAnsi="Times New Roman" w:cs="Times New Roman"/>
          <w:color w:val="000000" w:themeColor="text1"/>
          <w:szCs w:val="24"/>
        </w:rPr>
      </w:pPr>
      <w:r>
        <w:rPr>
          <w:rFonts w:ascii="Times New Roman" w:hAnsi="Times New Roman" w:eastAsia="Times New Roman" w:cs="Times New Roman"/>
          <w:color w:val="000000" w:themeColor="text1"/>
          <w:spacing w:val="-2"/>
          <w:sz w:val="24"/>
          <w:szCs w:val="24"/>
          <w:highlight w:val="white"/>
        </w:rPr>
        <w:t xml:space="preserve">Căn cứ Báo cáo thẩm định giá số 275/2026/1095/VFI-BC.39.A n</w:t>
      </w:r>
      <w:r>
        <w:rPr>
          <w:rFonts w:ascii="Times New Roman" w:hAnsi="Times New Roman" w:eastAsia="Times New Roman" w:cs="Times New Roman"/>
          <w:color w:val="000000" w:themeColor="text1"/>
          <w:spacing w:val="-2"/>
          <w:sz w:val="24"/>
          <w:szCs w:val="24"/>
          <w:highlight w:val="white"/>
        </w:rPr>
        <w:t xml:space="preserve">gày 21 tháng 7 năm 2026</w:t>
      </w:r>
      <w:r>
        <w:rPr>
          <w:rFonts w:ascii="Times New Roman" w:hAnsi="Times New Roman" w:eastAsia="Times New Roman" w:cs="Times New Roman"/>
          <w:color w:val="000000" w:themeColor="text1"/>
          <w:spacing w:val="-2"/>
          <w:sz w:val="24"/>
          <w:szCs w:val="24"/>
          <w:highlight w:val="white"/>
        </w:rPr>
        <w:t xml:space="preserve"> c</w:t>
      </w:r>
      <w:r>
        <w:rPr>
          <w:rFonts w:ascii="Times New Roman" w:hAnsi="Times New Roman" w:eastAsia="Times New Roman" w:cs="Times New Roman"/>
          <w:color w:val="000000" w:themeColor="text1"/>
          <w:spacing w:val="-2"/>
          <w:sz w:val="24"/>
          <w:szCs w:val="24"/>
        </w:rPr>
        <w:t xml:space="preserve">ủa Công ty Cổ phần Thẩm định và Đầu tư Tài chính Hoa Sen;</w:t>
      </w:r>
      <w:r>
        <w:rPr>
          <w:rFonts w:ascii="Times New Roman" w:hAnsi="Times New Roman" w:cs="Times New Roman"/>
          <w:color w:val="000000" w:themeColor="text1"/>
          <w:szCs w:val="24"/>
        </w:rPr>
      </w:r>
      <w:r>
        <w:rPr>
          <w:rFonts w:ascii="Times New Roman" w:hAnsi="Times New Roman" w:cs="Times New Roman"/>
          <w:color w:val="000000" w:themeColor="text1"/>
          <w:szCs w:val="24"/>
        </w:rP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rFonts w:ascii="Times New Roman" w:hAnsi="Times New Roman" w:cs="Times New Roman"/>
          <w:color w:val="000000" w:themeColor="text1"/>
          <w:szCs w:val="24"/>
        </w:rPr>
      </w:pPr>
      <w:r>
        <w:rPr>
          <w:rFonts w:ascii="Times New Roman" w:hAnsi="Times New Roman" w:eastAsia="Times New Roman" w:cs="Times New Roman"/>
          <w:color w:val="000000" w:themeColor="text1"/>
          <w:sz w:val="24"/>
          <w:szCs w:val="24"/>
        </w:rPr>
        <w:t xml:space="preserve">Công ty Cổ phần Thẩm định và Đầu tư Tài chính Hoa Sen cung cấp Chứng thư thẩm định giá tài sản với nội dung sau:</w:t>
      </w:r>
      <w:r>
        <w:rPr>
          <w:rFonts w:ascii="Times New Roman" w:hAnsi="Times New Roman" w:cs="Times New Roman"/>
          <w:color w:val="000000" w:themeColor="text1"/>
          <w:szCs w:val="24"/>
        </w:rPr>
      </w:r>
      <w:r>
        <w:rPr>
          <w:rFonts w:ascii="Times New Roman" w:hAnsi="Times New Roman" w:cs="Times New Roman"/>
          <w:color w:val="000000" w:themeColor="text1"/>
          <w:szCs w:val="24"/>
        </w:rP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530"/>
              </w:tabs>
              <w:spacing/>
              <w:ind w:right="0" w:firstLine="0" w:left="0"/>
              <w:rPr/>
            </w:pPr>
            <w:r>
              <w:rPr>
                <w:rFonts w:ascii="Times New Roman" w:hAnsi="Times New Roman" w:eastAsia="Times New Roman" w:cs="Times New Roman"/>
                <w:b/>
                <w:color w:val="000000"/>
                <w:sz w:val="24"/>
              </w:rPr>
              <w:t xml:space="preserve">CÔNG TY TNHH AGRI VINA</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2500735895</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TDP Bắc Cường, xã Thổ Tang, tỉnh Phú Thọ, Việt Nsm</w:t>
            </w:r>
            <w:r/>
          </w:p>
        </w:tc>
      </w:tr>
      <w:tr>
        <w:trPr>
          <w:trHeight w:val="20"/>
        </w:trPr>
        <w:tc>
          <w:tcPr>
            <w:shd w:val="clear" w:color="auto" w:fill="auto"/>
            <w:tcBorders/>
            <w:tcW w:w="1109"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w:t>
            </w:r>
            <w:r/>
          </w:p>
        </w:tc>
        <w:tc>
          <w:tcPr>
            <w:shd w:val="clear" w:color="auto" w:fill="auto"/>
            <w:tcBorders/>
            <w:tcW w:w="248"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Đỗ Thanh Tùng</w:t>
            </w:r>
            <w:r/>
          </w:p>
        </w:tc>
      </w:tr>
      <w:tr>
        <w:trPr>
          <w:trHeight w:val="20"/>
        </w:trPr>
        <w:tc>
          <w:tcPr>
            <w:shd w:val="clear" w:color="ffffff" w:fill="ffffff"/>
            <w:tcBorders/>
            <w:tcW w:w="1109"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both"/>
              <w:rPr/>
            </w:pPr>
            <w:r>
              <w:rPr>
                <w:rFonts w:ascii="Times New Roman" w:hAnsi="Times New Roman" w:eastAsia="Times New Roman" w:cs="Times New Roman"/>
                <w:color w:val="000000"/>
                <w:sz w:val="24"/>
              </w:rPr>
              <w:t xml:space="preserve">Chức vụ</w:t>
            </w:r>
            <w:r/>
          </w:p>
        </w:tc>
        <w:tc>
          <w:tcPr>
            <w:shd w:val="clear" w:color="ffffff" w:fill="ffffff"/>
            <w:tcBorders/>
            <w:tcW w:w="248"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3643" w:type="pct"/>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Giám đốc</w:t>
            </w: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Bdr>
          <w:top w:val="none" w:color="000000" w:sz="4" w:space="0"/>
          <w:left w:val="none" w:color="000000" w:sz="4" w:space="0"/>
          <w:bottom w:val="none" w:color="000000" w:sz="4" w:space="0"/>
          <w:right w:val="none" w:color="000000" w:sz="4" w:space="0"/>
        </w:pBdr>
        <w:spacing w:after="120" w:before="120" w:line="312" w:lineRule="auto"/>
        <w:ind w:right="0" w:firstLine="0" w:left="0"/>
        <w:jc w:val="both"/>
        <w:rPr/>
      </w:pPr>
      <w:r>
        <w:rPr>
          <w:rFonts w:ascii="Times New Roman" w:hAnsi="Times New Roman" w:eastAsia="Times New Roman" w:cs="Times New Roman"/>
          <w:b/>
          <w:color w:val="000000"/>
          <w:sz w:val="24"/>
        </w:rPr>
        <w:t xml:space="preserve">3. Tài sản thẩm định:</w:t>
      </w:r>
      <w:r>
        <w:rPr>
          <w:rFonts w:ascii="Times New Roman" w:hAnsi="Times New Roman" w:eastAsia="Times New Roman" w:cs="Times New Roman"/>
          <w:color w:val="000000"/>
          <w:sz w:val="24"/>
        </w:rPr>
        <w:t xml:space="preserve"> Quyền sử dụng đất và tài sản gắn liền với đất tại thửa số:456, tờ bản đồ số: 35 đất có địa chỉ: Tổ 4, phường Phan Si Păng, thị xã Sa Pa, tỉnh Lào Cai (nay là Tổ 1, phường Sa Pa, tỉnh Lào Cai) theo Giấy chứng nhận quyền đất, quyền sở hữu nhà ở và tài sản k</w:t>
      </w:r>
      <w:r>
        <w:rPr>
          <w:rFonts w:ascii="Times New Roman" w:hAnsi="Times New Roman" w:eastAsia="Times New Roman" w:cs="Times New Roman"/>
          <w:color w:val="000000"/>
          <w:sz w:val="24"/>
        </w:rPr>
        <w:t xml:space="preserve">hác gắn liền với đất số: DL403907, số vào sổ cấp GCN: CN 00503 do Chi Nhánh Văn Phòng Đăng Ký Đất Đai Thị Xã Sa Pa  cấp ngày 04/12/2023; Chủ sử dụng đất là  Ông Đỗ Ngọc Tuấn và Bà đặng Thị Thúy</w:t>
      </w:r>
      <w:r>
        <w:rPr>
          <w:rFonts w:ascii="Times New Roman" w:hAnsi="Times New Roman" w:eastAsia="Times New Roman" w:cs="Times New Roman"/>
          <w:i/>
          <w:color w:val="000000"/>
          <w:sz w:val="24"/>
        </w:rPr>
        <w:t xml:space="preserve">.</w:t>
      </w:r>
      <w:r>
        <w:rPr>
          <w:rFonts w:ascii="Times New Roman" w:hAnsi="Times New Roman" w:eastAsia="Times New Roman" w:cs="Times New Roman"/>
          <w:sz w:val="24"/>
        </w:rPr>
      </w: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07/2026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07/2026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2241"/>
        <w:gridCol w:w="1802"/>
        <w:gridCol w:w="2581"/>
        <w:gridCol w:w="2164"/>
      </w:tblGrid>
      <w:tr>
        <w:trPr>
          <w:trHeight w:val="20"/>
        </w:trPr>
        <w:tc>
          <w:tcPr>
            <w:shd w:val="clear" w:color="000000" w:fill="ffffff"/>
            <w:tcBorders/>
            <w:tcW w:w="737"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241"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581"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37"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624" w:type="dxa"/>
            <w:vAlign w:val="center"/>
            <w:textDirection w:val="lrTb"/>
            <w:noWrap w:val="false"/>
          </w:tcPr>
          <w:p>
            <w:pPr>
              <w:pBdr/>
              <w:spacing w:after="40" w:before="40" w:line="288" w:lineRule="auto"/>
              <w:ind/>
              <w:jc w:val="both"/>
              <w:rPr>
                <w:b/>
                <w:bCs/>
              </w:rPr>
            </w:pPr>
            <w:r>
              <w:rPr>
                <w:b/>
                <w:bCs/>
                <w:color w:val="000000"/>
              </w:rPr>
            </w:r>
            <w:r>
              <w:rPr>
                <w:rFonts w:ascii="Times New Roman" w:hAnsi="Times New Roman" w:eastAsia="Times New Roman" w:cs="Times New Roman"/>
                <w:b/>
                <w:bCs/>
                <w:color w:val="000000"/>
                <w:sz w:val="24"/>
              </w:rPr>
              <w:t xml:space="preserve">Quyền sử dụng đất và tài sản gắn liền với đất tại thửa số:456, tờ bản đồ số: 35 đất có địa chỉ: Tổ 4, phường Phan Si Păng, thị xã Sa Pa, tỉnh Lào Cai (nay là Tổ 1, phường Sa Pa, tỉnh Lào Cai) theo Giấy chứng nhận quyền đất, quyền sở hữu nhà ở và tài sản kh</w:t>
            </w:r>
            <w:r>
              <w:rPr>
                <w:rFonts w:ascii="Times New Roman" w:hAnsi="Times New Roman" w:eastAsia="Times New Roman" w:cs="Times New Roman"/>
                <w:b/>
                <w:bCs/>
                <w:color w:val="000000"/>
                <w:sz w:val="24"/>
              </w:rPr>
              <w:t xml:space="preserve">ác gắn liền với đất  số: DL403907, số vào sổ cấp GCN: CN 00503 do Chi Nhánh Văn Phòng Đăng Ký Đất Đai Thị Xã Sa Pa  cấp ngày 04/12/2023; Chủ sử dụng đất là  Ông Đỗ Ngọc Tuấn và Bà đặng Thị Thúy</w:t>
            </w:r>
            <w:r>
              <w:rPr>
                <w:rFonts w:ascii="Times New Roman" w:hAnsi="Times New Roman" w:eastAsia="Times New Roman" w:cs="Times New Roman"/>
                <w:b/>
                <w:bCs/>
                <w:color w:val="000000"/>
                <w:sz w:val="24"/>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737" w:type="dxa"/>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2241" w:type="dxa"/>
            <w:vAlign w:val="center"/>
            <w:textDirection w:val="lrTb"/>
            <w:noWrap w:val="false"/>
          </w:tcPr>
          <w:p>
            <w:pPr>
              <w:pBdr/>
              <w:spacing w:after="40" w:before="40" w:line="288" w:lineRule="auto"/>
              <w:ind/>
              <w:rPr/>
            </w:pPr>
            <w:r>
              <w:rPr>
                <w:b/>
                <w:bCs/>
              </w:rPr>
              <w:t xml:space="preserve">Quyền sử dụng đất</w:t>
            </w: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300</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31.000.000</w:t>
            </w:r>
            <w:r/>
          </w:p>
        </w:tc>
        <w:tc>
          <w:tcPr>
            <w:shd w:val="clear" w:color="000000" w:fill="ffffff"/>
            <w:tcBorders/>
            <w:tcW w:w="2164" w:type="dxa"/>
            <w:vAlign w:val="center"/>
            <w:textDirection w:val="lrTb"/>
            <w:noWrap w:val="false"/>
          </w:tcPr>
          <w:p>
            <w:pPr>
              <w:pBdr/>
              <w:spacing w:after="40" w:before="40" w:line="288" w:lineRule="auto"/>
              <w:ind/>
              <w:jc w:val="right"/>
              <w:rPr/>
            </w:pPr>
            <w:r>
              <w:rPr>
                <w:color w:val="000000" w:themeColor="text1"/>
              </w:rPr>
              <w:t xml:space="preserve">9.300.000.000</w:t>
            </w:r>
            <w:r/>
          </w:p>
        </w:tc>
      </w:tr>
      <w:tr>
        <w:trPr>
          <w:trHeight w:val="20"/>
        </w:trPr>
        <w:tc>
          <w:tcPr>
            <w:shd w:val="clear" w:color="000000" w:fill="ffffff"/>
            <w:tcBorders/>
            <w:tcW w:w="737" w:type="dxa"/>
            <w:vAlign w:val="center"/>
            <w:textDirection w:val="lrTb"/>
            <w:noWrap w:val="false"/>
          </w:tcPr>
          <w:p>
            <w:pPr>
              <w:pBdr/>
              <w:spacing w:after="40" w:before="40" w:line="288" w:lineRule="auto"/>
              <w:ind/>
              <w:jc w:val="center"/>
              <w:rPr/>
            </w:pPr>
            <w:r>
              <w:rPr>
                <w:b/>
                <w:bCs/>
              </w:rPr>
              <w:t xml:space="preserve">2</w:t>
            </w:r>
            <w:r/>
          </w:p>
        </w:tc>
        <w:tc>
          <w:tcPr>
            <w:shd w:val="clear" w:color="000000" w:fill="ffffff"/>
            <w:tcBorders/>
            <w:tcW w:w="2241" w:type="dxa"/>
            <w:vAlign w:val="center"/>
            <w:textDirection w:val="lrTb"/>
            <w:noWrap w:val="false"/>
          </w:tcPr>
          <w:p>
            <w:pPr>
              <w:pBdr/>
              <w:spacing w:after="40" w:before="40" w:line="288" w:lineRule="auto"/>
              <w:ind/>
              <w:rPr/>
            </w:pPr>
            <w:r>
              <w:rPr>
                <w:b/>
                <w:bCs/>
              </w:rPr>
              <w:t xml:space="preserve">Nhà 2 tầng</w:t>
            </w: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251,9</w:t>
            </w:r>
            <w:r>
              <w:rPr>
                <w:color w:val="000000"/>
              </w:rPr>
            </w:r>
            <w:r>
              <w:rPr>
                <w:color w:val="000000"/>
              </w:rPr>
            </w:r>
          </w:p>
        </w:tc>
        <w:tc>
          <w:tcPr>
            <w:shd w:val="clear" w:color="000000" w:fill="ffffff"/>
            <w:tcBorders/>
            <w:tcW w:w="2581" w:type="dxa"/>
            <w:vAlign w:val="center"/>
            <w:textDirection w:val="lrTb"/>
            <w:noWrap w:val="false"/>
          </w:tcPr>
          <w:p>
            <w:pPr>
              <w:pBdr/>
              <w:spacing w:after="40" w:before="40" w:line="288" w:lineRule="auto"/>
              <w:ind/>
              <w:jc w:val="center"/>
              <w:rPr/>
            </w:pPr>
            <w:r>
              <w:rPr>
                <w:color w:val="000000" w:themeColor="text1"/>
              </w:rPr>
              <w:t xml:space="preserve">7.114.500</w:t>
            </w:r>
            <w:r/>
          </w:p>
        </w:tc>
        <w:tc>
          <w:tcPr>
            <w:shd w:val="clear" w:color="000000" w:fill="ffffff"/>
            <w:tcBorders/>
            <w:tcW w:w="2164" w:type="dxa"/>
            <w:vAlign w:val="center"/>
            <w:textDirection w:val="lrTb"/>
            <w:noWrap w:val="false"/>
          </w:tcPr>
          <w:p>
            <w:pPr>
              <w:pBdr/>
              <w:spacing w:after="40" w:before="40" w:line="288" w:lineRule="auto"/>
              <w:ind/>
              <w:jc w:val="right"/>
              <w:rPr/>
            </w:pPr>
            <w:r>
              <w:rPr>
                <w:color w:val="000000" w:themeColor="text1"/>
              </w:rPr>
              <w:t xml:space="preserve">1.756.299.699</w:t>
            </w: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right"/>
              <w:rPr>
                <w:b/>
                <w:bCs/>
                <w:color w:val="000000"/>
              </w:rPr>
            </w:pPr>
            <w:r>
              <w:t xml:space="preserve">11.056.299.699</w:t>
            </w:r>
            <w:r>
              <w:rPr>
                <w:b/>
                <w:bCs/>
                <w:color w:val="000000"/>
              </w:rPr>
            </w:r>
            <w:r>
              <w:rPr>
                <w:b/>
                <w:bCs/>
                <w:color w:val="000000"/>
              </w:rPr>
            </w:r>
          </w:p>
        </w:tc>
      </w:tr>
      <w:tr>
        <w:trPr>
          <w:trHeight w:val="20"/>
        </w:trPr>
        <w:tc>
          <w:tcPr>
            <w:gridSpan w:val="4"/>
            <w:tcBorders/>
            <w:tcW w:w="7361"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right"/>
              <w:rPr>
                <w:b/>
                <w:bCs/>
                <w:color w:val="000000"/>
              </w:rPr>
            </w:pPr>
            <w:r>
              <w:rPr>
                <w:b/>
                <w:bCs/>
                <w:color w:val="000000"/>
              </w:rPr>
              <w:t xml:space="preserve">11.056.000.000</w:t>
            </w:r>
            <w:r>
              <w:rPr>
                <w:b/>
                <w:bCs/>
                <w:color w:val="000000"/>
              </w:rPr>
            </w:r>
            <w:r>
              <w:rPr>
                <w:b/>
                <w:bCs/>
                <w:color w:val="000000"/>
              </w:rPr>
            </w:r>
          </w:p>
        </w:tc>
      </w:tr>
      <w:tr>
        <w:trPr>
          <w:trHeight w:val="20"/>
        </w:trPr>
        <w:tc>
          <w:tcPr>
            <w:gridSpan w:val="5"/>
            <w:tcBorders/>
            <w:tcW w:w="9525"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một tỷ năm mươi sáu 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rFonts w:eastAsia="Calibri"/>
          <w:b/>
          <w:spacing w:val="-4"/>
          <w:lang w:val="pt-BR"/>
        </w:rPr>
      </w:pPr>
      <w:r>
        <w:rPr>
          <w:lang w:val="pt-BR"/>
        </w:rPr>
        <w:t xml:space="preserve">- </w:t>
      </w:r>
      <w:r>
        <w:rPr>
          <w:lang w:val="pt-BR"/>
        </w:rPr>
        <w:t xml:space="preserve">Chi tiết như Báo cáo kèm theo.</w:t>
      </w:r>
      <w:r>
        <w:rPr>
          <w:rFonts w:eastAsia="Calibri"/>
          <w:b/>
          <w:spacing w:val="-4"/>
          <w:lang w:val="pt-BR"/>
        </w:rPr>
      </w:r>
      <w:r>
        <w:rPr>
          <w:rFonts w:eastAsia="Calibri"/>
          <w:b/>
          <w:spacing w:val="-4"/>
          <w:lang w:val="pt-BR"/>
        </w:rPr>
      </w:r>
    </w:p>
    <w:p>
      <w:pPr>
        <w:pBdr/>
        <w:spacing w:after="120" w:before="120" w:line="312" w:lineRule="auto"/>
        <w:ind/>
        <w:rPr>
          <w:lang w:val="pt-BR"/>
        </w:rPr>
      </w:pP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98" w:type="pct"/>
        <w:tblBorders/>
        <w:tblLook w:val="01E0" w:firstRow="1" w:lastRow="1" w:firstColumn="1" w:lastColumn="1" w:noHBand="0" w:noVBand="0"/>
      </w:tblPr>
      <w:tblGrid>
        <w:gridCol w:w="4768"/>
        <w:gridCol w:w="4563"/>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54"/>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5"/>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5"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7" w:tooltip="mailto:ilotus.contact@gmail.com" w:history="1">
              <w:r>
                <w:rPr>
                  <w:rStyle w:val="103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rFonts w:ascii="Times New Roman" w:hAnsi="Times New Roman" w:cs="Times New Roman"/>
                <w:color w:val="000000" w:themeColor="text1"/>
              </w:rPr>
            </w:pPr>
            <w:r>
              <w:rPr>
                <w:rFonts w:ascii="Times New Roman" w:hAnsi="Times New Roman" w:eastAsia="Times New Roman" w:cs="Times New Roman"/>
                <w:color w:val="000000" w:themeColor="text1"/>
                <w:sz w:val="24"/>
              </w:rPr>
              <w:t xml:space="preserve">Số: 275/2026/1095/VFI-CT.39.A</w:t>
            </w:r>
            <w:r>
              <w:rPr>
                <w:rFonts w:ascii="Times New Roman" w:hAnsi="Times New Roman" w:cs="Times New Roman"/>
                <w:color w:val="000000" w:themeColor="text1"/>
              </w:rPr>
            </w:r>
            <w:r>
              <w:rPr>
                <w:rFonts w:ascii="Times New Roman" w:hAnsi="Times New Roman" w:cs="Times New Roman"/>
                <w:color w:val="000000" w:themeColor="text1"/>
              </w:rPr>
            </w:r>
          </w:p>
        </w:tc>
        <w:tc>
          <w:tcPr>
            <w:shd w:val="clear" w:color="auto" w:fill="auto"/>
            <w:tcBorders/>
            <w:tcMar>
              <w:left w:w="108" w:type="dxa"/>
              <w:top w:w="0" w:type="dxa"/>
              <w:right w:w="108" w:type="dxa"/>
              <w:bottom w:w="0" w:type="dxa"/>
            </w:tcMar>
            <w:tcW w:w="5412" w:type="dxa"/>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rFonts w:ascii="Times New Roman" w:hAnsi="Times New Roman" w:cs="Times New Roman"/>
                <w:color w:val="000000" w:themeColor="text1"/>
              </w:rPr>
            </w:pPr>
            <w:r>
              <w:rPr>
                <w:rFonts w:ascii="Times New Roman" w:hAnsi="Times New Roman" w:eastAsia="Times New Roman" w:cs="Times New Roman"/>
                <w:i/>
                <w:color w:val="000000" w:themeColor="text1"/>
                <w:sz w:val="24"/>
              </w:rPr>
              <w:t xml:space="preserve">TP. Hà Nội, </w:t>
            </w:r>
            <w:r>
              <w:rPr>
                <w:rFonts w:ascii="Times New Roman" w:hAnsi="Times New Roman" w:eastAsia="Times New Roman" w:cs="Times New Roman"/>
                <w:i/>
                <w:color w:val="000000" w:themeColor="text1"/>
                <w:sz w:val="24"/>
              </w:rPr>
              <w:t xml:space="preserve">ngày 21 tháng 7 năm 2026</w:t>
            </w:r>
            <w:r>
              <w:rPr>
                <w:rFonts w:ascii="Times New Roman" w:hAnsi="Times New Roman" w:cs="Times New Roman"/>
                <w:color w:val="000000" w:themeColor="text1"/>
              </w:rPr>
            </w:r>
            <w:r>
              <w:rPr>
                <w:rFonts w:ascii="Times New Roman" w:hAnsi="Times New Roman" w:cs="Times New Roman"/>
                <w:color w:val="000000" w:themeColor="text1"/>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rFonts w:ascii="Times New Roman" w:hAnsi="Times New Roman" w:cs="Times New Roman"/>
                <w:color w:val="000000" w:themeColor="text1"/>
                <w:highlight w:val="yellow"/>
              </w:rPr>
            </w:pPr>
            <w:r>
              <w:rPr>
                <w:rFonts w:ascii="Times New Roman" w:hAnsi="Times New Roman" w:eastAsia="Times New Roman" w:cs="Times New Roman"/>
                <w:color w:val="000000" w:themeColor="text1"/>
                <w:sz w:val="24"/>
                <w:highlight w:val="yellow"/>
              </w:rPr>
              <w:t xml:space="preserve">Mã đề nghị: DL 403902</w:t>
            </w:r>
            <w:r>
              <w:rPr>
                <w:rFonts w:ascii="Times New Roman" w:hAnsi="Times New Roman" w:cs="Times New Roman"/>
                <w:color w:val="000000" w:themeColor="text1"/>
                <w:highlight w:val="yellow"/>
              </w:rPr>
            </w:r>
            <w:r>
              <w:rPr>
                <w:rFonts w:ascii="Times New Roman" w:hAnsi="Times New Roman" w:cs="Times New Roman"/>
                <w:color w:val="000000" w:themeColor="text1"/>
                <w:highlight w:val="yellow"/>
              </w:rPr>
            </w:r>
          </w:p>
        </w:tc>
        <w:tc>
          <w:tcPr>
            <w:shd w:val="clear" w:color="auto" w:fill="auto"/>
            <w:tcBorders/>
            <w:tcMar>
              <w:left w:w="108" w:type="dxa"/>
              <w:top w:w="0" w:type="dxa"/>
              <w:right w:w="108" w:type="dxa"/>
              <w:bottom w:w="0" w:type="dxa"/>
            </w:tcMar>
            <w:tcW w:w="5412" w:type="dxa"/>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both"/>
              <w:rPr>
                <w:rFonts w:ascii="Times New Roman" w:hAnsi="Times New Roman" w:cs="Times New Roman"/>
                <w:color w:val="000000" w:themeColor="text1"/>
              </w:rPr>
            </w:pPr>
            <w:r>
              <w:rPr>
                <w:rFonts w:ascii="Times New Roman" w:hAnsi="Times New Roman" w:eastAsia="Times New Roman" w:cs="Times New Roman"/>
                <w:i/>
                <w:color w:val="000000" w:themeColor="text1"/>
                <w:sz w:val="24"/>
              </w:rPr>
              <w:t xml:space="preserve"> </w:t>
            </w:r>
            <w:r>
              <w:rPr>
                <w:rFonts w:ascii="Times New Roman" w:hAnsi="Times New Roman" w:cs="Times New Roman"/>
                <w:color w:val="000000" w:themeColor="text1"/>
              </w:rPr>
            </w:r>
            <w:r>
              <w:rPr>
                <w:rFonts w:ascii="Times New Roman" w:hAnsi="Times New Roman" w:cs="Times New Roman"/>
                <w:color w:val="000000" w:themeColor="text1"/>
              </w:rPr>
            </w:r>
          </w:p>
        </w:tc>
      </w:tr>
    </w:tbl>
    <w:p>
      <w:pPr>
        <w:pStyle w:val="104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24"/>
        <w:pBdr>
          <w:top w:val="none" w:color="000000" w:sz="4" w:space="0"/>
          <w:left w:val="none" w:color="000000" w:sz="4" w:space="0"/>
          <w:bottom w:val="none" w:color="000000" w:sz="4" w:space="0"/>
          <w:right w:val="none" w:color="000000" w:sz="4" w:space="0"/>
        </w:pBdr>
        <w:tabs>
          <w:tab w:val="left" w:leader="none" w:pos="4820"/>
        </w:tabs>
        <w:spacing w:after="200" w:before="100" w:line="340" w:lineRule="atLeast"/>
        <w:ind w:right="0" w:hanging="180" w:left="0"/>
        <w:jc w:val="center"/>
        <w:rPr>
          <w:b w:val="0"/>
          <w:bCs w:val="0"/>
        </w:rPr>
      </w:pPr>
      <w:r>
        <w:rPr>
          <w:rFonts w:ascii="Times New Roman" w:hAnsi="Times New Roman" w:eastAsia="Times New Roman" w:cs="Times New Roman"/>
          <w:b w:val="0"/>
          <w:bCs w:val="0"/>
          <w:i/>
          <w:color w:val="000000"/>
          <w:spacing w:val="-6"/>
          <w:sz w:val="24"/>
        </w:rPr>
        <w:t xml:space="preserve">(Kèm theo Chứng thư thẩm định giá số: 275/2026/1095/VFI-CT.39.A ngày 21 tháng 7 năm 2026)</w:t>
      </w:r>
      <w:r>
        <w:rPr>
          <w:b w:val="0"/>
          <w:bCs w:val="0"/>
        </w:rPr>
      </w:r>
      <w:r>
        <w:rPr>
          <w:b w:val="0"/>
          <w:bCs w:val="0"/>
        </w:rPr>
      </w:r>
    </w:p>
    <w:p>
      <w:pPr>
        <w:pStyle w:val="102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4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gridCol w:w="5"/>
      </w:tblGrid>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1530"/>
              </w:tabs>
              <w:spacing/>
              <w:ind w:right="0" w:firstLine="0" w:left="0"/>
              <w:rPr/>
            </w:pPr>
            <w:r>
              <w:rPr>
                <w:rFonts w:ascii="Times New Roman" w:hAnsi="Times New Roman" w:eastAsia="Times New Roman" w:cs="Times New Roman"/>
                <w:b/>
                <w:color w:val="000000"/>
                <w:sz w:val="24"/>
              </w:rPr>
              <w:t xml:space="preserve">CÔNG TY TNHH AGRI VINA</w:t>
            </w:r>
            <w:r/>
          </w:p>
        </w:tc>
        <w:tc>
          <w:tcPr>
            <w:tcBorders/>
            <w:tcMar>
              <w:left w:w="0" w:type="dxa"/>
              <w:top w:w="0" w:type="dxa"/>
              <w:right w:w="0" w:type="dxa"/>
              <w:bottom w:w="0" w:type="dxa"/>
            </w:tcMar>
            <w:tcW w:w="5" w:type="dxa"/>
            <w:vAlign w:val="center"/>
            <w:textDirection w:val="lrTb"/>
            <w:noWrap w:val="false"/>
          </w:tcPr>
          <w:p>
            <w:pPr>
              <w:pBdr/>
              <w:spacing w:after="0" w:before="0" w:line="240" w:lineRule="auto"/>
              <w:ind/>
              <w:rPr/>
            </w:pPr>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MST</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2500735895</w:t>
            </w:r>
            <w:r/>
          </w:p>
        </w:tc>
        <w:tc>
          <w:tcPr>
            <w:tcBorders/>
            <w:tcMar>
              <w:left w:w="0" w:type="dxa"/>
              <w:top w:w="0" w:type="dxa"/>
              <w:right w:w="0" w:type="dxa"/>
              <w:bottom w:w="0" w:type="dxa"/>
            </w:tcMar>
            <w:tcW w:w="5" w:type="dxa"/>
            <w:vAlign w:val="center"/>
            <w:textDirection w:val="lrTb"/>
            <w:noWrap w:val="false"/>
          </w:tcPr>
          <w:p>
            <w:pPr>
              <w:pBdr/>
              <w:spacing w:after="0" w:before="0" w:line="240" w:lineRule="auto"/>
              <w:ind/>
              <w:rPr/>
            </w:pPr>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TDP Bắc Cường, xã Thổ Tang, tỉnh Phú Thọ, Việt Nsm</w:t>
            </w:r>
            <w:r/>
          </w:p>
        </w:tc>
        <w:tc>
          <w:tcPr>
            <w:tcBorders/>
            <w:tcMar>
              <w:left w:w="0" w:type="dxa"/>
              <w:top w:w="0" w:type="dxa"/>
              <w:right w:w="0" w:type="dxa"/>
              <w:bottom w:w="0" w:type="dxa"/>
            </w:tcMar>
            <w:tcW w:w="5" w:type="dxa"/>
            <w:vAlign w:val="center"/>
            <w:textDirection w:val="lrTb"/>
            <w:noWrap w:val="false"/>
          </w:tcPr>
          <w:p>
            <w:pPr>
              <w:pBdr/>
              <w:spacing w:after="0" w:before="0" w:line="240" w:lineRule="auto"/>
              <w:ind/>
              <w:rPr/>
            </w:pPr>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Đại diện</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Ông Đỗ Thanh Tùng</w:t>
            </w:r>
            <w:r/>
          </w:p>
        </w:tc>
        <w:tc>
          <w:tcPr>
            <w:tcBorders/>
            <w:tcMar>
              <w:left w:w="0" w:type="dxa"/>
              <w:top w:w="0" w:type="dxa"/>
              <w:right w:w="0" w:type="dxa"/>
              <w:bottom w:w="0" w:type="dxa"/>
            </w:tcMar>
            <w:tcW w:w="5" w:type="dxa"/>
            <w:vAlign w:val="center"/>
            <w:textDirection w:val="lrTb"/>
            <w:noWrap w:val="false"/>
          </w:tcPr>
          <w:p>
            <w:pPr>
              <w:pBdr/>
              <w:spacing w:after="0" w:before="0" w:line="240" w:lineRule="auto"/>
              <w:ind/>
              <w:rPr/>
            </w:pPr>
            <w:r/>
            <w:r/>
          </w:p>
        </w:tc>
      </w:tr>
      <w:tr>
        <w:trPr>
          <w:trHeight w:val="20"/>
        </w:trPr>
        <w:tc>
          <w:tcPr>
            <w:tcBorders/>
            <w:tcW w:w="2518"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Chức vụ</w:t>
            </w:r>
            <w:r/>
          </w:p>
        </w:tc>
        <w:tc>
          <w:tcPr>
            <w:tcBorders/>
            <w:tcW w:w="284"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W w:w="694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z w:val="24"/>
              </w:rPr>
              <w:t xml:space="preserve">Giám đốc</w:t>
            </w:r>
            <w:r/>
          </w:p>
        </w:tc>
        <w:tc>
          <w:tcPr>
            <w:tcBorders/>
            <w:tcMar>
              <w:left w:w="0" w:type="dxa"/>
              <w:top w:w="0" w:type="dxa"/>
              <w:right w:w="0" w:type="dxa"/>
              <w:bottom w:w="0" w:type="dxa"/>
            </w:tcMar>
            <w:tcW w:w="5" w:type="dxa"/>
            <w:vAlign w:val="center"/>
            <w:textDirection w:val="lrTb"/>
            <w:noWrap w:val="false"/>
          </w:tcPr>
          <w:p>
            <w:pPr>
              <w:pBdr/>
              <w:spacing w:after="0" w:before="0" w:line="240" w:lineRule="auto"/>
              <w:ind/>
              <w:rPr/>
            </w:pPr>
            <w:r/>
            <w:r/>
          </w:p>
        </w:tc>
      </w:tr>
      <w:tr>
        <w:trPr>
          <w:trHeight w:val="20"/>
        </w:trPr>
        <w:tc>
          <w:tcPr>
            <w:tcBorders/>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Tài sản thẩm định giá</w:t>
            </w:r>
            <w:r/>
          </w:p>
        </w:tc>
        <w:tc>
          <w:tcPr>
            <w:tcBorders/>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Quyền sử dụng đất và tài sản gắn liền với đất tại thửa số:456, tờ bản đồ số: 35 đất có địa chỉ: Tổ 4, phường Phan Si Păng, thị xã Sa Pa, tỉnh Lào Cai (nay là Tổ 1, phường Sa Pa, tỉnh Lào Cai) theo Giấy chứng nhận quyền đất, quyền sở hữu nhà ở và tài sản kh</w:t>
            </w:r>
            <w:r>
              <w:rPr>
                <w:rFonts w:ascii="Times New Roman" w:hAnsi="Times New Roman" w:eastAsia="Times New Roman" w:cs="Times New Roman"/>
                <w:color w:val="000000"/>
                <w:sz w:val="24"/>
              </w:rPr>
              <w:t xml:space="preserve">ác gắn liền với đất  số: DL403907, số vào sổ cấp GCN: CN 00503 do Chi Nhánh Văn Phòng Đăng Ký Đất Đai Thị Xã Sa Pa  cấp ngày 04/12/2023; Chủ sử dụng đất là  Ông Đỗ Ngọc Tuấn và Bà đặng Thị Thúy</w:t>
            </w:r>
            <w:r>
              <w:rPr>
                <w:rFonts w:ascii="Times New Roman" w:hAnsi="Times New Roman" w:eastAsia="Times New Roman" w:cs="Times New Roman"/>
                <w:color w:val="000000"/>
                <w:spacing w:val="2"/>
                <w:sz w:val="24"/>
              </w:rPr>
              <w:t xml:space="preserve">.</w:t>
            </w:r>
            <w:r/>
          </w:p>
        </w:tc>
        <w:tc>
          <w:tcPr>
            <w:tcBorders/>
            <w:tcMar>
              <w:left w:w="0" w:type="dxa"/>
              <w:top w:w="0" w:type="dxa"/>
              <w:right w:w="0" w:type="dxa"/>
              <w:bottom w:w="0" w:type="dxa"/>
            </w:tcMar>
            <w:tcW w:w="5" w:type="dxa"/>
            <w:vAlign w:val="center"/>
            <w:textDirection w:val="lrTb"/>
            <w:noWrap w:val="false"/>
          </w:tcPr>
          <w:p>
            <w:pPr>
              <w:pBdr/>
              <w:spacing w:after="0" w:before="0" w:line="240" w:lineRule="auto"/>
              <w:ind/>
              <w:rPr/>
            </w:pPr>
            <w:r/>
            <w:r/>
          </w:p>
        </w:tc>
      </w:tr>
      <w:tr>
        <w:trPr>
          <w:gridAfter w:val="1"/>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4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gridAfter w:val="1"/>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4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gridAfter w:val="1"/>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4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07/2026</w:t>
            </w:r>
            <w:r>
              <w:rPr>
                <w:lang w:val="pt-BR"/>
              </w:rPr>
              <w:t xml:space="preserve">.</w:t>
            </w:r>
            <w:r>
              <w:rPr>
                <w:bCs/>
                <w:spacing w:val="-4"/>
                <w:lang w:val="pt-BR"/>
              </w:rPr>
            </w:r>
            <w:r>
              <w:rPr>
                <w:bCs/>
                <w:spacing w:val="-4"/>
                <w:lang w:val="pt-BR"/>
              </w:rPr>
            </w:r>
          </w:p>
        </w:tc>
      </w:tr>
      <w:tr>
        <w:trPr>
          <w:gridAfter w:val="1"/>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4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Phường Sa Pa, Tỉnh Lào Cai</w:t>
            </w:r>
            <w:r>
              <w:rPr>
                <w:color w:val="ee0000"/>
                <w:lang w:val="pt-BR"/>
              </w:rPr>
            </w:r>
            <w:r>
              <w:rPr>
                <w:color w:val="ee0000"/>
                <w:lang w:val="pt-BR"/>
              </w:rPr>
            </w:r>
          </w:p>
        </w:tc>
      </w:tr>
      <w:tr>
        <w:trPr>
          <w:gridAfter w:val="1"/>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4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2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(22.336175, 103.8366)</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gridAfter w:val="1"/>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4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07/2026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4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4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4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4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4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45"/>
        <w:pBdr/>
        <w:tabs>
          <w:tab w:val="left" w:leader="none" w:pos="993"/>
        </w:tabs>
        <w:spacing w:after="120" w:before="120" w:line="276" w:lineRule="auto"/>
        <w:ind w:left="0"/>
        <w:jc w:val="both"/>
        <w:rPr>
          <w:lang w:val="pt-BR"/>
        </w:rPr>
      </w:pPr>
      <w:r>
        <w:rPr>
          <w:bCs/>
          <w:color w:val="000000" w:themeColor="text1"/>
          <w:lang w:val="pt-BR"/>
        </w:rPr>
        <w:t xml:space="preserve">-  </w:t>
      </w:r>
      <w:r>
        <w:rPr>
          <w:b/>
          <w:color w:val="000000" w:themeColor="text1"/>
          <w:lang w:val="pt-BR"/>
        </w:rPr>
        <w:t xml:space="preserve"> </w:t>
      </w:r>
      <w:r>
        <w:rPr>
          <w:lang w:val="pt-BR"/>
        </w:rPr>
        <w:t xml:space="preserve">Luật Giá số 16/2023/QH15 ngày 19/6/2023;</w:t>
      </w:r>
      <w:r>
        <w:rPr>
          <w:lang w:val="pt-BR"/>
        </w:rPr>
      </w:r>
      <w:r>
        <w:rPr>
          <w:lang w:val="pt-BR"/>
        </w:rPr>
      </w:r>
    </w:p>
    <w:p>
      <w:pPr>
        <w:pStyle w:val="104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4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4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4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4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4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4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4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4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4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4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4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4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4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4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4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45"/>
        <w:numPr>
          <w:ilvl w:val="0"/>
          <w:numId w:val="1"/>
        </w:numPr>
        <w:pBdr/>
        <w:spacing w:after="120" w:before="120" w:line="276" w:lineRule="auto"/>
        <w:ind/>
        <w:jc w:val="both"/>
        <w:rPr>
          <w:bCs/>
          <w:spacing w:val="-4"/>
          <w:lang w:val="pt-BR"/>
        </w:rPr>
      </w:pPr>
      <w:r>
        <w:rPr>
          <w:bCs/>
          <w:spacing w:val="-4"/>
          <w:lang w:val="pt-BR"/>
        </w:rPr>
        <w:t xml:space="preserve">Quyết định số 4</w:t>
      </w:r>
      <w:r>
        <w:rPr>
          <w:bCs/>
          <w:spacing w:val="-4"/>
          <w:lang w:val="pt-BR"/>
        </w:rPr>
        <w:t xml:space="preserve">25</w:t>
      </w:r>
      <w:r>
        <w:rPr>
          <w:bCs/>
          <w:spacing w:val="-4"/>
          <w:lang w:val="pt-BR"/>
        </w:rPr>
        <w:t xml:space="preserve">/QĐ-BXD ngày </w:t>
      </w:r>
      <w:r>
        <w:rPr>
          <w:bCs/>
          <w:spacing w:val="-4"/>
          <w:lang w:val="pt-BR"/>
        </w:rPr>
        <w:t xml:space="preserve">2530/</w:t>
      </w:r>
      <w:r>
        <w:rPr>
          <w:bCs/>
          <w:spacing w:val="-4"/>
          <w:lang w:val="pt-BR"/>
        </w:rPr>
        <w:t xml:space="preserve">03/</w:t>
      </w:r>
      <w:r>
        <w:rPr>
          <w:bCs/>
          <w:spacing w:val="-4"/>
          <w:lang w:val="pt-BR"/>
        </w:rPr>
        <w:t xml:space="preserve">2026 </w:t>
      </w:r>
      <w:r>
        <w:rPr>
          <w:bCs/>
          <w:spacing w:val="-4"/>
          <w:lang w:val="pt-BR"/>
        </w:rPr>
        <w:t xml:space="preserve"> của Bộ Xây dựng về việc Công bố suất vốn đầu tư xây dựng công trình và giá xây dựng tổng hợp bộ phận kết cấu công trình năm 202</w:t>
      </w:r>
      <w:r>
        <w:rPr>
          <w:bCs/>
          <w:spacing w:val="-4"/>
          <w:lang w:val="pt-BR"/>
        </w:rPr>
        <w:t xml:space="preserve">5</w:t>
      </w:r>
      <w:r>
        <w:rPr>
          <w:bCs/>
          <w:spacing w:val="-4"/>
          <w:lang w:val="pt-BR"/>
        </w:rPr>
        <w:t xml:space="preserve">;</w:t>
      </w:r>
      <w:r>
        <w:rPr>
          <w:bCs/>
          <w:spacing w:val="-4"/>
          <w:lang w:val="pt-BR"/>
        </w:rPr>
      </w:r>
      <w:r>
        <w:rPr>
          <w:bCs/>
          <w:spacing w:val="-4"/>
          <w:lang w:val="pt-BR"/>
        </w:rPr>
      </w:r>
    </w:p>
    <w:p>
      <w:pPr>
        <w:pStyle w:val="104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4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4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4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chứng nhận quyền đất, quyền sở hữu nhà ở và tài sản khác gắn liền với đất số: DL 403907, số vào sổ cấp GCN: CN 00503 do Chi Nhánh Văn Phòng Đăng Ký Đất Đai Thị Xã Sa Pa cấp ngày 04/12/2023; Chủ sử dụng đất là Ông Đỗ Ngọc Tuấn và Bà đặng Thị Thúy.</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b. Hồ sơ khác:</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Hợp đồng số 275/2026/1095/VFI-HĐTĐ.39. A ngày 20/07/2026 giữa Công ty TNHH agri Vína với Công ty Cổ phần Thẩm định và Đầu tư Tài chính Hoa Sen.</w:t>
      </w:r>
      <w:r/>
    </w:p>
    <w:p>
      <w:pPr>
        <w:numPr>
          <w:ilvl w:val="0"/>
          <w:numId w:val="39"/>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Hồ sơ, tài liệu, chứng từ liên quan đến tài sản thẩm định giá.</w:t>
      </w:r>
      <w:r>
        <w:rPr>
          <w:rFonts w:ascii="Times New Roman" w:hAnsi="Times New Roman" w:eastAsia="Times New Roman" w:cs="Times New Roman"/>
          <w:sz w:val="24"/>
        </w:rPr>
      </w: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Nhận định ngắn gọn là: thị trường có giao dịch nhưng phân hóa sâu. Nhà ở phục vụ cư dân đô thị, mặt bằng có khách thuê thật, cơ sở lưu trú đang vận hành và tài sản pháp lý rõ vẫn có nhóm người mua riêng. Ngược lại, đất diện tích lớn ở vùng cao, đất nông ng</w:t>
      </w:r>
      <w:r>
        <w:rPr>
          <w:rFonts w:ascii="Times New Roman" w:hAnsi="Times New Roman" w:eastAsia="Times New Roman" w:cs="Times New Roman"/>
          <w:color w:val="000000"/>
          <w:sz w:val="24"/>
        </w:rPr>
        <w:t xml:space="preserve">hiệp được quảng cáo theo câu chuyện chuyển đổi hoặc những lô chỉ tăng giá nhờ tin dự án thường có thời gian bán dài hơn.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Có thể chia thị trường nhà đất Lào Cai thành bốn lớp nhu cầu:</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Ở thực và tích lũy dài hạn: nhà, đất ở tại các khu dân cư có trường học, chợ, y tế, giao thông và hạ tầng kỹ thuật ổn định.</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Kinh doanh đô thị và biên mậu: nhà phố, mặt bằng, kho bãi, nơi lưu trú cho lái xe, chuyên gia hoặc lao động quanh khu cửa khẩu và các trục thương mại.</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Du lịch và lưu trú: khách sạn, homestay, villa, quỹ đất có thể phát triển sản phẩm trải nghiệm tại Sa Pa, Bắc Hà, Y Tý, Nghĩa Lộ, Mù Cang Chải và một số vùng cảnh quan.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Đầu tư theo hạ tầng: đất quanh cao tốc, đường kết nối, ga đường sắt, khu công nghiệp hoặc dự án sân bay. Đây là nhóm cần kỷ luật nhất vì khoảng cách giữa quy hoạch, khởi công, hoàn thành và khai thác thực tế có thể kéo dài.</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Không có một “giá Lào Cai” dùng chung. Ngay trong một xã hoặc phường, hai tài sản cùng diện tích có thể chênh đáng kể vì mục đích sử dụng đất, chiều rộng đường, độ dốc, khả năng đỗ ô tô, hệ thống thoát nước, mặt tiền, tầm nhìn và khả năng xây dựng. Người m</w:t>
      </w:r>
      <w:r>
        <w:rPr>
          <w:rFonts w:ascii="Times New Roman" w:hAnsi="Times New Roman" w:eastAsia="Times New Roman" w:cs="Times New Roman"/>
          <w:color w:val="000000"/>
          <w:sz w:val="24"/>
        </w:rPr>
        <w:t xml:space="preserve">ua nên xem giá theo từng vi vị trí và ưu tiên bằng chứng giao dịch có thể kiểm tra thay vì bảng giá truyền miệng.</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Khu trung tâm Sa Pa có lợi thế về lượng khách, thương hiệu điểm đến, khả năng đi bộ và hệ sinh thái ăn uống - mua sắm. Nhà phố, khách sạn nhỏ và mặt bằng có thể tạo dòng tiền nếu nằm đúng tuyến khách di chuyển. Đổi lại, giá đầu vào thường cao, cạnh tranh l</w:t>
      </w:r>
      <w:r>
        <w:rPr>
          <w:rFonts w:ascii="Times New Roman" w:hAnsi="Times New Roman" w:eastAsia="Times New Roman" w:cs="Times New Roman"/>
          <w:color w:val="000000"/>
          <w:sz w:val="24"/>
        </w:rPr>
        <w:t xml:space="preserve">ưu trú mạnh, chi phí cải tạo và nhân sự không nhỏ. Trước khi mua một khách sạn đang hoạt động, cần kiểm tra doanh thu qua phần mềm hoặc tài khoản nhận tiền, đánh giá trên các nền tảng đặt phòng, giấy phép liên quan, hồ sơ phòng cháy và tình trạng công trìn</w:t>
      </w:r>
      <w:r>
        <w:rPr>
          <w:rFonts w:ascii="Times New Roman" w:hAnsi="Times New Roman" w:eastAsia="Times New Roman" w:cs="Times New Roman"/>
          <w:color w:val="000000"/>
          <w:sz w:val="24"/>
        </w:rPr>
        <w:t xml:space="preserve">h; không chỉ nhìn số phòng và giá chào.</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Các thung lũng và bản du lịch như Tả Van, Mường Hoa, Hầu Thào, Tả Phìn hấp dẫn nhờ cảnh quan, văn hóa bản địa và mô hình nghỉ chậm. Đây là nơi người mua thường gặp rủi ro lớn nhất về loại đất và hạ tầng. Nhiều thửa có phần lớn là đất nông nghiệp; đường vào</w:t>
      </w:r>
      <w:r>
        <w:rPr>
          <w:rFonts w:ascii="Times New Roman" w:hAnsi="Times New Roman" w:eastAsia="Times New Roman" w:cs="Times New Roman"/>
          <w:color w:val="000000"/>
          <w:sz w:val="24"/>
        </w:rPr>
        <w:t xml:space="preserve"> có thể là đường dùng chung hoặc chỉ thuận lợi vào mùa khô; điện, nước sạch, internet, thu gom rác và xử lý nước thải không đồng đều. Có view không có nghĩa được xây công trình lưu trú với quy mô mong muốn.</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Các hướng Ô Quy Hồ, Ngũ Chỉ Sơn và trục kết nối ra ngoài trung tâm có thể phù hợp với sản phẩm nghỉ dưỡng riêng tư hoặc điểm dừng chân nếu giao thông, an toàn taluy và pháp lý đáp ứng. Người khảo sát cần đi cả lúc trời mưa, kiểm tra sương mù, bán kính cua,</w:t>
      </w:r>
      <w:r>
        <w:rPr>
          <w:rFonts w:ascii="Times New Roman" w:hAnsi="Times New Roman" w:eastAsia="Times New Roman" w:cs="Times New Roman"/>
          <w:color w:val="000000"/>
          <w:sz w:val="24"/>
        </w:rPr>
        <w:t xml:space="preserve"> khả năng xe 16-29 chỗ tiếp cận, nguy cơ sạt lở và chi phí gia cố nền. Ở địa hình núi, vài trăm mét đường xấu có thể làm thay đổi hoàn toàn hiệu quả khai thác.</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both"/>
        <w:rPr/>
      </w:pPr>
      <w:r>
        <w:rPr>
          <w:rFonts w:ascii="Times New Roman" w:hAnsi="Times New Roman" w:eastAsia="Times New Roman" w:cs="Times New Roman"/>
          <w:color w:val="000000"/>
          <w:sz w:val="24"/>
        </w:rPr>
        <w:t xml:space="preserve">Nhìn chung, bất động sản Sa Pa năm 2026 phù hợp với người hiểu vận hành du lịch hoặc có đội ngũ khai thác. Nếu mục tiêu chỉ là giữ đất, nên ưu tiên tài sản có pháp lý rõ, tiếp cận bốn mùa và khả năng sử dụng độc lập với tiến độ của một dự án khác. </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i/>
          <w:color w:val="000000"/>
          <w:sz w:val="24"/>
        </w:rPr>
        <w:t xml:space="preserve">(nguồn tham khảo: https://laocaiview.vn/tin-tuc/tong-quan-ve-thi-truong-bat-dong-san-lao-cai-nam-2026)</w:t>
      </w:r>
      <w:r>
        <w:rPr>
          <w:rFonts w:ascii="Times New Roman" w:hAnsi="Times New Roman" w:eastAsia="Times New Roman" w:cs="Times New Roman"/>
          <w:sz w:val="24"/>
        </w:rPr>
      </w:r>
      <w:r/>
    </w:p>
    <w:p>
      <w:pPr>
        <w:pStyle w:val="104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r>
            <w:r>
              <w:rPr>
                <w:rFonts w:ascii="Times New Roman" w:hAnsi="Times New Roman" w:eastAsia="Times New Roman" w:cs="Times New Roman"/>
                <w:b/>
                <w:color w:val="000000"/>
                <w:sz w:val="24"/>
              </w:rPr>
              <w:t xml:space="preserve">Quyền sử dụng đất và tài sản gắn liền với đất tại thửa số: 456, tờ bản đồ số: 35 đất có địa chỉ: Tổ 4, phường Phan Si Păng, thị xã Sa Pa, tỉnh Lào Cai (nay là Tổ 1, phường Sa Pa, tỉnh Lào Cai) theo Giấy chứng nhận quyền đất, quyền sở hữu nhà ở và tài sản k</w:t>
            </w:r>
            <w:r>
              <w:rPr>
                <w:rFonts w:ascii="Times New Roman" w:hAnsi="Times New Roman" w:eastAsia="Times New Roman" w:cs="Times New Roman"/>
                <w:b/>
                <w:color w:val="000000"/>
                <w:sz w:val="24"/>
              </w:rPr>
              <w:t xml:space="preserve">hác gắn liền với đất  số: DL403907, số vào sổ cấp GCN: CN 00503 do Chi Nhánh Văn Phòng Đăng Ký Đất Đai Thị Xã Sa Pa  cấp ngày 04/12/2023; Chủ sử dụng đất là  Ông Đỗ Ngọc Tuấn và Bà đặng Thị Thúy.</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456</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35</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rFonts w:ascii="Times New Roman" w:hAnsi="Times New Roman" w:eastAsia="Times New Roman" w:cs="Times New Roman"/>
                <w:b w:val="0"/>
                <w:bCs w:val="0"/>
                <w:color w:val="000000"/>
                <w:sz w:val="24"/>
              </w:rPr>
              <w:t xml:space="preserve">Tổ 4, phường Phan Si Păng, thị xã Sa Pa, tỉnh Lào Cai (nay là Tổ 1, phường Sa Pa, tỉnh Lào Cai)</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300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 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Được tặng cho đất được Nhà nước giao đất có thu tiền sử dụng 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pP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Tổ thâm định cũng không thu thập được thêm bất cứ hồ sơ nào liên quan đến thông tin quy hoạch của thửa đất. </w:t>
            </w:r>
            <w:r>
              <w:rPr>
                <w:rFonts w:ascii="Times New Roman" w:hAnsi="Times New Roman" w:eastAsia="Times New Roman" w:cs="Times New Roman"/>
                <w:color w:val="000000"/>
                <w:sz w:val="24"/>
              </w:rPr>
              <w:t xml:space="preserve"> Tổ thẩm định giả định thửa đất phù hợp quy hoạch đất ở.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sz w:val="24"/>
              </w:rPr>
              <w:t xml:space="preserve"> nhận rõ tình trạng quy hoạch thì kết quả thẩm định giá cần được xem xét, điều chỉnh phù hợp, đồng thời chúng tôi bảo lưu quyền xem xét lại kết quả thẩm định giá.</w:t>
            </w:r>
            <w:r>
              <w:rPr>
                <w:rFonts w:ascii="Times New Roman" w:hAnsi="Times New Roman" w:eastAsia="Times New Roman" w:cs="Times New Roman"/>
                <w:color w:val="000000"/>
                <w:sz w:val="24"/>
              </w:rPr>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bê tông</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2 mặt ngõ</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 (m):</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cách trục đường Nguyễn Chí Thanh 60m</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 </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Đông Nam: Tiếp giáp đường bê tông khoảng 4m</w:t>
              <w:br/>
              <w:t xml:space="preserve">Các hướng khác: Tiếp giáp các thửa đất khác.</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(22.336175, 103.8366)</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r>
            <w:r>
              <mc:AlternateContent>
                <mc:Choice Requires="wpg">
                  <w:drawing>
                    <wp:inline xmlns:wp="http://schemas.openxmlformats.org/drawingml/2006/wordprocessingDrawing" distT="0" distB="0" distL="0" distR="0">
                      <wp:extent cx="5185467" cy="2575743"/>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854161" name=""/>
                              <pic:cNvPicPr>
                                <a:picLocks noChangeAspect="1"/>
                              </pic:cNvPicPr>
                              <pic:nvPr/>
                            </pic:nvPicPr>
                            <pic:blipFill rotWithShape="1">
                              <a:blip r:embed="rId18"/>
                              <a:stretch/>
                            </pic:blipFill>
                            <pic:spPr bwMode="auto">
                              <a:xfrm flipH="0" flipV="0">
                                <a:off x="0" y="0"/>
                                <a:ext cx="5185467" cy="25757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08.30pt;height:202.81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300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22,19</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18,33</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Thóp hậu</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Đông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Cao/đông đúc</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Cao</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Khá</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Tại thời điểm khảo sát dưới sự hướng dẫn của khách hàng, CTXD gắn liền với đất là nhà 2 tầng. Tổng diện tích sàn xây dựng là 251,9m2; trong đó: diện tích xây dựng</w:t>
            </w:r>
            <w:r/>
          </w:p>
          <w:p>
            <w:pPr>
              <w:pBdr/>
              <w:spacing/>
              <w:ind/>
              <w:jc w:val="both"/>
              <w:rPr>
                <w:color w:val="000000"/>
              </w:rPr>
            </w:pPr>
            <w:r>
              <w:rPr>
                <w:rFonts w:ascii="Times New Roman" w:hAnsi="Times New Roman" w:eastAsia="Times New Roman" w:cs="Times New Roman"/>
                <w:color w:val="000000"/>
                <w:sz w:val="24"/>
              </w:rPr>
              <w:t xml:space="preserve">tầng 1 là 126,9m2; diện tích xây dựng tầng 2 là 125m2. Xây dựng năm 2025</w:t>
              <w:br/>
              <w:t xml:space="preserve"> + Công trình đã cấp giấy phép xây dựng trên GPXD số 6/GPXD (dành cho nhà ở riêng lẻ) ngày 16/01/2025.</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49"/>
        <w:jc w:val="center"/>
        <w:tblW w:w="0" w:type="auto"/>
        <w:tblBorders/>
        <w:tblLayout w:type="fixed"/>
        <w:tblLook w:val="04A0" w:firstRow="1" w:lastRow="0" w:firstColumn="1" w:lastColumn="0" w:noHBand="0" w:noVBand="1"/>
      </w:tblPr>
      <w:tblGrid>
        <w:gridCol w:w="1167"/>
        <w:gridCol w:w="1697"/>
        <w:gridCol w:w="1697"/>
        <w:gridCol w:w="1697"/>
        <w:gridCol w:w="1276"/>
        <w:gridCol w:w="1980"/>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97"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697"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97"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276"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1980"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97" w:type="dxa"/>
            <w:vAlign w:val="center"/>
            <w:textDirection w:val="lrTb"/>
            <w:noWrap w:val="false"/>
          </w:tcPr>
          <w:p>
            <w:pPr>
              <w:pBdr/>
              <w:spacing/>
              <w:ind/>
              <w:jc w:val="center"/>
              <w:rPr/>
            </w:pPr>
            <w:r>
              <w:t xml:space="preserve">Địa chỉ trên sổ</w:t>
            </w:r>
            <w:r/>
          </w:p>
        </w:tc>
        <w:tc>
          <w:tcPr>
            <w:tcBorders/>
            <w:tcW w:w="1697" w:type="dxa"/>
            <w:vAlign w:val="center"/>
            <w:textDirection w:val="lrTb"/>
            <w:noWrap w:val="false"/>
          </w:tcPr>
          <w:p>
            <w:pPr>
              <w:pBdr/>
              <w:spacing/>
              <w:ind/>
              <w:jc w:val="center"/>
              <w:rPr/>
            </w:pPr>
            <w:r>
              <w:t xml:space="preserve">Tổ 4 Phường Phan Si Păng Thị Xã Sapa</w:t>
            </w:r>
            <w:r/>
          </w:p>
        </w:tc>
        <w:tc>
          <w:tcPr>
            <w:tcBorders/>
            <w:tcW w:w="1697" w:type="dxa"/>
            <w:vAlign w:val="center"/>
            <w:textDirection w:val="lrTb"/>
            <w:noWrap w:val="false"/>
          </w:tcPr>
          <w:p>
            <w:pPr>
              <w:pBdr/>
              <w:spacing/>
              <w:ind/>
              <w:jc w:val="center"/>
              <w:rPr/>
            </w:pPr>
            <w:r>
              <w:rPr>
                <w:rFonts w:ascii="Times New Roman" w:hAnsi="Times New Roman" w:eastAsia="Times New Roman" w:cs="Times New Roman"/>
                <w:b w:val="0"/>
                <w:bCs w:val="0"/>
                <w:color w:val="000000"/>
                <w:sz w:val="24"/>
              </w:rPr>
              <w:t xml:space="preserve">Tổ 1, phường Sa Pa, tỉnh Lào Cai</w:t>
            </w:r>
            <w:r>
              <w:t xml:space="preserve"> ✔</w:t>
            </w:r>
            <w:r/>
          </w:p>
        </w:tc>
        <w:tc>
          <w:tcPr>
            <w:tcBorders/>
            <w:tcW w:w="1276" w:type="dxa"/>
            <w:vAlign w:val="center"/>
            <w:textDirection w:val="lrTb"/>
            <w:noWrap w:val="false"/>
          </w:tcPr>
          <w:p>
            <w:pPr>
              <w:pBdr/>
              <w:spacing/>
              <w:ind/>
              <w:jc w:val="center"/>
              <w:rPr/>
            </w:pPr>
            <w:r>
              <w:t xml:space="preserve">Có</w:t>
            </w:r>
            <w:r/>
          </w:p>
        </w:tc>
        <w:tc>
          <w:tcPr>
            <w:tcBorders/>
            <w:tcW w:w="1980" w:type="dxa"/>
            <w:vAlign w:val="center"/>
            <w:textDirection w:val="lrTb"/>
            <w:noWrap w:val="false"/>
          </w:tcPr>
          <w:p>
            <w:pPr>
              <w:pBdr/>
              <w:spacing/>
              <w:ind/>
              <w:jc w:val="center"/>
              <w:rPr/>
            </w:pPr>
            <w:r>
              <w:t xml:space="preserve">Thay đổi địa giới hành chính</w:t>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97" w:type="dxa"/>
            <w:vAlign w:val="center"/>
            <w:textDirection w:val="lrTb"/>
            <w:noWrap w:val="false"/>
          </w:tcPr>
          <w:p>
            <w:pPr>
              <w:pBdr/>
              <w:spacing/>
              <w:ind/>
              <w:jc w:val="center"/>
              <w:rPr/>
            </w:pPr>
            <w:r>
              <w:t xml:space="preserve">Pháp lý</w:t>
            </w:r>
            <w:r/>
          </w:p>
        </w:tc>
        <w:tc>
          <w:tcPr>
            <w:tcBorders/>
            <w:tcW w:w="1697"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97"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276" w:type="dxa"/>
            <w:vAlign w:val="center"/>
            <w:textDirection w:val="lrTb"/>
            <w:noWrap w:val="false"/>
          </w:tcPr>
          <w:p>
            <w:pPr>
              <w:pBdr/>
              <w:spacing/>
              <w:ind/>
              <w:jc w:val="center"/>
              <w:rPr/>
            </w:pPr>
            <w:r>
              <w:t xml:space="preserve">Không</w:t>
            </w:r>
            <w:r/>
          </w:p>
        </w:tc>
        <w:tc>
          <w:tcPr>
            <w:tcBorders/>
            <w:tcW w:w="1980"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97" w:type="dxa"/>
            <w:vAlign w:val="center"/>
            <w:textDirection w:val="lrTb"/>
            <w:noWrap w:val="false"/>
          </w:tcPr>
          <w:p>
            <w:pPr>
              <w:pBdr/>
              <w:spacing/>
              <w:ind/>
              <w:jc w:val="center"/>
              <w:rPr/>
            </w:pPr>
            <w:r>
              <w:t xml:space="preserve">Loại đất</w:t>
            </w:r>
            <w:r/>
          </w:p>
        </w:tc>
        <w:tc>
          <w:tcPr>
            <w:tcBorders/>
            <w:tcW w:w="1697" w:type="dxa"/>
            <w:vAlign w:val="center"/>
            <w:textDirection w:val="lrTb"/>
            <w:noWrap w:val="false"/>
          </w:tcPr>
          <w:p>
            <w:pPr>
              <w:pBdr/>
              <w:spacing/>
              <w:ind/>
              <w:jc w:val="center"/>
              <w:rPr/>
            </w:pPr>
            <w:r>
              <w:t xml:space="preserve">Đất ở tại đô thị</w:t>
            </w:r>
            <w:r/>
          </w:p>
        </w:tc>
        <w:tc>
          <w:tcPr>
            <w:tcBorders/>
            <w:tcW w:w="1697" w:type="dxa"/>
            <w:vAlign w:val="center"/>
            <w:textDirection w:val="lrTb"/>
            <w:noWrap w:val="false"/>
          </w:tcPr>
          <w:p>
            <w:pPr>
              <w:pBdr/>
              <w:spacing/>
              <w:ind/>
              <w:jc w:val="center"/>
              <w:rPr/>
            </w:pPr>
            <w:r>
              <w:t xml:space="preserve">Đất ở tại đô thị ✔</w:t>
            </w:r>
            <w:r/>
          </w:p>
        </w:tc>
        <w:tc>
          <w:tcPr>
            <w:tcBorders/>
            <w:tcW w:w="1276" w:type="dxa"/>
            <w:vAlign w:val="center"/>
            <w:textDirection w:val="lrTb"/>
            <w:noWrap w:val="false"/>
          </w:tcPr>
          <w:p>
            <w:pPr>
              <w:pBdr/>
              <w:spacing/>
              <w:ind/>
              <w:jc w:val="center"/>
              <w:rPr/>
            </w:pPr>
            <w:r>
              <w:t xml:space="preserve">Không</w:t>
            </w:r>
            <w:r/>
          </w:p>
        </w:tc>
        <w:tc>
          <w:tcPr>
            <w:tcBorders/>
            <w:tcW w:w="1980"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97" w:type="dxa"/>
            <w:vAlign w:val="center"/>
            <w:textDirection w:val="lrTb"/>
            <w:noWrap w:val="false"/>
          </w:tcPr>
          <w:p>
            <w:pPr>
              <w:pBdr/>
              <w:spacing/>
              <w:ind/>
              <w:jc w:val="center"/>
              <w:rPr/>
            </w:pPr>
            <w:r>
              <w:t xml:space="preserve">Thời hạn sử dụng</w:t>
            </w:r>
            <w:r/>
          </w:p>
        </w:tc>
        <w:tc>
          <w:tcPr>
            <w:tcBorders/>
            <w:tcW w:w="1697" w:type="dxa"/>
            <w:vAlign w:val="center"/>
            <w:textDirection w:val="lrTb"/>
            <w:noWrap w:val="false"/>
          </w:tcPr>
          <w:p>
            <w:pPr>
              <w:pBdr/>
              <w:spacing/>
              <w:ind/>
              <w:jc w:val="center"/>
              <w:rPr/>
            </w:pPr>
            <w:r>
              <w:t xml:space="preserve">Lâu dài</w:t>
            </w:r>
            <w:r/>
          </w:p>
        </w:tc>
        <w:tc>
          <w:tcPr>
            <w:tcBorders/>
            <w:tcW w:w="1697" w:type="dxa"/>
            <w:vAlign w:val="center"/>
            <w:textDirection w:val="lrTb"/>
            <w:noWrap w:val="false"/>
          </w:tcPr>
          <w:p>
            <w:pPr>
              <w:pBdr/>
              <w:spacing/>
              <w:ind/>
              <w:jc w:val="center"/>
              <w:rPr/>
            </w:pPr>
            <w:r>
              <w:t xml:space="preserve">Lâu dài ✔</w:t>
            </w:r>
            <w:r/>
          </w:p>
        </w:tc>
        <w:tc>
          <w:tcPr>
            <w:tcBorders/>
            <w:tcW w:w="1276" w:type="dxa"/>
            <w:vAlign w:val="center"/>
            <w:textDirection w:val="lrTb"/>
            <w:noWrap w:val="false"/>
          </w:tcPr>
          <w:p>
            <w:pPr>
              <w:pBdr/>
              <w:spacing/>
              <w:ind/>
              <w:jc w:val="center"/>
              <w:rPr/>
            </w:pPr>
            <w:r>
              <w:t xml:space="preserve">Không</w:t>
            </w:r>
            <w:r/>
          </w:p>
        </w:tc>
        <w:tc>
          <w:tcPr>
            <w:tcBorders/>
            <w:tcW w:w="1980"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97" w:type="dxa"/>
            <w:vAlign w:val="center"/>
            <w:textDirection w:val="lrTb"/>
            <w:noWrap w:val="false"/>
          </w:tcPr>
          <w:p>
            <w:pPr>
              <w:pBdr/>
              <w:spacing/>
              <w:ind/>
              <w:jc w:val="center"/>
              <w:rPr/>
            </w:pPr>
            <w:r>
              <w:t xml:space="preserve">Diện tích</w:t>
            </w:r>
            <w:r/>
          </w:p>
        </w:tc>
        <w:tc>
          <w:tcPr>
            <w:tcBorders/>
            <w:tcW w:w="1697" w:type="dxa"/>
            <w:vAlign w:val="center"/>
            <w:textDirection w:val="lrTb"/>
            <w:noWrap w:val="false"/>
          </w:tcPr>
          <w:p>
            <w:pPr>
              <w:pBdr/>
              <w:spacing/>
              <w:ind/>
              <w:jc w:val="center"/>
              <w:rPr/>
            </w:pPr>
            <w:r>
              <w:t xml:space="preserve">300</w:t>
            </w:r>
            <w:r/>
          </w:p>
        </w:tc>
        <w:tc>
          <w:tcPr>
            <w:tcBorders/>
            <w:tcW w:w="1697" w:type="dxa"/>
            <w:vAlign w:val="center"/>
            <w:textDirection w:val="lrTb"/>
            <w:noWrap w:val="false"/>
          </w:tcPr>
          <w:p>
            <w:pPr>
              <w:pBdr/>
              <w:spacing/>
              <w:ind/>
              <w:jc w:val="center"/>
              <w:rPr/>
            </w:pPr>
            <w:r>
              <w:t xml:space="preserve">300 ✔</w:t>
            </w:r>
            <w:r/>
          </w:p>
        </w:tc>
        <w:tc>
          <w:tcPr>
            <w:tcBorders/>
            <w:tcW w:w="1276" w:type="dxa"/>
            <w:vAlign w:val="center"/>
            <w:textDirection w:val="lrTb"/>
            <w:noWrap w:val="false"/>
          </w:tcPr>
          <w:p>
            <w:pPr>
              <w:pBdr/>
              <w:spacing/>
              <w:ind/>
              <w:jc w:val="center"/>
              <w:rPr/>
            </w:pPr>
            <w:r>
              <w:t xml:space="preserve">0</w:t>
            </w:r>
            <w:r/>
          </w:p>
        </w:tc>
        <w:tc>
          <w:tcPr>
            <w:tcBorders/>
            <w:tcW w:w="1980"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97" w:type="dxa"/>
            <w:vAlign w:val="center"/>
            <w:textDirection w:val="lrTb"/>
            <w:noWrap w:val="false"/>
          </w:tcPr>
          <w:p>
            <w:pPr>
              <w:pBdr/>
              <w:spacing/>
              <w:ind/>
              <w:jc w:val="center"/>
              <w:rPr/>
            </w:pPr>
            <w:r>
              <w:t xml:space="preserve">Mặt tiền</w:t>
            </w:r>
            <w:r/>
          </w:p>
        </w:tc>
        <w:tc>
          <w:tcPr>
            <w:tcBorders/>
            <w:tcW w:w="1697" w:type="dxa"/>
            <w:vAlign w:val="center"/>
            <w:textDirection w:val="lrTb"/>
            <w:noWrap w:val="false"/>
          </w:tcPr>
          <w:p>
            <w:pPr>
              <w:pBdr/>
              <w:spacing/>
              <w:ind/>
              <w:jc w:val="center"/>
              <w:rPr/>
            </w:pPr>
            <w:r>
              <w:t xml:space="preserve">22,19</w:t>
            </w:r>
            <w:r/>
          </w:p>
        </w:tc>
        <w:tc>
          <w:tcPr>
            <w:tcBorders/>
            <w:tcW w:w="1697" w:type="dxa"/>
            <w:vAlign w:val="center"/>
            <w:textDirection w:val="lrTb"/>
            <w:noWrap w:val="false"/>
          </w:tcPr>
          <w:p>
            <w:pPr>
              <w:pBdr/>
              <w:spacing/>
              <w:ind/>
              <w:jc w:val="center"/>
              <w:rPr/>
            </w:pPr>
            <w:r>
              <w:t xml:space="preserve">22,19 ✔</w:t>
            </w:r>
            <w:r/>
          </w:p>
        </w:tc>
        <w:tc>
          <w:tcPr>
            <w:tcBorders/>
            <w:tcW w:w="1276" w:type="dxa"/>
            <w:vAlign w:val="center"/>
            <w:textDirection w:val="lrTb"/>
            <w:noWrap w:val="false"/>
          </w:tcPr>
          <w:p>
            <w:pPr>
              <w:pBdr/>
              <w:spacing/>
              <w:ind/>
              <w:jc w:val="center"/>
              <w:rPr/>
            </w:pPr>
            <w:r>
              <w:t xml:space="preserve">0</w:t>
            </w:r>
            <w:r/>
          </w:p>
        </w:tc>
        <w:tc>
          <w:tcPr>
            <w:tcBorders/>
            <w:tcW w:w="1980" w:type="dxa"/>
            <w:vAlign w:val="center"/>
            <w:textDirection w:val="lrTb"/>
            <w:noWrap w:val="false"/>
          </w:tcPr>
          <w:p>
            <w:pPr>
              <w:pBdr/>
              <w:spacing/>
              <w:ind/>
              <w:jc w:val="center"/>
              <w:rPr/>
            </w:pPr>
            <w:r/>
            <w:r/>
          </w:p>
        </w:tc>
      </w:tr>
      <w:tr>
        <w:trPr>
          <w:jc w:val="center"/>
          <w:trHeight w:val="338"/>
        </w:trPr>
        <w:tc>
          <w:tcPr>
            <w:tcBorders/>
            <w:tcW w:w="1167" w:type="dxa"/>
            <w:vAlign w:val="center"/>
            <w:textDirection w:val="lrTb"/>
            <w:noWrap w:val="false"/>
          </w:tcPr>
          <w:p>
            <w:pPr>
              <w:pBdr/>
              <w:spacing/>
              <w:ind/>
              <w:jc w:val="center"/>
              <w:rPr/>
            </w:pPr>
            <w:r>
              <w:t xml:space="preserve">7</w:t>
            </w:r>
            <w:r/>
          </w:p>
        </w:tc>
        <w:tc>
          <w:tcPr>
            <w:tcBorders/>
            <w:tcW w:w="1697" w:type="dxa"/>
            <w:vAlign w:val="center"/>
            <w:textDirection w:val="lrTb"/>
            <w:noWrap w:val="false"/>
          </w:tcPr>
          <w:p>
            <w:pPr>
              <w:pBdr/>
              <w:spacing/>
              <w:ind/>
              <w:jc w:val="center"/>
              <w:rPr/>
            </w:pPr>
            <w:r>
              <w:t xml:space="preserve">Chiều sâu</w:t>
            </w:r>
            <w:r/>
          </w:p>
        </w:tc>
        <w:tc>
          <w:tcPr>
            <w:tcBorders/>
            <w:tcW w:w="1697" w:type="dxa"/>
            <w:vAlign w:val="center"/>
            <w:textDirection w:val="lrTb"/>
            <w:noWrap w:val="false"/>
          </w:tcPr>
          <w:p>
            <w:pPr>
              <w:pBdr/>
              <w:spacing/>
              <w:ind/>
              <w:jc w:val="center"/>
              <w:rPr/>
            </w:pPr>
            <w:r>
              <w:t xml:space="preserve">18,33 </w:t>
            </w:r>
            <w:r/>
          </w:p>
        </w:tc>
        <w:tc>
          <w:tcPr>
            <w:tcBorders/>
            <w:tcW w:w="1697" w:type="dxa"/>
            <w:vAlign w:val="center"/>
            <w:textDirection w:val="lrTb"/>
            <w:noWrap w:val="false"/>
          </w:tcPr>
          <w:p>
            <w:pPr>
              <w:pBdr/>
              <w:spacing/>
              <w:ind/>
              <w:jc w:val="center"/>
              <w:rPr/>
            </w:pPr>
            <w:r>
              <w:t xml:space="preserve">18,33 ✔</w:t>
            </w:r>
            <w:r/>
          </w:p>
        </w:tc>
        <w:tc>
          <w:tcPr>
            <w:tcBorders/>
            <w:tcW w:w="1276" w:type="dxa"/>
            <w:vAlign w:val="center"/>
            <w:textDirection w:val="lrTb"/>
            <w:noWrap w:val="false"/>
          </w:tcPr>
          <w:p>
            <w:pPr>
              <w:pBdr/>
              <w:spacing/>
              <w:ind/>
              <w:jc w:val="center"/>
              <w:rPr/>
            </w:pPr>
            <w:r>
              <w:t xml:space="preserve">0</w:t>
            </w:r>
            <w:r/>
          </w:p>
        </w:tc>
        <w:tc>
          <w:tcPr>
            <w:tcBorders/>
            <w:tcW w:w="1980"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97" w:type="dxa"/>
            <w:vAlign w:val="center"/>
            <w:textDirection w:val="lrTb"/>
            <w:noWrap w:val="false"/>
          </w:tcPr>
          <w:p>
            <w:pPr>
              <w:pBdr/>
              <w:spacing/>
              <w:ind/>
              <w:jc w:val="center"/>
              <w:rPr/>
            </w:pPr>
            <w:r>
              <w:t xml:space="preserve">Mặt tiếp giáp</w:t>
            </w:r>
            <w:r/>
          </w:p>
        </w:tc>
        <w:tc>
          <w:tcPr>
            <w:tcBorders/>
            <w:tcW w:w="1697" w:type="dxa"/>
            <w:vAlign w:val="center"/>
            <w:textDirection w:val="lrTb"/>
            <w:noWrap w:val="false"/>
          </w:tcPr>
          <w:p>
            <w:pPr>
              <w:pBdr/>
              <w:spacing/>
              <w:ind/>
              <w:jc w:val="center"/>
              <w:rPr/>
            </w:pPr>
            <w:r>
              <w:t xml:space="preserve">Tiếp giáp 1 mặt ngõ</w:t>
            </w:r>
            <w:r/>
          </w:p>
        </w:tc>
        <w:tc>
          <w:tcPr>
            <w:tcBorders/>
            <w:tcW w:w="1697" w:type="dxa"/>
            <w:vAlign w:val="center"/>
            <w:textDirection w:val="lrTb"/>
            <w:noWrap w:val="false"/>
          </w:tcPr>
          <w:p>
            <w:pPr>
              <w:pBdr/>
              <w:spacing/>
              <w:ind/>
              <w:jc w:val="center"/>
              <w:rPr/>
            </w:pPr>
            <w:r>
              <w:t xml:space="preserve">Tiếp giáp 2 mặt ngõ ✔</w:t>
            </w:r>
            <w:r/>
          </w:p>
        </w:tc>
        <w:tc>
          <w:tcPr>
            <w:tcBorders/>
            <w:tcW w:w="1276" w:type="dxa"/>
            <w:vAlign w:val="center"/>
            <w:textDirection w:val="lrTb"/>
            <w:noWrap w:val="false"/>
          </w:tcPr>
          <w:p>
            <w:pPr>
              <w:pBdr/>
              <w:spacing/>
              <w:ind/>
              <w:jc w:val="center"/>
              <w:rPr/>
            </w:pPr>
            <w:r>
              <w:t xml:space="preserve">Có</w:t>
            </w:r>
            <w:r/>
          </w:p>
        </w:tc>
        <w:tc>
          <w:tcPr>
            <w:tcBorders/>
            <w:tcW w:w="1980" w:type="dxa"/>
            <w:vAlign w:val="center"/>
            <w:textDirection w:val="lrTb"/>
            <w:noWrap w:val="false"/>
          </w:tcPr>
          <w:p>
            <w:pPr>
              <w:pBdr/>
              <w:spacing/>
              <w:ind/>
              <w:jc w:val="center"/>
              <w:rPr/>
            </w:pPr>
            <w:r>
              <w:t xml:space="preserve">Một mặt ngõ mặt tiền hướng Tây Nam</w:t>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97" w:type="dxa"/>
            <w:vAlign w:val="center"/>
            <w:textDirection w:val="lrTb"/>
            <w:noWrap w:val="false"/>
          </w:tcPr>
          <w:p>
            <w:pPr>
              <w:pBdr/>
              <w:spacing/>
              <w:ind/>
              <w:jc w:val="center"/>
              <w:rPr/>
            </w:pPr>
            <w:r>
              <w:t xml:space="preserve">Hình dạng thửa đất</w:t>
            </w:r>
            <w:r/>
          </w:p>
        </w:tc>
        <w:tc>
          <w:tcPr>
            <w:tcBorders/>
            <w:tcW w:w="1697" w:type="dxa"/>
            <w:vAlign w:val="center"/>
            <w:textDirection w:val="lrTb"/>
            <w:noWrap w:val="false"/>
          </w:tcPr>
          <w:p>
            <w:pPr>
              <w:pBdr/>
              <w:spacing/>
              <w:ind/>
              <w:jc w:val="center"/>
              <w:rPr/>
            </w:pPr>
            <w:r>
              <w:t xml:space="preserve">Thóp hậu</w:t>
            </w:r>
            <w:r/>
          </w:p>
        </w:tc>
        <w:tc>
          <w:tcPr>
            <w:tcBorders/>
            <w:tcW w:w="1697" w:type="dxa"/>
            <w:vAlign w:val="center"/>
            <w:textDirection w:val="lrTb"/>
            <w:noWrap w:val="false"/>
          </w:tcPr>
          <w:p>
            <w:pPr>
              <w:pBdr/>
              <w:spacing/>
              <w:ind/>
              <w:jc w:val="center"/>
              <w:rPr/>
            </w:pPr>
            <w:r>
              <w:t xml:space="preserve">Thóp hậu ✔</w:t>
            </w:r>
            <w:r/>
          </w:p>
        </w:tc>
        <w:tc>
          <w:tcPr>
            <w:tcBorders/>
            <w:tcW w:w="1276" w:type="dxa"/>
            <w:vAlign w:val="center"/>
            <w:textDirection w:val="lrTb"/>
            <w:noWrap w:val="false"/>
          </w:tcPr>
          <w:p>
            <w:pPr>
              <w:pBdr/>
              <w:spacing/>
              <w:ind/>
              <w:jc w:val="center"/>
              <w:rPr/>
            </w:pPr>
            <w:r>
              <w:t xml:space="preserve">Không</w:t>
            </w:r>
            <w:r/>
          </w:p>
        </w:tc>
        <w:tc>
          <w:tcPr>
            <w:tcBorders/>
            <w:tcW w:w="1980"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97" w:type="dxa"/>
            <w:vAlign w:val="center"/>
            <w:textDirection w:val="lrTb"/>
            <w:noWrap w:val="false"/>
          </w:tcPr>
          <w:p>
            <w:pPr>
              <w:pBdr/>
              <w:spacing/>
              <w:ind/>
              <w:jc w:val="center"/>
              <w:rPr/>
            </w:pPr>
            <w:r>
              <w:t xml:space="preserve">Hướng</w:t>
            </w:r>
            <w:r/>
          </w:p>
        </w:tc>
        <w:tc>
          <w:tcPr>
            <w:tcBorders/>
            <w:tcW w:w="1697" w:type="dxa"/>
            <w:vAlign w:val="center"/>
            <w:textDirection w:val="lrTb"/>
            <w:noWrap w:val="false"/>
          </w:tcPr>
          <w:p>
            <w:pPr>
              <w:pBdr/>
              <w:spacing/>
              <w:ind/>
              <w:jc w:val="center"/>
              <w:rPr/>
            </w:pPr>
            <w:r>
              <w:t xml:space="preserve">Đông Nam</w:t>
            </w:r>
            <w:r/>
          </w:p>
        </w:tc>
        <w:tc>
          <w:tcPr>
            <w:tcBorders/>
            <w:tcW w:w="1697" w:type="dxa"/>
            <w:vAlign w:val="center"/>
            <w:textDirection w:val="lrTb"/>
            <w:noWrap w:val="false"/>
          </w:tcPr>
          <w:p>
            <w:pPr>
              <w:pBdr/>
              <w:spacing/>
              <w:ind/>
              <w:jc w:val="center"/>
              <w:rPr/>
            </w:pPr>
            <w:r>
              <w:t xml:space="preserve">Đông Nam ✔</w:t>
            </w:r>
            <w:r/>
          </w:p>
        </w:tc>
        <w:tc>
          <w:tcPr>
            <w:tcBorders/>
            <w:tcW w:w="1276" w:type="dxa"/>
            <w:vAlign w:val="center"/>
            <w:textDirection w:val="lrTb"/>
            <w:noWrap w:val="false"/>
          </w:tcPr>
          <w:p>
            <w:pPr>
              <w:pBdr/>
              <w:spacing/>
              <w:ind/>
              <w:jc w:val="center"/>
              <w:rPr/>
            </w:pPr>
            <w:r>
              <w:t xml:space="preserve">Không</w:t>
            </w:r>
            <w:r/>
          </w:p>
        </w:tc>
        <w:tc>
          <w:tcPr>
            <w:tcBorders/>
            <w:tcW w:w="1980" w:type="dxa"/>
            <w:vAlign w:val="center"/>
            <w:textDirection w:val="lrTb"/>
            <w:noWrap w:val="false"/>
          </w:tcPr>
          <w:p>
            <w:pPr>
              <w:pBdr/>
              <w:spacing/>
              <w:ind/>
              <w:jc w:val="center"/>
              <w:rPr/>
            </w:pPr>
            <w:r/>
            <w:r/>
          </w:p>
        </w:tc>
      </w:tr>
    </w:tbl>
    <w:p>
      <w:pPr>
        <w:pBdr/>
        <w:spacing/>
        <w:ind/>
        <w:rPr>
          <w:b/>
          <w:bCs/>
        </w:rPr>
      </w:pPr>
      <w:r>
        <w:rPr>
          <w:b/>
          <w:bCs/>
        </w:rPr>
      </w:r>
      <w:r>
        <w:rPr>
          <w:b/>
          <w:bCs/>
        </w:rPr>
      </w:r>
      <w:r>
        <w:rPr>
          <w:b/>
          <w:bCs/>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5415"/>
        <w:gridCol w:w="1559"/>
        <w:gridCol w:w="1985"/>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59"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985"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5415"/>
        <w:gridCol w:w="1559"/>
        <w:gridCol w:w="1985"/>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59"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985"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5415" w:type="dxa"/>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1985"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4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4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4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4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4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4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4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45"/>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45"/>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4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4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45"/>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4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4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4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4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Sa Pa, Tỉnh Lào Cai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Sa Pa, Tỉnh Lào Cai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Sa Pa, Tỉnh Lào Cai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Sa Pa, Tỉnh Lào Cai</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https://www.facebook.com/groups/151550731679939/permalink/3499821036852875/</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https://www.facebook.com/groups/151550731679939/permalink/3499821036852875/</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0969778163</w:t>
            </w:r>
            <w:r>
              <w:rPr>
                <w:sz w:val="22"/>
                <w:szCs w:val="22"/>
              </w:rPr>
              <w:t xml:space="preserve"> </w:t>
            </w:r>
            <w:r>
              <w:rPr>
                <w:sz w:val="22"/>
                <w:szCs w:val="22"/>
              </w:rPr>
              <w:br/>
              <w:t xml:space="preserve">(</w:t>
            </w:r>
            <w:r>
              <w:rPr>
                <w:sz w:val="22"/>
                <w:szCs w:val="22"/>
              </w:rPr>
              <w:t xml:space="preserve">em Toàn</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0945.809.120</w:t>
            </w:r>
            <w:r>
              <w:rPr>
                <w:sz w:val="22"/>
                <w:szCs w:val="22"/>
              </w:rPr>
              <w:br/>
            </w:r>
            <w:r>
              <w:rPr>
                <w:sz w:val="22"/>
                <w:szCs w:val="22"/>
              </w:rPr>
              <w:t xml:space="preserve">(</w:t>
            </w:r>
            <w:r>
              <w:rPr>
                <w:sz w:val="22"/>
                <w:szCs w:val="22"/>
              </w:rPr>
              <w:t xml:space="preserve">Vỹ</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SĐT: </w:t>
            </w:r>
            <w:r>
              <w:rPr>
                <w:color w:val="000000" w:themeColor="text1"/>
                <w:sz w:val="22"/>
                <w:szCs w:val="22"/>
              </w:rPr>
              <w:t xml:space="preserve">0325233123</w:t>
            </w:r>
            <w:r>
              <w:rPr>
                <w:sz w:val="22"/>
                <w:szCs w:val="22"/>
              </w:rPr>
              <w:br/>
            </w:r>
            <w:r>
              <w:rPr>
                <w:sz w:val="22"/>
                <w:szCs w:val="22"/>
              </w:rPr>
              <w:t xml:space="preserve">(</w:t>
            </w:r>
            <w:r>
              <w:rPr>
                <w:sz w:val="22"/>
                <w:szCs w:val="22"/>
              </w:rPr>
              <w:t xml:space="preserve">Sung Chang</w:t>
            </w:r>
            <w:r>
              <w:rPr>
                <w:sz w:val="22"/>
                <w:szCs w:val="22"/>
              </w:rPr>
              <w:t xml:space="preserve">)</w:t>
            </w:r>
            <w:r>
              <w:rPr>
                <w:sz w:val="22"/>
                <w:szCs w:val="22"/>
              </w:rPr>
            </w:r>
            <w:r>
              <w:rPr>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07/2026</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Phường Sa Pa, Tỉnh Lào Cai, khoảng cách ra đường Nguyễn Chí Thanh khoảng 60m và cách ngã ba Thác Bạc 140m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Phường Sa Pa, Tỉnh Lào Cai, khoảng cách ra đường chính ngã ba Thác Bạc khoảng 1km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Phường Sa Pa, Tỉnh Lào Cai, khoảng cách ra đường chính ngã ba Thác Bạc khoảng 500m,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Phường Sa Pa, Tỉnh Lào Cai, khoảng cách ra đường chính Cách đường điện biên phủ khoảng 130m. Cách nhà thờ đá khoảng 800m</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3,5</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136,3</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22,19</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10,05</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9,35</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Thóp hậu</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Diện tích được cấp theo GCN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Diện tích được cấp theo GCN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100m2 đất CLN kèm theo chưa có sổ</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Diện tích được cấp theo GCN</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8.800.000.000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4.650.000.000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6.800.000.000</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7.920.000.000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4.185.000.000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6.120.000.000</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trị đất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7.920.000.000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4.185.000.000</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6.120.000.000</w:t>
            </w:r>
            <w:r/>
          </w:p>
        </w:tc>
      </w:tr>
      <w:tr>
        <w:trPr>
          <w:trHeight w:val="0"/>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Đơn giá QSDĐ (đồng/m²)</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39.600.000</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39.857.143</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44.900.954</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Các thông tin khác</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dựa trên ba tài sản so sánh tương đồng với tài sản thẩm định giá, Tổ thẩm định phân tích các </w:t>
      </w:r>
      <w:r>
        <w:rPr>
          <w:lang w:val="it-IT"/>
        </w:rPr>
        <w:t xml:space="preserve">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4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7.920.000.000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4.185.000.000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6.120.000.000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39.600.000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39.857.143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44.900.954</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39.857.143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44.900.954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39.857.143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44.900.954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Lâu dài</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39.857.143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44.900.954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Phường Sa Pa, Tỉnh Lào Cai, khoảng cách ra đường Nguyễn Chí Thanh khoảng 60m và cách ngã ba Thác Bạc 140m</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Phường Sa Pa, Tỉnh Lào Cai, khoảng cách ra đường chính ngã ba Thác Bạc khoảng 1km</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Phường Sa Pa, Tỉnh Lào Cai, khoảng cách ra đường chính ngã ba Thác Bạc khoảng 500m,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Phường Sa Pa, Tỉnh Lào Cai, khỏag cách ra đường chính Điện Biên Phủ khoảng 130m và cách nhà thờ đá khoảng 800m</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-4.490.095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39.857.143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40.410.859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39.600.000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39.857.143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40.410.859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-3.168.000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1.347.029</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36.432.000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39.857.143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41.757.888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136,3</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-3.960.000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-6.775.714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-6.735.143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32.472.000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33.081.429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35.022.745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22,19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9,35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2.391.429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2.694.057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34.452.000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35.472.858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37.716.802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C.9</w:t>
            </w:r>
            <w:r/>
          </w:p>
          <w:p>
            <w:pPr>
              <w:pBdr/>
              <w:spacing/>
              <w:ind/>
              <w:rPr/>
            </w:pPr>
            <w:r/>
            <w:r/>
          </w:p>
          <w:p>
            <w:pPr>
              <w:pBdr/>
              <w:spacing/>
              <w:ind/>
              <w:rPr/>
            </w:pPr>
            <w:r/>
            <w:r/>
          </w:p>
          <w:p>
            <w:pPr>
              <w:pBdr/>
              <w:spacing/>
              <w:ind/>
              <w:rPr/>
            </w:pPr>
            <w: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2 mặt ngõ</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1.188.000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1.195.714</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1.347.029</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35.640.000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36.668.572</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39.063.831</w:t>
            </w:r>
            <w:r/>
          </w:p>
        </w:tc>
      </w:tr>
      <w:tr>
        <w:trPr>
          <w:trHeight w:val="20"/>
        </w:trPr>
        <w:tc>
          <w:tcPr>
            <w:shd w:val="clear" w:color="000000" w:fill="ffffff"/>
            <w:tcBorders/>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C.10</w:t>
            </w:r>
            <w:r/>
          </w:p>
          <w:p>
            <w:pPr>
              <w:pBdr/>
              <w:spacing/>
              <w:ind/>
              <w:rPr/>
            </w:pPr>
            <w:r/>
            <w:r/>
          </w:p>
          <w:p>
            <w:pPr>
              <w:pBdr/>
              <w:spacing/>
              <w:ind/>
              <w:rPr/>
            </w:pPr>
            <w:r/>
            <w:r/>
          </w:p>
          <w:p>
            <w:pPr>
              <w:pBdr/>
              <w:spacing/>
              <w:ind/>
              <w:rPr/>
            </w:pPr>
            <w: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Thóp hậu</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đối vuông vức</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-4.752.000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-4.782.857</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-5.388.114</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30.888.000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31.885.715</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33.675.717</w:t>
            </w:r>
            <w:r/>
          </w:p>
        </w:tc>
      </w:tr>
      <w:tr>
        <w:trPr>
          <w:trHeight w:val="20"/>
        </w:trPr>
        <w:tc>
          <w:tcPr>
            <w:shd w:val="clear" w:color="000000" w:fill="ffffff"/>
            <w:tcBorders/>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C.11</w:t>
            </w:r>
            <w:r/>
          </w:p>
          <w:p>
            <w:pPr>
              <w:pBdr/>
              <w:spacing/>
              <w:ind/>
              <w:rPr/>
            </w:pPr>
            <w:r/>
            <w:r/>
          </w:p>
          <w:p>
            <w:pPr>
              <w:pBdr/>
              <w:spacing/>
              <w:ind/>
              <w:rPr/>
            </w:pPr>
            <w: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Các thông tin khác</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Diện tích được cấp theo GCN</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Diện tích được cấp theo GCN</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Có 100m2 đất CLN kèm theo chưa có sổ</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Diện tích được cấp theo GCN</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000000" w:fill="ffffff"/>
            <w:tcBorders/>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-3.188.571</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000000" w:fill="ffffff"/>
            <w:tcBorders/>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30.888.000</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28.697.144</w:t>
            </w:r>
            <w:r/>
          </w:p>
        </w:tc>
        <w:tc>
          <w:tcPr>
            <w:shd w:val="clear" w:color="000000" w:fill="ffffff"/>
            <w:tcBorders/>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33.675.717</w:t>
            </w: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30.888.000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28.697.144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33.675.717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31.086.954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-0,64%</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-7,69%</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8,33%</w:t>
            </w: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15.048.000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18.334.285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22.001.467</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8.712.000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11.159.999</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11.225.237</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w:t>
      </w:r>
      <w:r>
        <w:t xml:space="preserve">-7,69</w:t>
      </w:r>
      <w:r>
        <w:t xml:space="preserve">% đến </w:t>
      </w:r>
      <w:r>
        <w:t xml:space="preserve">8,33</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30.888.000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10.298.059</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28.697.144</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9.564.758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33.675.717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11.224.116</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31.086.933</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31.000.000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31.000.000</w:t>
      </w:r>
      <w:r>
        <w:rPr>
          <w:b/>
          <w:bCs/>
          <w:color w:val="000000" w:themeColor="text1"/>
        </w:rPr>
        <w:t xml:space="preserve"> </w:t>
      </w:r>
      <w:r>
        <w:rPr>
          <w:b/>
          <w:bCs/>
        </w:rPr>
        <w:t xml:space="preserve">đồng/m².</w:t>
      </w:r>
      <w:r>
        <w:rPr>
          <w:b/>
          <w:bCs/>
        </w:rPr>
      </w:r>
      <w:r>
        <w:rPr>
          <w:b/>
          <w:bCs/>
        </w:rPr>
      </w:r>
    </w:p>
    <w:p>
      <w:pPr>
        <w:pStyle w:val="1045"/>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pStyle w:val="1045"/>
        <w:numPr>
          <w:ilvl w:val="0"/>
          <w:numId w:val="43"/>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đơn giá của công trình xây dựng</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color w:val="000000"/>
          <w:sz w:val="24"/>
          <w:highlight w:val="white"/>
        </w:rPr>
        <w:t xml:space="preserve">Qua tham khảo thị trường về đơn giá xây dựng mới đối với công trình Nhà 04 tầng, cân nhắc và xem xét với mức độ hoàn thiện của công trình xây dựng hiện có, Tổ thẩm định nhận thấy đơn giá vận dụng theo Quyết định số 425/QĐ-BXD ngày 30/3/2026 của Bộ Xây dựng</w:t>
      </w:r>
      <w:r>
        <w:rPr>
          <w:rFonts w:ascii="Times New Roman" w:hAnsi="Times New Roman" w:eastAsia="Times New Roman" w:cs="Times New Roman"/>
          <w:color w:val="000000"/>
          <w:sz w:val="24"/>
          <w:highlight w:val="white"/>
        </w:rPr>
        <w:t xml:space="preserve"> về việc Công bố suất vốn đầu tư xây dựng công trình và giá xây dựng tổng hợp bộ phận kết cấu công trình năm 2025 là khá phù hợp với thị trường, theo đó:</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i/>
          <w:color w:val="000000"/>
          <w:sz w:val="24"/>
          <w:highlight w:val="white"/>
        </w:rPr>
        <w:t xml:space="preserve">“Suất vốn đầu tư xây dựng Nhà từ 2 đến 3 tầng, kết cấu khung chịu lực BTCT; tường bao xây gạch; sàn, mái BTCT đổ tại chỗ, không có tầng hầm có đơn giá là </w:t>
      </w:r>
      <w:r>
        <w:rPr>
          <w:rFonts w:ascii="Times New Roman" w:hAnsi="Times New Roman" w:eastAsia="Times New Roman" w:cs="Times New Roman"/>
          <w:b/>
          <w:i/>
          <w:color w:val="000000"/>
          <w:sz w:val="24"/>
          <w:highlight w:val="white"/>
        </w:rPr>
        <w:t xml:space="preserve">8.370.000 </w:t>
      </w:r>
      <w:r>
        <w:rPr>
          <w:rFonts w:ascii="Times New Roman" w:hAnsi="Times New Roman" w:eastAsia="Times New Roman" w:cs="Times New Roman"/>
          <w:i/>
          <w:color w:val="000000"/>
          <w:sz w:val="24"/>
          <w:highlight w:val="white"/>
        </w:rPr>
        <w:t xml:space="preserve">đồng/m² sàn.”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12" w:lineRule="auto"/>
        <w:ind w:right="0" w:firstLine="426" w:left="0"/>
        <w:jc w:val="both"/>
        <w:rPr/>
      </w:pPr>
      <w:r>
        <w:rPr>
          <w:rFonts w:ascii="Times New Roman" w:hAnsi="Times New Roman" w:eastAsia="Times New Roman" w:cs="Times New Roman"/>
          <w:i/>
          <w:color w:val="000000"/>
          <w:sz w:val="24"/>
        </w:rPr>
        <w:t xml:space="preserve">Hệ số điều chỉnh vùng cho Suất đầu tư: Tỉnh Lào Cai thuộc vùng 1 có hệ số điều chỉnh là </w:t>
      </w:r>
      <w:r>
        <w:rPr>
          <w:rFonts w:ascii="Times New Roman" w:hAnsi="Times New Roman" w:eastAsia="Times New Roman" w:cs="Times New Roman"/>
          <w:b/>
          <w:i/>
          <w:color w:val="000000"/>
          <w:sz w:val="24"/>
        </w:rPr>
        <w:t xml:space="preserve">0,935</w:t>
      </w:r>
      <w:r>
        <w:rPr>
          <w:rFonts w:ascii="Times New Roman" w:hAnsi="Times New Roman" w:eastAsia="Times New Roman" w:cs="Times New Roman"/>
          <w:i/>
          <w:color w:val="000000"/>
          <w:sz w:val="24"/>
        </w:rPr>
        <w:t xml:space="preserve">.”</w:t>
      </w:r>
      <w:r/>
    </w:p>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i/>
          <w:color w:val="000000"/>
          <w:sz w:val="24"/>
        </w:rPr>
        <w:t xml:space="preserve">Do đó, Tổ thẩm định xác định đơn giá xây mới của công trình xây dựng là: </w:t>
      </w:r>
      <w:r/>
    </w:p>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i/>
          <w:color w:val="000000"/>
          <w:sz w:val="24"/>
        </w:rPr>
        <w:t xml:space="preserve">(Suất đầu tư xây dựng) x (Hệ số vùng)/Thuế = </w:t>
      </w:r>
      <w:r>
        <w:rPr>
          <w:rFonts w:ascii="Times New Roman" w:hAnsi="Times New Roman" w:eastAsia="Times New Roman" w:cs="Times New Roman"/>
          <w:i/>
          <w:color w:val="000000"/>
          <w:sz w:val="24"/>
          <w:highlight w:val="white"/>
        </w:rPr>
        <w:t xml:space="preserve">8.370.000</w:t>
      </w:r>
      <w:r>
        <w:rPr>
          <w:rFonts w:ascii="Times New Roman" w:hAnsi="Times New Roman" w:eastAsia="Times New Roman" w:cs="Times New Roman"/>
          <w:i/>
          <w:color w:val="000000"/>
          <w:sz w:val="24"/>
        </w:rPr>
        <w:t xml:space="preserve"> x 0,935/1,1 = </w:t>
      </w:r>
      <w:r>
        <w:rPr>
          <w:rFonts w:ascii="Times New Roman" w:hAnsi="Times New Roman" w:eastAsia="Times New Roman" w:cs="Times New Roman"/>
          <w:i/>
          <w:color w:val="000000"/>
          <w:sz w:val="22"/>
        </w:rPr>
        <w:t xml:space="preserve">7.114.500</w:t>
      </w:r>
      <w:r>
        <w:rPr>
          <w:rFonts w:ascii="Times New Roman" w:hAnsi="Times New Roman" w:eastAsia="Times New Roman" w:cs="Times New Roman"/>
          <w:color w:val="000000"/>
          <w:sz w:val="22"/>
        </w:rPr>
        <w:t xml:space="preserve"> </w:t>
      </w:r>
      <w:r>
        <w:rPr>
          <w:rFonts w:ascii="Times New Roman" w:hAnsi="Times New Roman" w:eastAsia="Times New Roman" w:cs="Times New Roman"/>
          <w:color w:val="000000"/>
          <w:sz w:val="24"/>
        </w:rPr>
        <w:t xml:space="preserve">đồng</w:t>
      </w:r>
      <w:r>
        <w:rPr>
          <w:rFonts w:ascii="Times New Roman" w:hAnsi="Times New Roman" w:eastAsia="Times New Roman" w:cs="Times New Roman"/>
          <w:i/>
          <w:color w:val="000000"/>
          <w:sz w:val="24"/>
        </w:rPr>
        <w:t xml:space="preserve">/m² sàn. </w:t>
      </w:r>
      <w:r/>
    </w:p>
    <w:p>
      <w:pPr>
        <w:numPr>
          <w:ilvl w:val="0"/>
          <w:numId w:val="41"/>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hao mòn theo kỹ thuật tuổi đời:</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color w:val="000000"/>
          <w:spacing w:val="2"/>
          <w:sz w:val="24"/>
        </w:rPr>
        <w:t xml:space="preserve">Tỉ lệ hao mòn được tính toán theo phương pháp tuổi đời:</w:t>
      </w:r>
      <w:r/>
    </w:p>
    <w:p>
      <w:pPr>
        <w:pBdr>
          <w:top w:val="none" w:color="000000" w:sz="4" w:space="0"/>
          <w:left w:val="none" w:color="000000" w:sz="4" w:space="0"/>
          <w:bottom w:val="none" w:color="000000" w:sz="4" w:space="0"/>
          <w:right w:val="none" w:color="000000" w:sz="4" w:space="0"/>
        </w:pBdr>
        <w:spacing w:after="120" w:before="120" w:line="276" w:lineRule="auto"/>
        <w:ind w:right="0" w:firstLine="284" w:left="0"/>
        <w:jc w:val="both"/>
        <w:rPr/>
      </w:pPr>
      <w:r>
        <w:rPr>
          <w:rFonts w:ascii="Times New Roman" w:hAnsi="Times New Roman" w:eastAsia="Times New Roman" w:cs="Times New Roman"/>
          <w:b/>
          <w:color w:val="000000"/>
          <w:spacing w:val="2"/>
          <w:sz w:val="24"/>
        </w:rPr>
        <w:t xml:space="preserve">Công thức: Tỉ lệ hao mòn = Tuổi đời hiệu quả/ Tuổi đời kinh tế</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pPr>
      <w:r>
        <w:rPr>
          <w:rFonts w:ascii="Times New Roman" w:hAnsi="Times New Roman" w:eastAsia="Times New Roman" w:cs="Times New Roman"/>
          <w:color w:val="000000"/>
          <w:spacing w:val="2"/>
          <w:sz w:val="24"/>
        </w:rPr>
        <w:t xml:space="preserve">Tổ thẩm định giả định rằng công trình xây dựng trong khoảng thời gian trích khấu hao được duy tu, sửa chữa định kỳ và đúng quy trình nên tuổi đời </w:t>
      </w:r>
      <w:r>
        <w:rPr>
          <w:rFonts w:ascii="Times New Roman" w:hAnsi="Times New Roman" w:eastAsia="Times New Roman" w:cs="Times New Roman"/>
          <w:color w:val="000000"/>
          <w:spacing w:val="2"/>
          <w:sz w:val="24"/>
          <w:highlight w:val="white"/>
        </w:rPr>
        <w:t xml:space="preserve">hiệu quả bằng tuổi đời thực tế. Theo thông tin khách hàng cung cấp, công trình xây dựng được hoàn thành năm 2025, do đó, Tổ thẩm định ước tính tuổi đời hiệu quả của công trình là khoảng 1 năm.</w:t>
      </w:r>
      <w:r/>
    </w:p>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pPr>
      <w:r>
        <w:rPr>
          <w:rFonts w:ascii="Times New Roman" w:hAnsi="Times New Roman" w:eastAsia="Times New Roman" w:cs="Times New Roman"/>
          <w:color w:val="000000"/>
          <w:sz w:val="24"/>
          <w:highlight w:val="white"/>
        </w:rPr>
        <w:t xml:space="preserve">Vận dụng khung thời gian trích khấu hao TSCĐ tại Thông tư</w:t>
      </w:r>
      <w:r>
        <w:rPr>
          <w:rFonts w:ascii="Times New Roman" w:hAnsi="Times New Roman" w:eastAsia="Times New Roman" w:cs="Times New Roman"/>
          <w:color w:val="000000"/>
          <w:sz w:val="24"/>
        </w:rPr>
        <w:t xml:space="preserve"> 45/2013/TT-BTC ngày 25/4/2013 của Bộ Tài chính về việc hướng dẫn chế độ quản lý, sử dụng và trích khấu hao tài sản cố định, kết hợp với khảo sát thông tin thị trường và quan sát hiện trạng thực tế công trình, Tổ thẩm định xác định tuổi đời kinh tế của tài</w:t>
      </w:r>
      <w:r>
        <w:rPr>
          <w:rFonts w:ascii="Times New Roman" w:hAnsi="Times New Roman" w:eastAsia="Times New Roman" w:cs="Times New Roman"/>
          <w:color w:val="000000"/>
          <w:sz w:val="24"/>
        </w:rPr>
        <w:t xml:space="preserve"> sản thẩm định là 50 năm. </w:t>
      </w:r>
      <w:r/>
    </w:p>
    <w:tbl>
      <w:tblPr>
        <w:tblStyle w:val="104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867"/>
        <w:gridCol w:w="1868"/>
        <w:gridCol w:w="2085"/>
        <w:gridCol w:w="2086"/>
        <w:gridCol w:w="2086"/>
        <w:gridCol w:w="2085"/>
      </w:tblGrid>
      <w:tr>
        <w:trPr>
          <w:trHeight w:val="624"/>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8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Tên tài sản</w:t>
            </w:r>
            <w:r/>
          </w:p>
        </w:tc>
        <w:tc>
          <w:tcPr>
            <w:tcBorders>
              <w:top w:val="single" w:color="000000" w:sz="8" w:space="0"/>
              <w:bottom w:val="single" w:color="000000" w:sz="8" w:space="0"/>
              <w:right w:val="single" w:color="000000" w:sz="8" w:space="0"/>
            </w:tcBorders>
            <w:tcMar>
              <w:left w:w="0" w:type="dxa"/>
              <w:top w:w="0" w:type="dxa"/>
              <w:right w:w="0" w:type="dxa"/>
              <w:bottom w:w="0" w:type="dxa"/>
            </w:tcMar>
            <w:tcW w:w="186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Năm xây dựng hoàn thành</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Thời điểm thẩm định</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Tuổi đời kinh tế (năm)</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Tuổi đời hiệu quả (năm)</w:t>
            </w:r>
            <w:r/>
          </w:p>
        </w:tc>
        <w:tc>
          <w:tcPr>
            <w:shd w:val="clear" w:color="ffffff" w:fill="ffffff"/>
            <w:tcBorders>
              <w:top w:val="single" w:color="000000" w:sz="8" w:space="0"/>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Tỉ lệ hao mòn (%)</w:t>
            </w:r>
            <w:r/>
          </w:p>
        </w:tc>
      </w:tr>
      <w:tr>
        <w:trPr>
          <w:trHeight w:val="312"/>
        </w:trPr>
        <w:tc>
          <w:tcPr>
            <w:shd w:val="clear" w:color="ffffff" w:fill="ffffff"/>
            <w:tcBorders>
              <w:left w:val="single" w:color="000000" w:sz="8" w:space="0"/>
              <w:bottom w:val="single" w:color="000000" w:sz="8" w:space="0"/>
              <w:right w:val="single" w:color="000000" w:sz="8" w:space="0"/>
            </w:tcBorders>
            <w:tcMar>
              <w:left w:w="0" w:type="dxa"/>
              <w:top w:w="0" w:type="dxa"/>
              <w:right w:w="0" w:type="dxa"/>
              <w:bottom w:w="0" w:type="dxa"/>
            </w:tcMar>
            <w:tcW w:w="186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Nhà 2 tầng </w:t>
            </w:r>
            <w:r/>
          </w:p>
        </w:tc>
        <w:tc>
          <w:tcPr>
            <w:tcBorders>
              <w:bottom w:val="single" w:color="000000" w:sz="8" w:space="0"/>
              <w:right w:val="single" w:color="000000" w:sz="8" w:space="0"/>
            </w:tcBorders>
            <w:tcMar>
              <w:left w:w="0" w:type="dxa"/>
              <w:top w:w="0" w:type="dxa"/>
              <w:right w:w="0" w:type="dxa"/>
              <w:bottom w:w="0" w:type="dxa"/>
            </w:tcMar>
            <w:tcW w:w="186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2025</w:t>
            </w:r>
            <w:r/>
          </w:p>
        </w:tc>
        <w:tc>
          <w:tcPr>
            <w:shd w:val="clear" w:color="ffffff" w:fill="ffffff"/>
            <w:tcBorders>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2026</w:t>
            </w:r>
            <w:r/>
          </w:p>
        </w:tc>
        <w:tc>
          <w:tcPr>
            <w:shd w:val="clear" w:color="ffffff" w:fill="ffffff"/>
            <w:tcBorders>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50</w:t>
            </w:r>
            <w:r/>
          </w:p>
        </w:tc>
        <w:tc>
          <w:tcPr>
            <w:shd w:val="clear" w:color="ffffff" w:fill="ffffff"/>
            <w:tcBorders>
              <w:bottom w:val="single" w:color="000000" w:sz="8" w:space="0"/>
              <w:right w:val="single" w:color="000000" w:sz="8" w:space="0"/>
            </w:tcBorders>
            <w:tcMar>
              <w:left w:w="0" w:type="dxa"/>
              <w:top w:w="0" w:type="dxa"/>
              <w:right w:w="0" w:type="dxa"/>
              <w:bottom w:w="0" w:type="dxa"/>
            </w:tcMar>
            <w:tcW w:w="208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bottom w:val="single" w:color="000000" w:sz="8" w:space="0"/>
              <w:right w:val="single" w:color="000000" w:sz="8" w:space="0"/>
            </w:tcBorders>
            <w:tcMar>
              <w:left w:w="0" w:type="dxa"/>
              <w:top w:w="0" w:type="dxa"/>
              <w:right w:w="0" w:type="dxa"/>
              <w:bottom w:w="0" w:type="dxa"/>
            </w:tcMar>
            <w:tcW w:w="208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2%</w:t>
            </w:r>
            <w:r/>
          </w:p>
        </w:tc>
      </w:tr>
    </w:tbl>
    <w:p>
      <w:pPr>
        <w:pBdr>
          <w:top w:val="none" w:color="000000" w:sz="4" w:space="0"/>
          <w:left w:val="none" w:color="000000" w:sz="4" w:space="0"/>
          <w:bottom w:val="none" w:color="000000" w:sz="4" w:space="0"/>
          <w:right w:val="none" w:color="000000" w:sz="4" w:space="0"/>
        </w:pBdr>
        <w:spacing w:after="60" w:before="60" w:line="360" w:lineRule="auto"/>
        <w:ind w:right="0" w:firstLine="426" w:left="0"/>
        <w:jc w:val="both"/>
        <w:rPr/>
      </w:pPr>
      <w:r>
        <w:rPr>
          <w:rFonts w:ascii="Times New Roman" w:hAnsi="Times New Roman" w:eastAsia="Times New Roman" w:cs="Times New Roman"/>
          <w:color w:val="000000"/>
          <w:sz w:val="24"/>
        </w:rPr>
        <w:t xml:space="preserve">Tổ thẩm định xác định tỉ lệ hao mòn của tài sản thẩm định là: 2%, tương đương tỷ lệ chất lượng còn lại của tài sản là: 98%</w:t>
      </w:r>
      <w:r/>
    </w:p>
    <w:p>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của công trình xây dựng trên đất:</w:t>
      </w:r>
      <w:r/>
    </w:p>
    <w:p>
      <w:pPr>
        <w:pBdr>
          <w:top w:val="none" w:color="000000" w:sz="4" w:space="0"/>
          <w:left w:val="none" w:color="000000" w:sz="4" w:space="0"/>
          <w:bottom w:val="none" w:color="000000" w:sz="4" w:space="0"/>
          <w:right w:val="none" w:color="000000" w:sz="4" w:space="0"/>
        </w:pBdr>
        <w:spacing w:after="80" w:before="80" w:line="276" w:lineRule="auto"/>
        <w:ind w:right="0" w:firstLine="284" w:left="0"/>
        <w:jc w:val="both"/>
        <w:rPr/>
      </w:pPr>
      <w:r>
        <w:rPr>
          <w:rFonts w:ascii="Times New Roman" w:hAnsi="Times New Roman" w:eastAsia="Times New Roman" w:cs="Times New Roman"/>
          <w:color w:val="000000"/>
          <w:spacing w:val="2"/>
          <w:sz w:val="24"/>
        </w:rPr>
        <w:t xml:space="preserve">Công thức:</w:t>
      </w:r>
      <w:r/>
    </w:p>
    <w:tbl>
      <w:tblPr>
        <w:tblStyle w:val="1049"/>
        <w:tblInd w:w="25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shd w:val="clear" w:color="ffffff" w:fill="ffffff"/>
        <w:tblLayout w:type="autofit"/>
        <w:tblLook w:val="04A0" w:firstRow="1" w:lastRow="0" w:firstColumn="1" w:lastColumn="0" w:noHBand="0" w:noVBand="1"/>
      </w:tblPr>
      <w:tblGrid>
        <w:gridCol w:w="1633"/>
        <w:gridCol w:w="341"/>
        <w:gridCol w:w="3672"/>
        <w:gridCol w:w="319"/>
        <w:gridCol w:w="2311"/>
      </w:tblGrid>
      <w:tr>
        <w:trPr>
          <w:trHeight w:val="794"/>
        </w:trPr>
        <w:tc>
          <w:tcPr>
            <w:tcBorders/>
            <w:tcMar>
              <w:left w:w="108" w:type="dxa"/>
              <w:top w:w="0" w:type="dxa"/>
              <w:right w:w="108" w:type="dxa"/>
              <w:bottom w:w="0" w:type="dxa"/>
            </w:tcMar>
            <w:tcW w:w="163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Giá trị ước tính của tài sản</w:t>
            </w:r>
            <w:r/>
          </w:p>
        </w:tc>
        <w:tc>
          <w:tcPr>
            <w:tcBorders/>
            <w:tcMar>
              <w:left w:w="108" w:type="dxa"/>
              <w:top w:w="0" w:type="dxa"/>
              <w:right w:w="108" w:type="dxa"/>
              <w:bottom w:w="0" w:type="dxa"/>
            </w:tcMar>
            <w:tcW w:w="34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w:t>
            </w:r>
            <w:r/>
          </w:p>
        </w:tc>
        <w:tc>
          <w:tcPr>
            <w:tcBorders/>
            <w:tcMar>
              <w:left w:w="108" w:type="dxa"/>
              <w:top w:w="0" w:type="dxa"/>
              <w:right w:w="108" w:type="dxa"/>
              <w:bottom w:w="0" w:type="dxa"/>
            </w:tcMar>
            <w:tcW w:w="367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Chi phí thay thế </w:t>
            </w:r>
            <w:r/>
          </w:p>
          <w:p>
            <w:pPr>
              <w:pBdr>
                <w:top w:val="none" w:color="000000" w:sz="4" w:space="0"/>
                <w:left w:val="none" w:color="000000" w:sz="4" w:space="0"/>
                <w:bottom w:val="none" w:color="000000" w:sz="4" w:space="0"/>
                <w:right w:val="none" w:color="000000" w:sz="4" w:space="0"/>
              </w:pBdr>
              <w:shd w:val="clear" w:color="ffffff" w:fill="ffffff"/>
              <w:spacing w:after="120"/>
              <w:ind w:right="0" w:firstLine="0" w:left="0"/>
              <w:jc w:val="center"/>
              <w:rPr/>
            </w:pPr>
            <w:r>
              <w:rPr>
                <w:rFonts w:ascii="Times New Roman" w:hAnsi="Times New Roman" w:eastAsia="Times New Roman" w:cs="Times New Roman"/>
                <w:b/>
                <w:color w:val="000000"/>
                <w:sz w:val="24"/>
              </w:rPr>
              <w:t xml:space="preserve">(Giá trị xây mới tài sản-đã bao gồm lợi nhuận của nhà sản xuất/nhà đầu tư)</w:t>
            </w:r>
            <w:r/>
          </w:p>
        </w:tc>
        <w:tc>
          <w:tcPr>
            <w:tcBorders/>
            <w:tcMar>
              <w:left w:w="108" w:type="dxa"/>
              <w:top w:w="0" w:type="dxa"/>
              <w:right w:w="108" w:type="dxa"/>
              <w:bottom w:w="0" w:type="dxa"/>
            </w:tcMar>
            <w:tcW w:w="31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w:t>
            </w:r>
            <w:r/>
          </w:p>
        </w:tc>
        <w:tc>
          <w:tcPr>
            <w:tcBorders/>
            <w:tcMar>
              <w:left w:w="108" w:type="dxa"/>
              <w:top w:w="0" w:type="dxa"/>
              <w:right w:w="108" w:type="dxa"/>
              <w:bottom w:w="0" w:type="dxa"/>
            </w:tcMar>
            <w:tcW w:w="231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4"/>
              </w:rPr>
              <w:t xml:space="preserve">Tổng giá trị hao mòn </w:t>
            </w:r>
            <w:r/>
          </w:p>
        </w:tc>
      </w:tr>
    </w:tbl>
    <w:p>
      <w:pPr>
        <w:pBdr/>
        <w:spacing w:after="120" w:before="120" w:line="276" w:lineRule="auto"/>
        <w:ind w:firstLine="0" w:left="0"/>
        <w:jc w:val="both"/>
        <w:rPr>
          <w:b/>
          <w:bCs/>
        </w:rPr>
      </w:pPr>
      <w:r>
        <w:rPr>
          <w:b/>
          <w:bCs/>
          <w:highlight w:val="none"/>
        </w:rPr>
      </w:r>
      <w:r>
        <w:rPr>
          <w:b/>
          <w:bCs/>
        </w:rPr>
      </w:r>
      <w:r>
        <w:rPr>
          <w:b/>
          <w:bCs/>
        </w:rPr>
      </w:r>
    </w:p>
    <w:tbl>
      <w:tblPr>
        <w:tblInd w:w="-714" w:type="dxa"/>
        <w:tblW w:w="106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Tài sản</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Diện tích sàn (m²)</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Đơn giá xây dựng mới (đồng/m² sàn)</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Chi phí thay thế (đồng)</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Tỷ lệ hao mòn (%)</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 trị hao mòn (đồng)</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Giá trị thẩm định tại thời điểm thẩm định giá (đồng)</w:t>
            </w:r>
            <w:r>
              <w:rPr>
                <w:b/>
                <w:bCs/>
                <w:sz w:val="22"/>
                <w:szCs w:val="22"/>
              </w:rPr>
            </w:r>
            <w:r>
              <w:rPr>
                <w:b/>
                <w:bCs/>
                <w:sz w:val="22"/>
                <w:szCs w:val="22"/>
              </w:rPr>
            </w:r>
          </w:p>
        </w:tc>
      </w:tr>
      <w:tr>
        <w:trPr>
          <w:trHeight w:val="300"/>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=(4)*(5)</w:t>
            </w:r>
            <w:r>
              <w:rPr>
                <w:b/>
                <w:bCs/>
                <w:sz w:val="22"/>
                <w:szCs w:val="22"/>
              </w:rPr>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r>
              <w:rPr>
                <w:b/>
                <w:bCs/>
                <w:sz w:val="22"/>
                <w:szCs w:val="22"/>
              </w:rPr>
            </w:r>
          </w:p>
        </w:tc>
      </w:tr>
      <w:tr>
        <w:trPr>
          <w:trHeight w:val="312"/>
        </w:trPr>
        <w:tc>
          <w:tcPr>
            <w:tcBorders/>
            <w:tcW w:w="1418" w:type="dxa"/>
            <w:vAlign w:val="center"/>
            <w:textDirection w:val="lrTb"/>
            <w:noWrap w:val="false"/>
          </w:tcPr>
          <w:p>
            <w:pPr>
              <w:pBdr/>
              <w:spacing w:after="60" w:before="60"/>
              <w:ind/>
              <w:jc w:val="center"/>
              <w:rPr>
                <w:sz w:val="22"/>
                <w:szCs w:val="22"/>
              </w:rPr>
            </w:pPr>
            <w:r>
              <w:rPr>
                <w:sz w:val="22"/>
                <w:szCs w:val="22"/>
              </w:rPr>
              <w:t xml:space="preserve">Nhà 2 tầng</w:t>
            </w:r>
            <w:r>
              <w:rPr>
                <w:sz w:val="22"/>
                <w:szCs w:val="22"/>
              </w:rPr>
            </w:r>
            <w:r>
              <w:rPr>
                <w:sz w:val="22"/>
                <w:szCs w:val="22"/>
              </w:rPr>
            </w:r>
          </w:p>
        </w:tc>
        <w:tc>
          <w:tcPr>
            <w:tcBorders/>
            <w:tcW w:w="1275" w:type="dxa"/>
            <w:vAlign w:val="center"/>
            <w:textDirection w:val="lrTb"/>
            <w:noWrap/>
          </w:tcPr>
          <w:p>
            <w:pPr>
              <w:pBdr/>
              <w:spacing w:after="60" w:before="60"/>
              <w:ind/>
              <w:jc w:val="center"/>
              <w:rPr>
                <w:sz w:val="22"/>
                <w:szCs w:val="22"/>
              </w:rPr>
            </w:pPr>
            <w:r>
              <w:rPr>
                <w:sz w:val="22"/>
                <w:szCs w:val="22"/>
              </w:rPr>
              <w:t xml:space="preserve">251.9</w:t>
            </w:r>
            <w:r>
              <w:rPr>
                <w:sz w:val="22"/>
                <w:szCs w:val="22"/>
              </w:rPr>
            </w:r>
            <w:r>
              <w:rPr>
                <w:sz w:val="22"/>
                <w:szCs w:val="22"/>
              </w:rPr>
            </w:r>
          </w:p>
        </w:tc>
        <w:tc>
          <w:tcPr>
            <w:tcBorders/>
            <w:tcW w:w="1560" w:type="dxa"/>
            <w:vAlign w:val="center"/>
            <w:textDirection w:val="lrTb"/>
            <w:noWrap/>
          </w:tcPr>
          <w:p>
            <w:pPr>
              <w:pBdr/>
              <w:spacing w:after="60" w:before="60"/>
              <w:ind/>
              <w:jc w:val="center"/>
              <w:rPr>
                <w:sz w:val="22"/>
                <w:szCs w:val="22"/>
              </w:rPr>
            </w:pPr>
            <w:r>
              <w:rPr>
                <w:sz w:val="22"/>
                <w:szCs w:val="22"/>
              </w:rPr>
              <w:t xml:space="preserve">7.114.500</w:t>
            </w:r>
            <w:r>
              <w:rPr>
                <w:sz w:val="22"/>
                <w:szCs w:val="22"/>
              </w:rPr>
            </w:r>
            <w:r>
              <w:rPr>
                <w:sz w:val="22"/>
                <w:szCs w:val="22"/>
              </w:rPr>
            </w:r>
          </w:p>
        </w:tc>
        <w:tc>
          <w:tcPr>
            <w:tcBorders/>
            <w:tcW w:w="1701" w:type="dxa"/>
            <w:vAlign w:val="center"/>
            <w:textDirection w:val="lrTb"/>
            <w:noWrap/>
          </w:tcPr>
          <w:p>
            <w:pPr>
              <w:pBdr/>
              <w:spacing w:after="60" w:before="60"/>
              <w:ind/>
              <w:jc w:val="center"/>
              <w:rPr>
                <w:sz w:val="22"/>
                <w:szCs w:val="22"/>
              </w:rPr>
            </w:pPr>
            <w:r>
              <w:rPr>
                <w:sz w:val="22"/>
                <w:szCs w:val="22"/>
              </w:rPr>
              <w:t xml:space="preserve">1.792.142.550</w:t>
            </w:r>
            <w:r>
              <w:rPr>
                <w:sz w:val="22"/>
                <w:szCs w:val="22"/>
              </w:rPr>
            </w:r>
            <w:r>
              <w:rPr>
                <w:sz w:val="22"/>
                <w:szCs w:val="22"/>
              </w:rPr>
            </w:r>
          </w:p>
        </w:tc>
        <w:tc>
          <w:tcPr>
            <w:tcBorders/>
            <w:tcW w:w="1139" w:type="dxa"/>
            <w:vAlign w:val="center"/>
            <w:textDirection w:val="lrTb"/>
            <w:noWrap w:val="false"/>
          </w:tcPr>
          <w:p>
            <w:pPr>
              <w:pBdr/>
              <w:spacing w:after="60" w:before="60"/>
              <w:ind/>
              <w:jc w:val="center"/>
              <w:rPr>
                <w:sz w:val="22"/>
                <w:szCs w:val="22"/>
              </w:rPr>
            </w:pPr>
            <w:r>
              <w:rPr>
                <w:sz w:val="22"/>
                <w:szCs w:val="22"/>
              </w:rPr>
              <w:t xml:space="preserve">2%</w:t>
            </w:r>
            <w:r>
              <w:rPr>
                <w:sz w:val="22"/>
                <w:szCs w:val="22"/>
              </w:rPr>
            </w:r>
            <w:r>
              <w:rPr>
                <w:sz w:val="22"/>
                <w:szCs w:val="22"/>
              </w:rPr>
            </w:r>
          </w:p>
        </w:tc>
        <w:tc>
          <w:tcPr>
            <w:tcBorders/>
            <w:tcW w:w="1559" w:type="dxa"/>
            <w:vAlign w:val="center"/>
            <w:textDirection w:val="lrTb"/>
            <w:noWrap/>
          </w:tcPr>
          <w:p>
            <w:pPr>
              <w:pBdr/>
              <w:spacing w:after="60" w:before="60"/>
              <w:ind/>
              <w:jc w:val="center"/>
              <w:rPr>
                <w:sz w:val="22"/>
                <w:szCs w:val="22"/>
              </w:rPr>
            </w:pPr>
            <w:r>
              <w:rPr>
                <w:sz w:val="22"/>
                <w:szCs w:val="22"/>
              </w:rPr>
              <w:t xml:space="preserve">35.842.851</w:t>
            </w:r>
            <w:r>
              <w:rPr>
                <w:sz w:val="22"/>
                <w:szCs w:val="22"/>
              </w:rPr>
            </w:r>
            <w:r>
              <w:rPr>
                <w:sz w:val="22"/>
                <w:szCs w:val="22"/>
              </w:rPr>
            </w:r>
          </w:p>
        </w:tc>
        <w:tc>
          <w:tcPr>
            <w:tcBorders/>
            <w:tcW w:w="1968" w:type="dxa"/>
            <w:vAlign w:val="center"/>
            <w:textDirection w:val="lrTb"/>
            <w:noWrap w:val="false"/>
          </w:tcPr>
          <w:p>
            <w:pPr>
              <w:pBdr/>
              <w:spacing w:after="60" w:before="60"/>
              <w:ind/>
              <w:jc w:val="center"/>
              <w:rPr>
                <w:sz w:val="22"/>
                <w:szCs w:val="22"/>
              </w:rPr>
            </w:pPr>
            <w:r>
              <w:rPr>
                <w:sz w:val="22"/>
                <w:szCs w:val="22"/>
              </w:rPr>
              <w:t xml:space="preserve">1.756.299.699</w:t>
            </w:r>
            <w:r>
              <w:rPr>
                <w:sz w:val="22"/>
                <w:szCs w:val="22"/>
              </w:rPr>
            </w:r>
            <w:r>
              <w:rPr>
                <w:sz w:val="22"/>
                <w:szCs w:val="22"/>
              </w:rPr>
            </w:r>
          </w:p>
        </w:tc>
      </w:tr>
    </w:tbl>
    <w:p>
      <w:pPr>
        <w:pBdr/>
        <w:spacing w:after="120" w:before="120" w:line="276" w:lineRule="auto"/>
        <w:ind w:firstLine="0" w:left="0"/>
        <w:jc w:val="both"/>
        <w:rPr>
          <w:b/>
          <w:lang w:val="pt-BR"/>
        </w:rPr>
      </w:pPr>
      <w:r>
        <w:rPr>
          <w:b/>
          <w:lang w:val="pt-BR"/>
        </w:rPr>
        <w:t xml:space="preserve">3. </w:t>
      </w:r>
      <w:r>
        <w:rPr>
          <w:b/>
          <w:lang w:val="pt-BR"/>
        </w:rPr>
        <w:t xml:space="preserve">Kết quả thẩm định giá:</w:t>
      </w:r>
      <w:r>
        <w:rPr>
          <w:b/>
          <w:lang w:val="pt-BR"/>
        </w:rPr>
      </w:r>
      <w:r>
        <w:rPr>
          <w:b/>
          <w:lang w:val="pt-BR"/>
        </w:rPr>
      </w:r>
    </w:p>
    <w:p>
      <w:pPr>
        <w:pStyle w:val="104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07/2026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r>
            <w:r>
              <w:rPr>
                <w:rFonts w:ascii="Times New Roman" w:hAnsi="Times New Roman" w:eastAsia="Times New Roman" w:cs="Times New Roman"/>
                <w:b/>
                <w:bCs/>
                <w:color w:val="000000"/>
                <w:sz w:val="24"/>
              </w:rPr>
              <w:t xml:space="preserve">Quyền sử dụng đất và tài sản gắn liền với đất tại thửa số:456, tờ bản đồ số: 35 đất có địa chỉ: Tổ 4, phường Phan Si Păng, thị xã Sa Pa, tỉnh Lào Cai (nay là Tổ 1, phường Sa Pa, tỉnh Lào Cai) theo Giấy chứng nhận quyền đất, quyền sở hữu nhà ở và tài sản kh</w:t>
            </w:r>
            <w:r>
              <w:rPr>
                <w:rFonts w:ascii="Times New Roman" w:hAnsi="Times New Roman" w:eastAsia="Times New Roman" w:cs="Times New Roman"/>
                <w:b/>
                <w:bCs/>
                <w:color w:val="000000"/>
                <w:sz w:val="24"/>
              </w:rPr>
              <w:t xml:space="preserve">ác gắn liền với đất  số: DL403907, số vào sổ cấp GCN: CN 00503 do Chi Nhánh Văn Phòng Đăng Ký Đất Đai Thị Xã Sa Pa  cấp ngày 04/12/2023; Chủ sử dụng đất là  Ông Đỗ Ngọc Tuấn và Bà đặng Thị Thúy</w:t>
            </w:r>
            <w:r>
              <w:rPr>
                <w:rFonts w:ascii="Times New Roman" w:hAnsi="Times New Roman" w:eastAsia="Times New Roman" w:cs="Times New Roman"/>
                <w:b/>
                <w:bCs/>
                <w:color w:val="000000"/>
                <w:sz w:val="24"/>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Quyền sử dụng đất</w:t>
            </w:r>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300</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31.000.000</w:t>
            </w:r>
            <w:r/>
            <w:r/>
          </w:p>
        </w:tc>
        <w:tc>
          <w:tcPr>
            <w:shd w:val="clear" w:color="000000" w:fill="ffffff"/>
            <w:tcBorders/>
            <w:tcW w:w="1136" w:type="pct"/>
            <w:vAlign w:val="center"/>
            <w:textDirection w:val="lrTb"/>
            <w:noWrap w:val="false"/>
          </w:tcPr>
          <w:p>
            <w:pPr>
              <w:pBdr/>
              <w:spacing w:after="40" w:before="40" w:line="288" w:lineRule="auto"/>
              <w:ind/>
              <w:jc w:val="right"/>
              <w:rPr/>
            </w:pPr>
            <w:r>
              <w:rPr>
                <w:color w:val="000000" w:themeColor="text1"/>
              </w:rPr>
              <w:t xml:space="preserve">9.300.000.000</w:t>
            </w:r>
            <w: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2</w:t>
            </w:r>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Nhà 2 tầng</w:t>
            </w:r>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251,9</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7.114.500</w:t>
            </w:r>
            <w:r/>
            <w:r/>
          </w:p>
        </w:tc>
        <w:tc>
          <w:tcPr>
            <w:shd w:val="clear" w:color="000000" w:fill="ffffff"/>
            <w:tcBorders/>
            <w:tcW w:w="1136" w:type="pct"/>
            <w:vAlign w:val="center"/>
            <w:textDirection w:val="lrTb"/>
            <w:noWrap w:val="false"/>
          </w:tcPr>
          <w:p>
            <w:pPr>
              <w:pBdr/>
              <w:spacing w:after="40" w:before="40" w:line="288" w:lineRule="auto"/>
              <w:ind/>
              <w:jc w:val="right"/>
              <w:rPr/>
            </w:pPr>
            <w:r>
              <w:rPr>
                <w:color w:val="000000" w:themeColor="text1"/>
              </w:rPr>
              <w:t xml:space="preserve">1.756.299.699</w:t>
            </w:r>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right"/>
              <w:rPr>
                <w:b/>
                <w:bCs/>
                <w:color w:val="000000"/>
              </w:rPr>
            </w:pPr>
            <w:r>
              <w:t xml:space="preserve">11.056.299.699</w:t>
            </w:r>
            <w:r>
              <w:rPr>
                <w:b/>
                <w:bCs/>
                <w:color w:val="000000"/>
              </w:rPr>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right"/>
              <w:rPr>
                <w:b/>
                <w:bCs/>
                <w:color w:val="000000"/>
              </w:rPr>
            </w:pPr>
            <w:r>
              <w:rPr>
                <w:b/>
                <w:bCs/>
                <w:color w:val="000000"/>
              </w:rPr>
              <w:t xml:space="preserve">11.056.000.000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một tỷ năm mươi sáu 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Style w:val="104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4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4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4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45"/>
        <w:numPr>
          <w:ilvl w:val="0"/>
          <w:numId w:val="5"/>
        </w:numPr>
        <w:pBdr/>
        <w:tabs>
          <w:tab w:val="left" w:leader="none" w:pos="993"/>
        </w:tabs>
        <w:spacing w:after="120" w:before="120" w:line="288" w:lineRule="auto"/>
        <w:ind/>
        <w:jc w:val="both"/>
        <w:rPr>
          <w:lang w:val="pt-BR"/>
        </w:rPr>
      </w:pPr>
      <w:r>
        <w:rPr>
          <w:lang w:val="pt-BR"/>
        </w:rPr>
        <w:t xml:space="preserve">Thẩm định giá không phải là</w:t>
      </w:r>
      <w:r>
        <w:rPr>
          <w:lang w:val="pt-BR"/>
        </w:rPr>
        <w:t xml:space="preserve">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giá và không hẳn phù hợp với </w:t>
      </w:r>
      <w:r>
        <w:rPr>
          <w:lang w:val="pt-BR"/>
        </w:rPr>
        <w:t xml:space="preserve">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4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4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4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4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4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4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4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4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4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4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4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4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4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4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pStyle w:val="104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45"/>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w:t>
      </w:r>
      <w:r>
        <w:rPr>
          <w:bCs/>
          <w:spacing w:val="-2"/>
          <w:lang w:val="pt-BR"/>
        </w:rPr>
        <w:t xml:space="preserve">ẩm định của các cơ quan có chức năng. Do vậy, việc đánh giá chất lượng còn lại của Công trình xây dựng của chúng tôi chỉ dựa vào các văn bản pháp quy hiện hành và qua khảo sát thực tế độc lập, minh bạch dưới sự hướng dẫn khảo sát của các bên liên quan. Vì </w:t>
      </w:r>
      <w:r>
        <w:rPr>
          <w:bCs/>
          <w:spacing w:val="-2"/>
          <w:lang w:val="pt-BR"/>
        </w:rPr>
        <w:t xml:space="preserve">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4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4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45"/>
        <w:numPr>
          <w:ilvl w:val="0"/>
          <w:numId w:val="5"/>
        </w:numPr>
        <w:pBdr/>
        <w:tabs>
          <w:tab w:val="left" w:leader="none" w:pos="993"/>
        </w:tabs>
        <w:spacing w:after="120" w:before="120" w:line="288"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4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4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45"/>
        <w:pBdr/>
        <w:tabs>
          <w:tab w:val="left" w:leader="none" w:pos="993"/>
        </w:tabs>
        <w:spacing w:after="120" w:before="120" w:line="288" w:lineRule="auto"/>
        <w:ind w:left="0"/>
        <w:jc w:val="both"/>
        <w:rPr>
          <w:lang w:val="pt-BR"/>
        </w:rPr>
      </w:pPr>
      <w:r>
        <w:rPr>
          <w:highlight w:val="none"/>
          <w:lang w:val="vi-VN"/>
        </w:rPr>
      </w:r>
      <w:r>
        <w:rPr>
          <w:lang w:val="pt-BR"/>
        </w:rPr>
      </w:r>
      <w:r>
        <w:rPr>
          <w:lang w:val="pt-BR"/>
        </w:rPr>
      </w:r>
    </w:p>
    <w:p>
      <w:pPr>
        <w:pStyle w:val="1045"/>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45"/>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HSTD-20260630-0015/CT-VFI</w:t>
      </w:r>
      <w:r>
        <w:rPr>
          <w:color w:val="ff0000"/>
          <w:lang w:val="vi-VN"/>
        </w:rPr>
        <w:t xml:space="preserve"> </w:t>
      </w:r>
      <w:r>
        <w:rPr>
          <w:color w:val="000000" w:themeColor="text1"/>
        </w:rPr>
        <w:t xml:space="preserve">ngày 29 tháng 7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Đinh Thị Lan Hương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HSTD-20260630-0015/BC-VFI</w:t>
      </w:r>
      <w:r>
        <w:rPr>
          <w:i/>
        </w:rPr>
        <w:t xml:space="preserve"> ngày</w:t>
      </w:r>
      <w:r>
        <w:rPr>
          <w:i/>
          <w:lang w:val="pt-BR"/>
        </w:rPr>
        <w:t xml:space="preserve"> </w:t>
      </w:r>
      <w:r>
        <w:rPr>
          <w:i/>
          <w:lang w:val="pt-BR"/>
        </w:rPr>
        <w:t xml:space="preserve">29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205742" cy="2613461"/>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152414" name=""/>
                              <pic:cNvPicPr>
                                <a:picLocks noChangeAspect="1"/>
                              </pic:cNvPicPr>
                              <pic:nvPr/>
                            </pic:nvPicPr>
                            <pic:blipFill rotWithShape="1">
                              <a:blip r:embed="rId19"/>
                              <a:stretch/>
                            </pic:blipFill>
                            <pic:spPr bwMode="auto">
                              <a:xfrm flipH="0" flipV="0">
                                <a:off x="0" y="0"/>
                                <a:ext cx="1205741" cy="261346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94.94pt;height:205.78pt;mso-wrap-distance-left:0.00pt;mso-wrap-distance-top:0.00pt;mso-wrap-distance-right:0.00pt;mso-wrap-distance-bottom:0.00pt;z-index:1;" stroked="false">
                      <v:imagedata r:id="rId19"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579417" cy="1934563"/>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502271" name=""/>
                              <pic:cNvPicPr>
                                <a:picLocks noChangeAspect="1"/>
                              </pic:cNvPicPr>
                              <pic:nvPr/>
                            </pic:nvPicPr>
                            <pic:blipFill rotWithShape="1">
                              <a:blip r:embed="rId20"/>
                              <a:stretch/>
                            </pic:blipFill>
                            <pic:spPr bwMode="auto">
                              <a:xfrm flipH="0" flipV="0">
                                <a:off x="0" y="0"/>
                                <a:ext cx="2579416" cy="193456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3.10pt;height:152.33pt;mso-wrap-distance-left:0.00pt;mso-wrap-distance-top:0.00pt;mso-wrap-distance-right:0.00pt;mso-wrap-distance-bottom:0.00pt;z-index:1;" stroked="false">
                      <v:imagedata r:id="rId20"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1724227" cy="229897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829791" name=""/>
                              <pic:cNvPicPr>
                                <a:picLocks noChangeAspect="1"/>
                              </pic:cNvPicPr>
                              <pic:nvPr/>
                            </pic:nvPicPr>
                            <pic:blipFill rotWithShape="1">
                              <a:blip r:embed="rId21"/>
                              <a:stretch/>
                            </pic:blipFill>
                            <pic:spPr bwMode="auto">
                              <a:xfrm flipH="0" flipV="0">
                                <a:off x="0" y="0"/>
                                <a:ext cx="1724227" cy="22989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35.77pt;height:181.02pt;mso-wrap-distance-left:0.00pt;mso-wrap-distance-top:0.00pt;mso-wrap-distance-right:0.00pt;mso-wrap-distance-bottom:0.00pt;z-index:1;" stroked="false">
                      <v:imagedata r:id="rId21"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08197" cy="195221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468415" name=""/>
                              <pic:cNvPicPr>
                                <a:picLocks noChangeAspect="1"/>
                              </pic:cNvPicPr>
                              <pic:nvPr/>
                            </pic:nvPicPr>
                            <pic:blipFill rotWithShape="1">
                              <a:blip r:embed="rId22"/>
                              <a:stretch/>
                            </pic:blipFill>
                            <pic:spPr bwMode="auto">
                              <a:xfrm flipH="0" flipV="0">
                                <a:off x="0" y="0"/>
                                <a:ext cx="2608196" cy="19522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5.37pt;height:153.72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rHeight w:val="450"/>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10102" cy="1923233"/>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803675" name=""/>
                              <pic:cNvPicPr>
                                <a:picLocks noChangeAspect="1"/>
                              </pic:cNvPicPr>
                              <pic:nvPr/>
                            </pic:nvPicPr>
                            <pic:blipFill rotWithShape="1">
                              <a:blip r:embed="rId23"/>
                              <a:stretch/>
                            </pic:blipFill>
                            <pic:spPr bwMode="auto">
                              <a:xfrm flipH="0" flipV="0">
                                <a:off x="0" y="0"/>
                                <a:ext cx="2610101" cy="19232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05.52pt;height:151.44pt;mso-wrap-distance-left:0.00pt;mso-wrap-distance-top:0.00pt;mso-wrap-distance-right:0.00pt;mso-wrap-distance-bottom:0.00pt;z-index:1;" stroked="false">
                      <v:imagedata r:id="rId23"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23015" cy="213088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891356" name=""/>
                              <pic:cNvPicPr>
                                <a:picLocks noChangeAspect="1"/>
                              </pic:cNvPicPr>
                              <pic:nvPr/>
                            </pic:nvPicPr>
                            <pic:blipFill rotWithShape="1">
                              <a:blip r:embed="rId24"/>
                              <a:stretch/>
                            </pic:blipFill>
                            <pic:spPr bwMode="auto">
                              <a:xfrm flipH="0" flipV="0">
                                <a:off x="0" y="0"/>
                                <a:ext cx="2823014" cy="21308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2.28pt;height:167.79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HSTD-20260630-0015/BC-VFI</w:t>
      </w:r>
      <w:r>
        <w:rPr>
          <w:i/>
        </w:rPr>
        <w:t xml:space="preserve"> ngày</w:t>
      </w:r>
      <w:r>
        <w:rPr>
          <w:i/>
          <w:lang w:val="pt-BR"/>
        </w:rPr>
        <w:t xml:space="preserve"> </w:t>
      </w:r>
      <w:r>
        <w:rPr>
          <w:i/>
          <w:lang w:val="pt-BR"/>
        </w:rPr>
        <w:t xml:space="preserve">29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https://www.facebook.com/groups/151550731679939/permalink/3499821036852875/</w:t>
            </w:r>
            <w:r>
              <w:rPr>
                <w:color w:val="000000" w:themeColor="text1"/>
                <w:sz w:val="22"/>
                <w:szCs w:val="22"/>
              </w:rPr>
              <w:br/>
              <w:t xml:space="preserve">0969778163</w:t>
            </w:r>
            <w:r>
              <w:rPr>
                <w:sz w:val="22"/>
                <w:szCs w:val="22"/>
              </w:rPr>
              <w:t xml:space="preserve"> </w:t>
            </w:r>
            <w:r>
              <w:rPr>
                <w:sz w:val="22"/>
                <w:szCs w:val="22"/>
              </w:rPr>
              <w:br/>
              <w:t xml:space="preserve">(em Toàn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7.920.000.000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07/2026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Phường Sa Pa, Tỉnh Lào Cai, khoảng cách ra đường chính Cách ngã ba Thác Bạc khoảng 1km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200</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thông tin khác</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Diện tích được cấp theo GCN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793702"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3793702"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98.72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3333"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33.33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tbl>
      <w:tblPr>
        <w:jc w:val="center"/>
        <w:tblW w:w="8488" w:type="dxa"/>
        <w:tblBorders/>
        <w:tblLook w:val="04A0" w:firstRow="1" w:lastRow="0" w:firstColumn="1" w:lastColumn="0" w:noHBand="0" w:noVBand="1"/>
      </w:tblPr>
      <w:tblGrid>
        <w:gridCol w:w="3812"/>
        <w:gridCol w:w="4676"/>
      </w:tblGrid>
      <w:tr>
        <w:trPr>
          <w:jc w:val="center"/>
          <w:trHeight w:val="28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jc w:val="center"/>
          <w:trHeight w:val="293"/>
        </w:trPr>
        <w:tc>
          <w:tcPr>
            <w:tcBorders/>
            <w:tcW w:w="3812" w:type="dxa"/>
            <w:vAlign w:val="center"/>
            <w:textDirection w:val="lrTb"/>
            <w:noWrap w:val="false"/>
          </w:tcPr>
          <w:p>
            <w:pPr>
              <w:pBdr/>
              <w:spacing/>
              <w:ind/>
              <w:jc w:val="center"/>
              <w:rPr>
                <w:b/>
                <w:bCs/>
              </w:rPr>
            </w:pPr>
            <w:r>
              <w:rPr>
                <w:b/>
                <w:bCs/>
              </w:rPr>
            </w:r>
            <w:r>
              <w:rPr>
                <w:b/>
                <w:bCs/>
              </w:rPr>
            </w:r>
            <w:r>
              <w:rPr>
                <w:b/>
                <w:bCs/>
              </w:rPr>
            </w:r>
          </w:p>
        </w:tc>
        <w:tc>
          <w:tcPr>
            <w:tcBorders/>
            <w:tcW w:w="4676"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t xml:space="preserve">Đinh Thị Lan Hương</w:t>
            </w:r>
            <w:r/>
          </w:p>
          <w:p>
            <w:pPr>
              <w:pBdr/>
              <w:spacing/>
              <w:ind/>
              <w:jc w:val="center"/>
              <w:rPr/>
            </w:pPr>
            <w:r/>
            <w:r/>
          </w:p>
        </w:tc>
      </w:tr>
    </w:tbl>
    <w:p>
      <w:pPr>
        <w:pBdr/>
        <w:spacing/>
        <w:ind/>
        <w:rPr/>
      </w:pPr>
      <w:r>
        <w:br w:type="page" w:clear="all"/>
      </w:r>
      <w:r/>
    </w:p>
    <w:p>
      <w:pPr>
        <w:pBdr/>
        <w:spacing w:after="200" w:line="276" w:lineRule="auto"/>
        <w:ind/>
        <w:jc w:val="center"/>
        <w:rPr>
          <w:b/>
          <w:bCs/>
          <w:iCs/>
          <w:lang w:val="pt-BR"/>
        </w:rPr>
      </w:pPr>
      <w:r>
        <w:rPr>
          <w:b/>
          <w:bCs/>
          <w:iCs/>
          <w:lang w:val="pt-BR"/>
        </w:rPr>
        <w:t xml:space="preserve">TSSS2</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https://www.facebook.com/groups/151550731679939/permalink/3499821036852875/</w:t>
            </w:r>
            <w:r>
              <w:rPr>
                <w:color w:val="000000" w:themeColor="text1"/>
                <w:sz w:val="22"/>
                <w:szCs w:val="22"/>
              </w:rPr>
              <w:br/>
              <w:t xml:space="preserve">0945.809.120</w:t>
            </w:r>
            <w:r>
              <w:rPr>
                <w:sz w:val="22"/>
                <w:szCs w:val="22"/>
              </w:rPr>
              <w:t xml:space="preserve"> </w:t>
            </w:r>
            <w:r>
              <w:rPr>
                <w:sz w:val="22"/>
                <w:szCs w:val="22"/>
              </w:rPr>
              <w:br/>
              <w:t xml:space="preserve">(Vỹ</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4.650.000.000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4.185.000.000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07/2026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Phường Sa Pa, Tỉnh Lào Cai, khoảng cách ra ngã ba Thác Bạc khoảng 500m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10,05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thông tin khác</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Có 100m2 đất CLN kèm theo chưa có sổ</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3175000"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317500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50.00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874054"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387405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05.04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5337624"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533762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20.29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t xml:space="preserve">Đinh Thị Lan Hương</w:t>
            </w:r>
            <w:r/>
          </w:p>
        </w:tc>
      </w:tr>
      <w:tr>
        <w:trPr>
          <w:trHeight w:val="298"/>
        </w:trPr>
        <w:tc>
          <w:tcPr>
            <w:tcBorders/>
            <w:tcW w:w="4358" w:type="dxa"/>
            <w:vAlign w:val="bottom"/>
            <w:textDirection w:val="lrTb"/>
            <w:noWrap w:val="false"/>
          </w:tcPr>
          <w:p>
            <w:pPr>
              <w:pBdr/>
              <w:spacing/>
              <w:ind/>
              <w:rPr>
                <w:b/>
                <w:bCs/>
              </w:rPr>
            </w:pPr>
            <w:r>
              <w:rPr>
                <w:b/>
                <w:bCs/>
              </w:rPr>
            </w:r>
            <w:r>
              <w:rPr>
                <w:b/>
                <w:bCs/>
              </w:rPr>
            </w:r>
            <w:r>
              <w:rPr>
                <w:b/>
                <w:bCs/>
              </w:rPr>
            </w:r>
          </w:p>
        </w:tc>
        <w:tc>
          <w:tcPr>
            <w:tcBorders/>
            <w:tcW w:w="4701" w:type="dxa"/>
            <w:vAlign w:val="center"/>
            <w:textDirection w:val="lrTb"/>
            <w:noWrap/>
          </w:tcPr>
          <w:p>
            <w:pPr>
              <w:pBdr/>
              <w:spacing/>
              <w:ind/>
              <w:rPr>
                <w:b/>
                <w:bCs/>
              </w:rPr>
            </w:pPr>
            <w:r>
              <w:rPr>
                <w:b/>
                <w:bCs/>
              </w:rPr>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0325233123</w:t>
            </w:r>
            <w:r>
              <w:rPr>
                <w:sz w:val="22"/>
                <w:szCs w:val="22"/>
              </w:rPr>
              <w:t xml:space="preserve"> </w:t>
            </w:r>
            <w:r>
              <w:rPr>
                <w:sz w:val="22"/>
                <w:szCs w:val="22"/>
              </w:rPr>
              <w:br/>
              <w:t xml:space="preserve">(Sung Chang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6.800.000.000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6.120.000.000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07/2026</w:t>
            </w: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Phường Sa Pa, Tỉnh Lào Cai, khoảng cách ra đường Điện Biên Phủ khoảng 130m và cách nhà thờ Đá khoảng 800m</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136,3</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9,35</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Các thông tin khác </w:t>
            </w: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Diện tích được cấp theo GCN</w:t>
            </w: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447564"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474108378" name="" descr=""/>
                              <pic:cNvPicPr/>
                              <pic:nvPr/>
                            </pic:nvPicPr>
                            <pic:blipFill rotWithShape="1">
                              <a:blip r:embed="rId30"/>
                              <a:stretch/>
                            </pic:blipFill>
                            <pic:spPr bwMode="auto">
                              <a:xfrm>
                                <a:off x="0" y="0"/>
                                <a:ext cx="3447563"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71.46pt;height:250.00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184449"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39176751" name="" descr=""/>
                              <pic:cNvPicPr/>
                              <pic:nvPr/>
                            </pic:nvPicPr>
                            <pic:blipFill rotWithShape="1">
                              <a:blip r:embed="rId31"/>
                              <a:stretch/>
                            </pic:blipFill>
                            <pic:spPr bwMode="auto">
                              <a:xfrm>
                                <a:off x="0" y="0"/>
                                <a:ext cx="3184448"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50.74pt;height:250.00pt;mso-wrap-distance-left:0.00pt;mso-wrap-distance-top:0.00pt;mso-wrap-distance-right:0.00pt;mso-wrap-distance-bottom:0.00pt;z-index:1;" stroked="false">
                      <v:imagedata r:id="rId31" o:title=""/>
                      <o:lock v:ext="edit" rotation="t"/>
                    </v:shape>
                  </w:pict>
                </mc:Fallback>
              </mc:AlternateContent>
            </w:r>
            <w:r>
              <w:rPr>
                <w:color w:val="000000"/>
                <w:sz w:val="22"/>
                <w:szCs w:val="22"/>
              </w:rPr>
              <mc:AlternateContent>
                <mc:Choice Requires="wpg">
                  <w:drawing>
                    <wp:inline xmlns:wp="http://schemas.openxmlformats.org/drawingml/2006/wordprocessingDrawing" distT="0" distB="0" distL="0" distR="0">
                      <wp:extent cx="3885660" cy="2273640"/>
                      <wp:effectExtent l="0" t="0" r="0" b="0"/>
                      <wp:docPr id="19" name=""/>
                      <wp:cNvGraphicFramePr/>
                      <a:graphic xmlns:a="http://schemas.openxmlformats.org/drawingml/2006/main">
                        <a:graphicData uri="http://schemas.openxmlformats.org/drawingml/2006/picture">
                          <pic:pic xmlns:pic="http://schemas.openxmlformats.org/drawingml/2006/picture">
                            <pic:nvPicPr>
                              <pic:cNvPr id="504844221" name="" descr=""/>
                              <pic:cNvPicPr/>
                              <pic:nvPr/>
                            </pic:nvPicPr>
                            <pic:blipFill rotWithShape="1">
                              <a:blip r:embed="rId32"/>
                              <a:stretch/>
                            </pic:blipFill>
                            <pic:spPr bwMode="auto">
                              <a:xfrm rot="16199969" flipH="0" flipV="0">
                                <a:off x="0" y="0"/>
                                <a:ext cx="3885659" cy="227363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05.96pt;height:179.03pt;mso-wrap-distance-left:0.00pt;mso-wrap-distance-top:0.00pt;mso-wrap-distance-right:0.00pt;mso-wrap-distance-bottom:0.00pt;rotation:269;z-index:1;" stroked="false">
                      <v:imagedata r:id="rId32"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4778"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a:off x="0" y="0"/>
                                <a:ext cx="238477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78pt;height:250.00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t xml:space="preserve">Đinh Thị Lan Hương</w:t>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highlight w:val="none"/>
        </w:rPr>
      </w:pPr>
      <w:r>
        <w:rPr>
          <w:b/>
          <w:bCs/>
          <w:iCs/>
          <w:lang w:val="pt-BR"/>
        </w:rPr>
        <w:t xml:space="preserve">HỒ </w:t>
      </w:r>
      <w:r>
        <w:rPr>
          <w:b/>
          <w:bCs/>
          <w:iCs/>
          <w:lang w:val="pt-BR"/>
        </w:rPr>
        <w:t xml:space="preserve">SƠ </w:t>
      </w:r>
      <w:r>
        <w:rPr>
          <w:b/>
          <w:bCs/>
          <w:iCs/>
          <w:lang w:val="pt-BR"/>
        </w:rPr>
        <w:t xml:space="preserve">PHÁP </w:t>
      </w:r>
      <w:r>
        <w:rPr>
          <w:b/>
          <w:bCs/>
          <w:iCs/>
          <w:lang w:val="pt-BR"/>
        </w:rPr>
        <w:t xml:space="preserve">LÝ</w:t>
      </w:r>
      <w:r>
        <w:rPr>
          <w:b/>
          <w:bCs/>
        </w:rPr>
        <w:t xml:space="preserve"> CỦA TÀI SẢN</w:t>
      </w:r>
      <w:r>
        <mc:AlternateContent>
          <mc:Choice Requires="wpg">
            <w:drawing>
              <wp:inline xmlns:wp="http://schemas.openxmlformats.org/drawingml/2006/wordprocessingDrawing" distT="0" distB="0" distL="0" distR="0">
                <wp:extent cx="5895635" cy="4424740"/>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710829" name=""/>
                        <pic:cNvPicPr>
                          <a:picLocks noChangeAspect="1"/>
                        </pic:cNvPicPr>
                        <pic:nvPr/>
                      </pic:nvPicPr>
                      <pic:blipFill rotWithShape="1">
                        <a:blip r:embed="rId34"/>
                        <a:stretch/>
                      </pic:blipFill>
                      <pic:spPr bwMode="auto">
                        <a:xfrm flipH="0" flipV="0">
                          <a:off x="0" y="0"/>
                          <a:ext cx="5895634" cy="44247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464.22pt;height:348.40pt;mso-wrap-distance-left:0.00pt;mso-wrap-distance-top:0.00pt;mso-wrap-distance-right:0.00pt;mso-wrap-distance-bottom:0.00pt;z-index:1;" stroked="false">
                <v:imagedata r:id="rId34" o:title=""/>
                <o:lock v:ext="edit" rotation="t"/>
              </v:shape>
            </w:pict>
          </mc:Fallback>
        </mc:AlternateContent>
      </w:r>
      <w:r>
        <mc:AlternateContent>
          <mc:Choice Requires="wpg">
            <w:drawing>
              <wp:inline xmlns:wp="http://schemas.openxmlformats.org/drawingml/2006/wordprocessingDrawing" distT="0" distB="0" distL="0" distR="0">
                <wp:extent cx="6048375" cy="4539386"/>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032957" name=""/>
                        <pic:cNvPicPr>
                          <a:picLocks noChangeAspect="1"/>
                        </pic:cNvPicPr>
                        <pic:nvPr/>
                      </pic:nvPicPr>
                      <pic:blipFill rotWithShape="1">
                        <a:blip r:embed="rId35"/>
                        <a:stretch/>
                      </pic:blipFill>
                      <pic:spPr bwMode="auto">
                        <a:xfrm>
                          <a:off x="0" y="0"/>
                          <a:ext cx="6048374" cy="45393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76.25pt;height:357.43pt;mso-wrap-distance-left:0.00pt;mso-wrap-distance-top:0.00pt;mso-wrap-distance-right:0.00pt;mso-wrap-distance-bottom:0.00pt;z-index:1;" stroked="false">
                <v:imagedata r:id="rId35" o:title=""/>
                <o:lock v:ext="edit" rotation="t"/>
              </v:shape>
            </w:pict>
          </mc:Fallback>
        </mc:AlternateContent>
      </w:r>
      <w:r>
        <w:rPr>
          <w:b/>
          <w:bCs/>
          <w:highlight w:val="none"/>
        </w:rPr>
      </w:r>
      <w:r>
        <w:rPr>
          <w:b/>
          <w:bCs/>
          <w:highlight w:val="none"/>
        </w:rPr>
      </w:r>
    </w:p>
    <w:p>
      <w:pPr>
        <w:pBdr/>
        <w:spacing w:after="200" w:line="276" w:lineRule="auto"/>
        <w:ind/>
        <w:jc w:val="center"/>
        <w:rPr>
          <w:b/>
          <w:bCs/>
        </w:rPr>
      </w:pPr>
      <w:r>
        <w:rPr>
          <w:b/>
          <w:bCs/>
          <w:iCs/>
          <w:lang w:val="pt-BR"/>
        </w:rPr>
        <w:t xml:space="preserve">BIÊN </w:t>
      </w:r>
      <w:r>
        <w:rPr>
          <w:b/>
          <w:bCs/>
          <w:iCs/>
          <w:lang w:val="pt-BR"/>
        </w:rPr>
        <w:t xml:space="preserve">BẢN </w:t>
      </w:r>
      <w:r>
        <w:rPr>
          <w:b/>
          <w:bCs/>
          <w:iCs/>
          <w:lang w:val="pt-BR"/>
        </w:rPr>
        <w:t xml:space="preserve">KHẢO </w:t>
      </w:r>
      <w:r>
        <w:rPr>
          <w:b/>
          <w:bCs/>
          <w:iCs/>
          <w:lang w:val="pt-BR"/>
        </w:rPr>
        <w:t xml:space="preserve">SÁT</w:t>
      </w:r>
      <w:r>
        <w:rPr>
          <w:b/>
          <w:bCs/>
        </w:rPr>
      </w:r>
      <w:r>
        <w:rPr>
          <w:b/>
          <w:bCs/>
        </w:rPr>
      </w:r>
    </w:p>
    <w:p>
      <w:pPr>
        <w:pBdr/>
        <w:spacing w:after="200" w:line="276" w:lineRule="auto"/>
        <w:ind/>
        <w:rPr>
          <w:lang w:val="pt-BR"/>
        </w:rPr>
      </w:pPr>
      <w:r>
        <w:rPr>
          <w:iCs/>
          <w:lang w:val="pt-BR"/>
        </w:rPr>
      </w:r>
      <w:r>
        <mc:AlternateContent>
          <mc:Choice Requires="wpg">
            <w:drawing>
              <wp:inline xmlns:wp="http://schemas.openxmlformats.org/drawingml/2006/wordprocessingDrawing" distT="0" distB="0" distL="0" distR="0">
                <wp:extent cx="6048375" cy="806450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661312" name=""/>
                        <pic:cNvPicPr>
                          <a:picLocks noChangeAspect="1"/>
                        </pic:cNvPicPr>
                        <pic:nvPr/>
                      </pic:nvPicPr>
                      <pic:blipFill rotWithShape="1">
                        <a:blip r:embed="rId36"/>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76.25pt;height:635.00pt;mso-wrap-distance-left:0.00pt;mso-wrap-distance-top:0.00pt;mso-wrap-distance-right:0.00pt;mso-wrap-distance-bottom:0.00pt;z-index:1;" stroked="false">
                <v:imagedata r:id="rId36" o:title=""/>
                <o:lock v:ext="edit" rotation="t"/>
              </v:shape>
            </w:pict>
          </mc:Fallback>
        </mc:AlternateContent>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iCs/>
          <w:lang w:val="pt-BR"/>
        </w:rPr>
      </w:pPr>
      <w:r>
        <w:rPr>
          <w:iCs/>
          <w:lang w:val="pt-BR"/>
        </w:rPr>
      </w:r>
      <w:r>
        <w:rPr>
          <w:iCs/>
          <w:lang w:val="pt-BR"/>
        </w:rPr>
      </w:r>
      <w:r>
        <w:rPr>
          <w:iCs/>
          <w:lang w:val="pt-BR"/>
        </w:rPr>
      </w:r>
    </w:p>
    <w:sectPr>
      <w:footerReference w:type="even" r:id="rId13"/>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4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70C18668"/>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265114F1"/>
    <w:lvl w:ilvl="0">
      <w:isLgl w:val="false"/>
      <w:lvlJc w:val="left"/>
      <w:lvlText w:val="Ø"/>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39DD00F5"/>
    <w:lvl w:ilvl="0">
      <w:isLgl w:val="false"/>
      <w:lvlJc w:val="left"/>
      <w:lvlText w:val=""/>
      <w:numFmt w:val="bullet"/>
      <w:pPr>
        <w:pBdr/>
        <w:spacing/>
        <w:ind w:hanging="360" w:left="720"/>
      </w:pPr>
      <w:rPr>
        <w:rFonts w:hint="default" w:ascii="Wingdings" w:hAnsi="Wingdings" w:eastAsia="Wingdings" w:cs="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36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36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360" w:left="6480"/>
      </w:pPr>
      <w:rPr/>
      <w:start w:val="1"/>
      <w:suff w:val="tab"/>
    </w:lvl>
  </w:abstractNum>
  <w:abstractNum w:abstractNumId="40">
    <w:nsid w:val="0EAEC8C0"/>
    <w:lvl w:ilvl="0">
      <w:isLgl w:val="false"/>
      <w:lvlJc w:val="left"/>
      <w:lvlText w:val=""/>
      <w:numFmt w:val="bullet"/>
      <w:pPr>
        <w:pBdr/>
        <w:spacing/>
        <w:ind w:hanging="360" w:left="655"/>
      </w:pPr>
      <w:rPr>
        <w:rFonts w:hint="default" w:ascii="Wingdings" w:hAnsi="Wingdings" w:eastAsia="Wingdings" w:cs="Wingdings"/>
      </w:rPr>
      <w:start w:val="1"/>
      <w:suff w:val="tab"/>
    </w:lvl>
    <w:lvl w:ilvl="1">
      <w:isLgl w:val="false"/>
      <w:lvlJc w:val="left"/>
      <w:lvlText w:val="%2."/>
      <w:numFmt w:val="lowerLetter"/>
      <w:pPr>
        <w:pBdr/>
        <w:spacing/>
        <w:ind w:hanging="360" w:left="1375"/>
      </w:pPr>
      <w:rPr/>
      <w:start w:val="1"/>
      <w:suff w:val="tab"/>
    </w:lvl>
    <w:lvl w:ilvl="2">
      <w:isLgl w:val="false"/>
      <w:lvlJc w:val="right"/>
      <w:lvlText w:val="%3."/>
      <w:numFmt w:val="lowerRoman"/>
      <w:pPr>
        <w:pBdr/>
        <w:spacing/>
        <w:ind w:hanging="360" w:left="2095"/>
      </w:pPr>
      <w:rPr/>
      <w:start w:val="1"/>
      <w:suff w:val="tab"/>
    </w:lvl>
    <w:lvl w:ilvl="3">
      <w:isLgl w:val="false"/>
      <w:lvlJc w:val="left"/>
      <w:lvlText w:val="%4."/>
      <w:numFmt w:val="decimal"/>
      <w:pPr>
        <w:pBdr/>
        <w:spacing/>
        <w:ind w:hanging="360" w:left="2815"/>
      </w:pPr>
      <w:rPr/>
      <w:start w:val="1"/>
      <w:suff w:val="tab"/>
    </w:lvl>
    <w:lvl w:ilvl="4">
      <w:isLgl w:val="false"/>
      <w:lvlJc w:val="left"/>
      <w:lvlText w:val="%5."/>
      <w:numFmt w:val="lowerLetter"/>
      <w:pPr>
        <w:pBdr/>
        <w:spacing/>
        <w:ind w:hanging="360" w:left="3535"/>
      </w:pPr>
      <w:rPr/>
      <w:start w:val="1"/>
      <w:suff w:val="tab"/>
    </w:lvl>
    <w:lvl w:ilvl="5">
      <w:isLgl w:val="false"/>
      <w:lvlJc w:val="right"/>
      <w:lvlText w:val="%6."/>
      <w:numFmt w:val="lowerRoman"/>
      <w:pPr>
        <w:pBdr/>
        <w:spacing/>
        <w:ind w:hanging="360" w:left="4255"/>
      </w:pPr>
      <w:rPr/>
      <w:start w:val="1"/>
      <w:suff w:val="tab"/>
    </w:lvl>
    <w:lvl w:ilvl="6">
      <w:isLgl w:val="false"/>
      <w:lvlJc w:val="left"/>
      <w:lvlText w:val="%7."/>
      <w:numFmt w:val="decimal"/>
      <w:pPr>
        <w:pBdr/>
        <w:spacing/>
        <w:ind w:hanging="360" w:left="4975"/>
      </w:pPr>
      <w:rPr/>
      <w:start w:val="1"/>
      <w:suff w:val="tab"/>
    </w:lvl>
    <w:lvl w:ilvl="7">
      <w:isLgl w:val="false"/>
      <w:lvlJc w:val="left"/>
      <w:lvlText w:val="%8."/>
      <w:numFmt w:val="lowerLetter"/>
      <w:pPr>
        <w:pBdr/>
        <w:spacing/>
        <w:ind w:hanging="360" w:left="5695"/>
      </w:pPr>
      <w:rPr/>
      <w:start w:val="1"/>
      <w:suff w:val="tab"/>
    </w:lvl>
    <w:lvl w:ilvl="8">
      <w:isLgl w:val="false"/>
      <w:lvlJc w:val="right"/>
      <w:lvlText w:val="%9."/>
      <w:numFmt w:val="lowerRoman"/>
      <w:pPr>
        <w:pBdr/>
        <w:spacing/>
        <w:ind w:hanging="360" w:left="6415"/>
      </w:pPr>
      <w:rPr/>
      <w:start w:val="1"/>
      <w:suff w:val="tab"/>
    </w:lvl>
  </w:abstractNum>
  <w:abstractNum w:abstractNumId="41">
    <w:nsid w:val="5F1F0550"/>
    <w:lvl w:ilvl="0">
      <w:isLgl w:val="false"/>
      <w:lvlJc w:val="left"/>
      <w:lvlText w:val="Ø"/>
      <w:numFmt w:val="bullet"/>
      <w:pPr>
        <w:pBdr/>
        <w:spacing/>
        <w:ind w:hanging="360" w:left="709"/>
      </w:pPr>
      <w:rPr>
        <w:rFonts w:ascii="Wingdings" w:hAnsi="Wingdings" w:eastAsia="Wingdings" w:cs="Wingdings"/>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7">
    <w:name w:val="Table Grid Light"/>
    <w:basedOn w:val="102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Plain Table 1"/>
    <w:basedOn w:val="102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Plain Table 2"/>
    <w:basedOn w:val="102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Plain Table 3"/>
    <w:basedOn w:val="102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Plain Table 4"/>
    <w:basedOn w:val="102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Plain Table 5"/>
    <w:basedOn w:val="102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w:basedOn w:val="102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1"/>
    <w:basedOn w:val="102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 Accent 2"/>
    <w:basedOn w:val="102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1 Light - Accent 3"/>
    <w:basedOn w:val="102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1 Light - Accent 4"/>
    <w:basedOn w:val="102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1 Light - Accent 5"/>
    <w:basedOn w:val="102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1 Light - Accent 6"/>
    <w:basedOn w:val="102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w:basedOn w:val="102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1"/>
    <w:basedOn w:val="102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 Accent 2"/>
    <w:basedOn w:val="102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2 - Accent 3"/>
    <w:basedOn w:val="102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2 - Accent 4"/>
    <w:basedOn w:val="102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2 - Accent 5"/>
    <w:basedOn w:val="102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2 - Accent 6"/>
    <w:basedOn w:val="102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w:basedOn w:val="102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 Accent 1"/>
    <w:basedOn w:val="102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 Accent 2"/>
    <w:basedOn w:val="102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3 - Accent 3"/>
    <w:basedOn w:val="102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3 - Accent 4"/>
    <w:basedOn w:val="102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3 - Accent 5"/>
    <w:basedOn w:val="102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3 - Accent 6"/>
    <w:basedOn w:val="102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w:basedOn w:val="102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 Accent 1"/>
    <w:basedOn w:val="102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4 - Accent 2"/>
    <w:basedOn w:val="102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4 - Accent 3"/>
    <w:basedOn w:val="102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4 - Accent 4"/>
    <w:basedOn w:val="102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4 - Accent 5"/>
    <w:basedOn w:val="102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4 - Accent 6"/>
    <w:basedOn w:val="102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5 Dark- Accent 1"/>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5 Dark - Accent 2"/>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5 Dark - Accent 3"/>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5 Dark- Accent 4"/>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5 Dark - Accent 5"/>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5 Dark - Accent 6"/>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6 Colorful"/>
    <w:basedOn w:val="102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9">
    <w:name w:val="Grid Table 6 Colorful - Accent 1"/>
    <w:basedOn w:val="102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00">
    <w:name w:val="Grid Table 6 Colorful - Accent 2"/>
    <w:basedOn w:val="102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01">
    <w:name w:val="Grid Table 6 Colorful - Accent 3"/>
    <w:basedOn w:val="102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02">
    <w:name w:val="Grid Table 6 Colorful - Accent 4"/>
    <w:basedOn w:val="102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03">
    <w:name w:val="Grid Table 6 Colorful - Accent 5"/>
    <w:basedOn w:val="102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4">
    <w:name w:val="Grid Table 6 Colorful - Accent 6"/>
    <w:basedOn w:val="102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5">
    <w:name w:val="Grid Table 7 Colorful"/>
    <w:basedOn w:val="102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7 Colorful - Accent 1"/>
    <w:basedOn w:val="102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7 Colorful - Accent 2"/>
    <w:basedOn w:val="102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7 Colorful - Accent 3"/>
    <w:basedOn w:val="102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7 Colorful - Accent 4"/>
    <w:basedOn w:val="102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Grid Table 7 Colorful - Accent 5"/>
    <w:basedOn w:val="102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Grid Table 7 Colorful - Accent 6"/>
    <w:basedOn w:val="102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1 Light - Accent 1"/>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 Accent 2"/>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1 Light - Accent 3"/>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1 Light - Accent 4"/>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1 Light - Accent 5"/>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1 Light - Accent 6"/>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w:basedOn w:val="102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2 - Accent 1"/>
    <w:basedOn w:val="102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 Accent 2"/>
    <w:basedOn w:val="102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2 - Accent 3"/>
    <w:basedOn w:val="102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2 - Accent 4"/>
    <w:basedOn w:val="102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2 - Accent 5"/>
    <w:basedOn w:val="102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2 - Accent 6"/>
    <w:basedOn w:val="102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w:basedOn w:val="102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3 - Accent 1"/>
    <w:basedOn w:val="102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 Accent 2"/>
    <w:basedOn w:val="102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3 - Accent 3"/>
    <w:basedOn w:val="102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3 - Accent 4"/>
    <w:basedOn w:val="102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3 - Accent 5"/>
    <w:basedOn w:val="102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3 - Accent 6"/>
    <w:basedOn w:val="102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w:basedOn w:val="102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4 - Accent 1"/>
    <w:basedOn w:val="102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 Accent 2"/>
    <w:basedOn w:val="102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4 - Accent 3"/>
    <w:basedOn w:val="102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4 - Accent 4"/>
    <w:basedOn w:val="102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4 - Accent 5"/>
    <w:basedOn w:val="102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4 - Accent 6"/>
    <w:basedOn w:val="102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5 Dark"/>
    <w:basedOn w:val="102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5 Dark - Accent 1"/>
    <w:basedOn w:val="102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2">
    <w:name w:val="List Table 5 Dark - Accent 2"/>
    <w:basedOn w:val="102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5 Dark - Accent 3"/>
    <w:basedOn w:val="102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4">
    <w:name w:val="List Table 5 Dark - Accent 4"/>
    <w:basedOn w:val="102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5">
    <w:name w:val="List Table 5 Dark - Accent 5"/>
    <w:basedOn w:val="102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6">
    <w:name w:val="List Table 5 Dark - Accent 6"/>
    <w:basedOn w:val="102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7">
    <w:name w:val="List Table 6 Colorful"/>
    <w:basedOn w:val="102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 Accent 1"/>
    <w:basedOn w:val="102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6 Colorful - Accent 2"/>
    <w:basedOn w:val="102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6 Colorful - Accent 3"/>
    <w:basedOn w:val="102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6 Colorful - Accent 4"/>
    <w:basedOn w:val="102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6 Colorful - Accent 5"/>
    <w:basedOn w:val="102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st Table 6 Colorful - Accent 6"/>
    <w:basedOn w:val="102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st Table 7 Colorful"/>
    <w:basedOn w:val="102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5">
    <w:name w:val="List Table 7 Colorful - Accent 1"/>
    <w:basedOn w:val="102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6">
    <w:name w:val="List Table 7 Colorful - Accent 2"/>
    <w:basedOn w:val="102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7">
    <w:name w:val="List Table 7 Colorful - Accent 3"/>
    <w:basedOn w:val="102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8">
    <w:name w:val="List Table 7 Colorful - Accent 4"/>
    <w:basedOn w:val="102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9">
    <w:name w:val="List Table 7 Colorful - Accent 5"/>
    <w:basedOn w:val="102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60">
    <w:name w:val="List Table 7 Colorful - Accent 6"/>
    <w:basedOn w:val="102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61">
    <w:name w:val="Lined - Accent"/>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ned - Accent 1"/>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ned - Accent 2"/>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ned - Accent 3"/>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ned - Accent 4"/>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Lined - Accent 5"/>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Lined - Accent 6"/>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w:basedOn w:val="102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amp; Lined - Accent 1"/>
    <w:basedOn w:val="102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amp; Lined - Accent 2"/>
    <w:basedOn w:val="102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amp; Lined - Accent 3"/>
    <w:basedOn w:val="102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amp; Lined - Accent 4"/>
    <w:basedOn w:val="102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amp; Lined - Accent 5"/>
    <w:basedOn w:val="102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amp; Lined - Accent 6"/>
    <w:basedOn w:val="102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w:basedOn w:val="102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 Accent 1"/>
    <w:basedOn w:val="102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 Accent 2"/>
    <w:basedOn w:val="102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 Accent 3"/>
    <w:basedOn w:val="102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 Accent 4"/>
    <w:basedOn w:val="102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Bordered - Accent 5"/>
    <w:basedOn w:val="102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Bordered - Accent 6"/>
    <w:basedOn w:val="102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82">
    <w:name w:val="Heading 5"/>
    <w:basedOn w:val="1023"/>
    <w:next w:val="1023"/>
    <w:link w:val="98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83">
    <w:name w:val="Heading 6"/>
    <w:basedOn w:val="1023"/>
    <w:next w:val="1023"/>
    <w:link w:val="98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4">
    <w:name w:val="Heading 7"/>
    <w:basedOn w:val="1023"/>
    <w:next w:val="1023"/>
    <w:link w:val="98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5">
    <w:name w:val="Heading 8"/>
    <w:basedOn w:val="1023"/>
    <w:next w:val="1023"/>
    <w:link w:val="99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6">
    <w:name w:val="Heading 9"/>
    <w:basedOn w:val="1023"/>
    <w:next w:val="1023"/>
    <w:link w:val="99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7">
    <w:name w:val="Heading 5 Char"/>
    <w:basedOn w:val="1028"/>
    <w:link w:val="982"/>
    <w:uiPriority w:val="9"/>
    <w:pPr>
      <w:pBdr/>
      <w:spacing/>
      <w:ind/>
    </w:pPr>
    <w:rPr>
      <w:rFonts w:ascii="Arial" w:hAnsi="Arial" w:eastAsia="Arial" w:cs="Arial"/>
      <w:color w:val="0f4761" w:themeColor="accent1" w:themeShade="BF"/>
    </w:rPr>
  </w:style>
  <w:style w:type="character" w:styleId="988">
    <w:name w:val="Heading 6 Char"/>
    <w:basedOn w:val="1028"/>
    <w:link w:val="983"/>
    <w:uiPriority w:val="9"/>
    <w:pPr>
      <w:pBdr/>
      <w:spacing/>
      <w:ind/>
    </w:pPr>
    <w:rPr>
      <w:rFonts w:ascii="Arial" w:hAnsi="Arial" w:eastAsia="Arial" w:cs="Arial"/>
      <w:i/>
      <w:iCs/>
      <w:color w:val="595959" w:themeColor="text1" w:themeTint="A6"/>
    </w:rPr>
  </w:style>
  <w:style w:type="character" w:styleId="989">
    <w:name w:val="Heading 7 Char"/>
    <w:basedOn w:val="1028"/>
    <w:link w:val="984"/>
    <w:uiPriority w:val="9"/>
    <w:pPr>
      <w:pBdr/>
      <w:spacing/>
      <w:ind/>
    </w:pPr>
    <w:rPr>
      <w:rFonts w:ascii="Arial" w:hAnsi="Arial" w:eastAsia="Arial" w:cs="Arial"/>
      <w:color w:val="595959" w:themeColor="text1" w:themeTint="A6"/>
    </w:rPr>
  </w:style>
  <w:style w:type="character" w:styleId="990">
    <w:name w:val="Heading 8 Char"/>
    <w:basedOn w:val="1028"/>
    <w:link w:val="985"/>
    <w:uiPriority w:val="9"/>
    <w:pPr>
      <w:pBdr/>
      <w:spacing/>
      <w:ind/>
    </w:pPr>
    <w:rPr>
      <w:rFonts w:ascii="Arial" w:hAnsi="Arial" w:eastAsia="Arial" w:cs="Arial"/>
      <w:i/>
      <w:iCs/>
      <w:color w:val="272727" w:themeColor="text1" w:themeTint="D8"/>
    </w:rPr>
  </w:style>
  <w:style w:type="character" w:styleId="991">
    <w:name w:val="Heading 9 Char"/>
    <w:basedOn w:val="1028"/>
    <w:link w:val="986"/>
    <w:uiPriority w:val="9"/>
    <w:pPr>
      <w:pBdr/>
      <w:spacing/>
      <w:ind/>
    </w:pPr>
    <w:rPr>
      <w:rFonts w:ascii="Arial" w:hAnsi="Arial" w:eastAsia="Arial" w:cs="Arial"/>
      <w:i/>
      <w:iCs/>
      <w:color w:val="272727" w:themeColor="text1" w:themeTint="D8"/>
    </w:rPr>
  </w:style>
  <w:style w:type="paragraph" w:styleId="992">
    <w:name w:val="Subtitle"/>
    <w:basedOn w:val="1023"/>
    <w:next w:val="1023"/>
    <w:link w:val="993"/>
    <w:uiPriority w:val="11"/>
    <w:qFormat/>
    <w:pPr>
      <w:numPr>
        <w:ilvl w:val="1"/>
      </w:numPr>
      <w:pBdr/>
      <w:spacing/>
      <w:ind/>
    </w:pPr>
    <w:rPr>
      <w:color w:val="595959" w:themeColor="text1" w:themeTint="A6"/>
      <w:spacing w:val="15"/>
      <w:sz w:val="28"/>
      <w:szCs w:val="28"/>
    </w:rPr>
  </w:style>
  <w:style w:type="character" w:styleId="993">
    <w:name w:val="Subtitle Char"/>
    <w:basedOn w:val="1028"/>
    <w:link w:val="992"/>
    <w:uiPriority w:val="11"/>
    <w:pPr>
      <w:pBdr/>
      <w:spacing/>
      <w:ind/>
    </w:pPr>
    <w:rPr>
      <w:color w:val="595959" w:themeColor="text1" w:themeTint="A6"/>
      <w:spacing w:val="15"/>
      <w:sz w:val="28"/>
      <w:szCs w:val="28"/>
    </w:rPr>
  </w:style>
  <w:style w:type="paragraph" w:styleId="994">
    <w:name w:val="Quote"/>
    <w:basedOn w:val="1023"/>
    <w:next w:val="1023"/>
    <w:link w:val="995"/>
    <w:uiPriority w:val="29"/>
    <w:qFormat/>
    <w:pPr>
      <w:pBdr/>
      <w:spacing w:before="160"/>
      <w:ind/>
      <w:jc w:val="center"/>
    </w:pPr>
    <w:rPr>
      <w:i/>
      <w:iCs/>
      <w:color w:val="404040" w:themeColor="text1" w:themeTint="BF"/>
    </w:rPr>
  </w:style>
  <w:style w:type="character" w:styleId="995">
    <w:name w:val="Quote Char"/>
    <w:basedOn w:val="1028"/>
    <w:link w:val="994"/>
    <w:uiPriority w:val="29"/>
    <w:pPr>
      <w:pBdr/>
      <w:spacing/>
      <w:ind/>
    </w:pPr>
    <w:rPr>
      <w:i/>
      <w:iCs/>
      <w:color w:val="404040" w:themeColor="text1" w:themeTint="BF"/>
    </w:rPr>
  </w:style>
  <w:style w:type="character" w:styleId="996">
    <w:name w:val="Intense Emphasis"/>
    <w:basedOn w:val="1028"/>
    <w:uiPriority w:val="21"/>
    <w:qFormat/>
    <w:pPr>
      <w:pBdr/>
      <w:spacing/>
      <w:ind/>
    </w:pPr>
    <w:rPr>
      <w:i/>
      <w:iCs/>
      <w:color w:val="0f4761" w:themeColor="accent1" w:themeShade="BF"/>
    </w:rPr>
  </w:style>
  <w:style w:type="paragraph" w:styleId="997">
    <w:name w:val="Intense Quote"/>
    <w:basedOn w:val="1023"/>
    <w:next w:val="1023"/>
    <w:link w:val="99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8">
    <w:name w:val="Intense Quote Char"/>
    <w:basedOn w:val="1028"/>
    <w:link w:val="997"/>
    <w:uiPriority w:val="30"/>
    <w:pPr>
      <w:pBdr/>
      <w:spacing/>
      <w:ind/>
    </w:pPr>
    <w:rPr>
      <w:i/>
      <w:iCs/>
      <w:color w:val="0f4761" w:themeColor="accent1" w:themeShade="BF"/>
    </w:rPr>
  </w:style>
  <w:style w:type="character" w:styleId="999">
    <w:name w:val="Intense Reference"/>
    <w:basedOn w:val="1028"/>
    <w:uiPriority w:val="32"/>
    <w:qFormat/>
    <w:pPr>
      <w:pBdr/>
      <w:spacing/>
      <w:ind/>
    </w:pPr>
    <w:rPr>
      <w:b/>
      <w:bCs/>
      <w:smallCaps/>
      <w:color w:val="0f4761" w:themeColor="accent1" w:themeShade="BF"/>
      <w:spacing w:val="5"/>
    </w:rPr>
  </w:style>
  <w:style w:type="paragraph" w:styleId="1000">
    <w:name w:val="No Spacing"/>
    <w:basedOn w:val="1023"/>
    <w:uiPriority w:val="1"/>
    <w:qFormat/>
    <w:pPr>
      <w:pBdr/>
      <w:spacing w:after="0" w:line="240" w:lineRule="auto"/>
      <w:ind/>
    </w:pPr>
  </w:style>
  <w:style w:type="character" w:styleId="1001">
    <w:name w:val="Subtle Emphasis"/>
    <w:basedOn w:val="1028"/>
    <w:uiPriority w:val="19"/>
    <w:qFormat/>
    <w:pPr>
      <w:pBdr/>
      <w:spacing/>
      <w:ind/>
    </w:pPr>
    <w:rPr>
      <w:i/>
      <w:iCs/>
      <w:color w:val="404040" w:themeColor="text1" w:themeTint="BF"/>
    </w:rPr>
  </w:style>
  <w:style w:type="character" w:styleId="1002">
    <w:name w:val="Subtle Reference"/>
    <w:basedOn w:val="1028"/>
    <w:uiPriority w:val="31"/>
    <w:qFormat/>
    <w:pPr>
      <w:pBdr/>
      <w:spacing/>
      <w:ind/>
    </w:pPr>
    <w:rPr>
      <w:smallCaps/>
      <w:color w:val="5a5a5a" w:themeColor="text1" w:themeTint="A5"/>
    </w:rPr>
  </w:style>
  <w:style w:type="character" w:styleId="1003">
    <w:name w:val="Book Title"/>
    <w:basedOn w:val="1028"/>
    <w:uiPriority w:val="33"/>
    <w:qFormat/>
    <w:pPr>
      <w:pBdr/>
      <w:spacing/>
      <w:ind/>
    </w:pPr>
    <w:rPr>
      <w:b/>
      <w:bCs/>
      <w:i/>
      <w:iCs/>
      <w:spacing w:val="5"/>
    </w:rPr>
  </w:style>
  <w:style w:type="paragraph" w:styleId="1004">
    <w:name w:val="Caption"/>
    <w:basedOn w:val="1023"/>
    <w:next w:val="1023"/>
    <w:uiPriority w:val="35"/>
    <w:unhideWhenUsed/>
    <w:qFormat/>
    <w:pPr>
      <w:pBdr/>
      <w:spacing w:after="200" w:line="240" w:lineRule="auto"/>
      <w:ind/>
    </w:pPr>
    <w:rPr>
      <w:i/>
      <w:iCs/>
      <w:color w:val="0e2841" w:themeColor="text2"/>
      <w:sz w:val="18"/>
      <w:szCs w:val="18"/>
    </w:rPr>
  </w:style>
  <w:style w:type="paragraph" w:styleId="1005">
    <w:name w:val="footnote text"/>
    <w:basedOn w:val="1023"/>
    <w:link w:val="1006"/>
    <w:uiPriority w:val="99"/>
    <w:semiHidden/>
    <w:unhideWhenUsed/>
    <w:pPr>
      <w:pBdr/>
      <w:spacing w:after="0" w:line="240" w:lineRule="auto"/>
      <w:ind/>
    </w:pPr>
    <w:rPr>
      <w:sz w:val="20"/>
      <w:szCs w:val="20"/>
    </w:rPr>
  </w:style>
  <w:style w:type="character" w:styleId="1006">
    <w:name w:val="Footnote Text Char"/>
    <w:basedOn w:val="1028"/>
    <w:link w:val="1005"/>
    <w:uiPriority w:val="99"/>
    <w:semiHidden/>
    <w:pPr>
      <w:pBdr/>
      <w:spacing/>
      <w:ind/>
    </w:pPr>
    <w:rPr>
      <w:sz w:val="20"/>
      <w:szCs w:val="20"/>
    </w:rPr>
  </w:style>
  <w:style w:type="character" w:styleId="1007">
    <w:name w:val="footnote reference"/>
    <w:basedOn w:val="1028"/>
    <w:uiPriority w:val="99"/>
    <w:semiHidden/>
    <w:unhideWhenUsed/>
    <w:pPr>
      <w:pBdr/>
      <w:spacing/>
      <w:ind/>
    </w:pPr>
    <w:rPr>
      <w:vertAlign w:val="superscript"/>
    </w:rPr>
  </w:style>
  <w:style w:type="paragraph" w:styleId="1008">
    <w:name w:val="endnote text"/>
    <w:basedOn w:val="1023"/>
    <w:link w:val="1009"/>
    <w:uiPriority w:val="99"/>
    <w:semiHidden/>
    <w:unhideWhenUsed/>
    <w:pPr>
      <w:pBdr/>
      <w:spacing w:after="0" w:line="240" w:lineRule="auto"/>
      <w:ind/>
    </w:pPr>
    <w:rPr>
      <w:sz w:val="20"/>
      <w:szCs w:val="20"/>
    </w:rPr>
  </w:style>
  <w:style w:type="character" w:styleId="1009">
    <w:name w:val="Endnote Text Char"/>
    <w:basedOn w:val="1028"/>
    <w:link w:val="1008"/>
    <w:uiPriority w:val="99"/>
    <w:semiHidden/>
    <w:pPr>
      <w:pBdr/>
      <w:spacing/>
      <w:ind/>
    </w:pPr>
    <w:rPr>
      <w:sz w:val="20"/>
      <w:szCs w:val="20"/>
    </w:rPr>
  </w:style>
  <w:style w:type="character" w:styleId="1010">
    <w:name w:val="endnote reference"/>
    <w:basedOn w:val="1028"/>
    <w:uiPriority w:val="99"/>
    <w:semiHidden/>
    <w:unhideWhenUsed/>
    <w:pPr>
      <w:pBdr/>
      <w:spacing/>
      <w:ind/>
    </w:pPr>
    <w:rPr>
      <w:vertAlign w:val="superscript"/>
    </w:rPr>
  </w:style>
  <w:style w:type="paragraph" w:styleId="1011">
    <w:name w:val="toc 1"/>
    <w:basedOn w:val="1023"/>
    <w:next w:val="1023"/>
    <w:uiPriority w:val="39"/>
    <w:unhideWhenUsed/>
    <w:pPr>
      <w:pBdr/>
      <w:spacing w:after="100"/>
      <w:ind/>
    </w:pPr>
  </w:style>
  <w:style w:type="paragraph" w:styleId="1012">
    <w:name w:val="toc 2"/>
    <w:basedOn w:val="1023"/>
    <w:next w:val="1023"/>
    <w:uiPriority w:val="39"/>
    <w:unhideWhenUsed/>
    <w:pPr>
      <w:pBdr/>
      <w:spacing w:after="100"/>
      <w:ind w:left="220"/>
    </w:pPr>
  </w:style>
  <w:style w:type="paragraph" w:styleId="1013">
    <w:name w:val="toc 3"/>
    <w:basedOn w:val="1023"/>
    <w:next w:val="1023"/>
    <w:uiPriority w:val="39"/>
    <w:unhideWhenUsed/>
    <w:pPr>
      <w:pBdr/>
      <w:spacing w:after="100"/>
      <w:ind w:left="440"/>
    </w:pPr>
  </w:style>
  <w:style w:type="paragraph" w:styleId="1014">
    <w:name w:val="toc 4"/>
    <w:basedOn w:val="1023"/>
    <w:next w:val="1023"/>
    <w:uiPriority w:val="39"/>
    <w:unhideWhenUsed/>
    <w:pPr>
      <w:pBdr/>
      <w:spacing w:after="100"/>
      <w:ind w:left="660"/>
    </w:pPr>
  </w:style>
  <w:style w:type="paragraph" w:styleId="1015">
    <w:name w:val="toc 5"/>
    <w:basedOn w:val="1023"/>
    <w:next w:val="1023"/>
    <w:uiPriority w:val="39"/>
    <w:unhideWhenUsed/>
    <w:pPr>
      <w:pBdr/>
      <w:spacing w:after="100"/>
      <w:ind w:left="880"/>
    </w:pPr>
  </w:style>
  <w:style w:type="paragraph" w:styleId="1016">
    <w:name w:val="toc 6"/>
    <w:basedOn w:val="1023"/>
    <w:next w:val="1023"/>
    <w:uiPriority w:val="39"/>
    <w:unhideWhenUsed/>
    <w:pPr>
      <w:pBdr/>
      <w:spacing w:after="100"/>
      <w:ind w:left="1100"/>
    </w:pPr>
  </w:style>
  <w:style w:type="paragraph" w:styleId="1017">
    <w:name w:val="toc 7"/>
    <w:basedOn w:val="1023"/>
    <w:next w:val="1023"/>
    <w:uiPriority w:val="39"/>
    <w:unhideWhenUsed/>
    <w:pPr>
      <w:pBdr/>
      <w:spacing w:after="100"/>
      <w:ind w:left="1320"/>
    </w:pPr>
  </w:style>
  <w:style w:type="paragraph" w:styleId="1018">
    <w:name w:val="toc 8"/>
    <w:basedOn w:val="1023"/>
    <w:next w:val="1023"/>
    <w:uiPriority w:val="39"/>
    <w:unhideWhenUsed/>
    <w:pPr>
      <w:pBdr/>
      <w:spacing w:after="100"/>
      <w:ind w:left="1540"/>
    </w:pPr>
  </w:style>
  <w:style w:type="paragraph" w:styleId="1019">
    <w:name w:val="toc 9"/>
    <w:basedOn w:val="1023"/>
    <w:next w:val="1023"/>
    <w:uiPriority w:val="39"/>
    <w:unhideWhenUsed/>
    <w:pPr>
      <w:pBdr/>
      <w:spacing w:after="100"/>
      <w:ind w:left="1760"/>
    </w:pPr>
  </w:style>
  <w:style w:type="character" w:styleId="1020">
    <w:name w:val="Placeholder Text"/>
    <w:basedOn w:val="1028"/>
    <w:uiPriority w:val="99"/>
    <w:semiHidden/>
    <w:pPr>
      <w:pBdr/>
      <w:spacing/>
      <w:ind/>
    </w:pPr>
    <w:rPr>
      <w:color w:val="666666"/>
    </w:rPr>
  </w:style>
  <w:style w:type="paragraph" w:styleId="1021">
    <w:name w:val="TOC Heading"/>
    <w:uiPriority w:val="39"/>
    <w:unhideWhenUsed/>
    <w:pPr>
      <w:pBdr/>
      <w:spacing/>
      <w:ind/>
    </w:pPr>
  </w:style>
  <w:style w:type="paragraph" w:styleId="1022">
    <w:name w:val="table of figures"/>
    <w:basedOn w:val="1023"/>
    <w:next w:val="1023"/>
    <w:uiPriority w:val="99"/>
    <w:unhideWhenUsed/>
    <w:pPr>
      <w:pBdr/>
      <w:spacing w:after="0" w:afterAutospacing="0"/>
      <w:ind/>
    </w:pPr>
  </w:style>
  <w:style w:type="paragraph" w:styleId="1023" w:default="1">
    <w:name w:val="Normal"/>
    <w:qFormat/>
    <w:pPr>
      <w:pBdr/>
      <w:spacing w:after="0" w:line="240" w:lineRule="auto"/>
      <w:ind/>
    </w:pPr>
    <w:rPr>
      <w:rFonts w:ascii="Times New Roman" w:hAnsi="Times New Roman" w:eastAsia="Times New Roman" w:cs="Times New Roman"/>
      <w:sz w:val="24"/>
      <w:szCs w:val="24"/>
    </w:rPr>
  </w:style>
  <w:style w:type="paragraph" w:styleId="1024">
    <w:name w:val="Heading 1"/>
    <w:basedOn w:val="1023"/>
    <w:next w:val="1023"/>
    <w:link w:val="1031"/>
    <w:qFormat/>
    <w:pPr>
      <w:keepNext w:val="true"/>
      <w:pBdr/>
      <w:spacing w:after="120" w:before="120"/>
      <w:ind/>
      <w:jc w:val="center"/>
      <w:outlineLvl w:val="0"/>
    </w:pPr>
    <w:rPr>
      <w:b/>
      <w:bCs/>
      <w:sz w:val="27"/>
      <w:szCs w:val="27"/>
    </w:rPr>
  </w:style>
  <w:style w:type="paragraph" w:styleId="1025">
    <w:name w:val="Heading 2"/>
    <w:basedOn w:val="1023"/>
    <w:next w:val="1023"/>
    <w:link w:val="103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6">
    <w:name w:val="Heading 3"/>
    <w:basedOn w:val="1023"/>
    <w:next w:val="1023"/>
    <w:link w:val="1033"/>
    <w:qFormat/>
    <w:pPr>
      <w:keepNext w:val="true"/>
      <w:pBdr/>
      <w:spacing w:before="60"/>
      <w:ind/>
      <w:outlineLvl w:val="2"/>
    </w:pPr>
    <w:rPr>
      <w:sz w:val="28"/>
      <w:szCs w:val="28"/>
    </w:rPr>
  </w:style>
  <w:style w:type="paragraph" w:styleId="1027">
    <w:name w:val="Heading 4"/>
    <w:basedOn w:val="1023"/>
    <w:next w:val="1023"/>
    <w:link w:val="1034"/>
    <w:qFormat/>
    <w:pPr>
      <w:keepNext w:val="true"/>
      <w:pBdr/>
      <w:spacing/>
      <w:ind/>
      <w:jc w:val="center"/>
      <w:outlineLvl w:val="3"/>
    </w:pPr>
    <w:rPr>
      <w:b/>
      <w:bCs/>
    </w:rPr>
  </w:style>
  <w:style w:type="character" w:styleId="1028" w:default="1">
    <w:name w:val="Default Paragraph Font"/>
    <w:uiPriority w:val="1"/>
    <w:semiHidden/>
    <w:unhideWhenUsed/>
    <w:pPr>
      <w:pBdr/>
      <w:spacing/>
      <w:ind/>
    </w:pPr>
  </w:style>
  <w:style w:type="table" w:styleId="102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30" w:default="1">
    <w:name w:val="No List"/>
    <w:uiPriority w:val="99"/>
    <w:semiHidden/>
    <w:unhideWhenUsed/>
    <w:pPr>
      <w:pBdr/>
      <w:spacing/>
      <w:ind/>
    </w:pPr>
  </w:style>
  <w:style w:type="character" w:styleId="1031" w:customStyle="1">
    <w:name w:val="Heading 1 Char"/>
    <w:basedOn w:val="1028"/>
    <w:link w:val="1024"/>
    <w:pPr>
      <w:pBdr/>
      <w:spacing/>
      <w:ind/>
    </w:pPr>
    <w:rPr>
      <w:rFonts w:ascii="Times New Roman" w:hAnsi="Times New Roman" w:eastAsia="Times New Roman" w:cs="Times New Roman"/>
      <w:b/>
      <w:bCs/>
      <w:sz w:val="27"/>
      <w:szCs w:val="27"/>
    </w:rPr>
  </w:style>
  <w:style w:type="character" w:styleId="1032" w:customStyle="1">
    <w:name w:val="Heading 2 Char"/>
    <w:basedOn w:val="1028"/>
    <w:link w:val="1025"/>
    <w:uiPriority w:val="9"/>
    <w:pPr>
      <w:pBdr/>
      <w:spacing/>
      <w:ind/>
    </w:pPr>
    <w:rPr>
      <w:rFonts w:asciiTheme="majorHAnsi" w:hAnsiTheme="majorHAnsi" w:eastAsiaTheme="majorEastAsia" w:cstheme="majorBidi"/>
      <w:color w:val="365f91" w:themeColor="accent1" w:themeShade="BF"/>
      <w:sz w:val="26"/>
      <w:szCs w:val="26"/>
    </w:rPr>
  </w:style>
  <w:style w:type="character" w:styleId="1033" w:customStyle="1">
    <w:name w:val="Heading 3 Char"/>
    <w:basedOn w:val="1028"/>
    <w:link w:val="1026"/>
    <w:pPr>
      <w:pBdr/>
      <w:spacing/>
      <w:ind/>
    </w:pPr>
    <w:rPr>
      <w:rFonts w:ascii="Times New Roman" w:hAnsi="Times New Roman" w:eastAsia="Times New Roman" w:cs="Times New Roman"/>
      <w:sz w:val="28"/>
      <w:szCs w:val="28"/>
    </w:rPr>
  </w:style>
  <w:style w:type="character" w:styleId="1034" w:customStyle="1">
    <w:name w:val="Heading 4 Char"/>
    <w:basedOn w:val="1028"/>
    <w:link w:val="1027"/>
    <w:pPr>
      <w:pBdr/>
      <w:spacing/>
      <w:ind/>
    </w:pPr>
    <w:rPr>
      <w:rFonts w:ascii="Times New Roman" w:hAnsi="Times New Roman" w:eastAsia="Times New Roman" w:cs="Times New Roman"/>
      <w:b/>
      <w:bCs/>
      <w:sz w:val="24"/>
      <w:szCs w:val="24"/>
    </w:rPr>
  </w:style>
  <w:style w:type="character" w:styleId="1035">
    <w:name w:val="Hyperlink"/>
    <w:uiPriority w:val="99"/>
    <w:pPr>
      <w:pBdr/>
      <w:spacing/>
      <w:ind/>
    </w:pPr>
    <w:rPr>
      <w:color w:val="000000"/>
      <w:u w:val="single"/>
    </w:rPr>
  </w:style>
  <w:style w:type="character" w:styleId="1036">
    <w:name w:val="Strong"/>
    <w:uiPriority w:val="22"/>
    <w:qFormat/>
    <w:pPr>
      <w:pBdr/>
      <w:spacing/>
      <w:ind/>
    </w:pPr>
    <w:rPr>
      <w:b/>
      <w:bCs/>
    </w:rPr>
  </w:style>
  <w:style w:type="paragraph" w:styleId="1037">
    <w:name w:val="Balloon Text"/>
    <w:basedOn w:val="1023"/>
    <w:link w:val="1038"/>
    <w:uiPriority w:val="99"/>
    <w:semiHidden/>
    <w:unhideWhenUsed/>
    <w:pPr>
      <w:pBdr/>
      <w:spacing/>
      <w:ind/>
    </w:pPr>
    <w:rPr>
      <w:rFonts w:ascii="Tahoma" w:hAnsi="Tahoma" w:cs="Tahoma"/>
      <w:sz w:val="16"/>
      <w:szCs w:val="16"/>
    </w:rPr>
  </w:style>
  <w:style w:type="character" w:styleId="1038" w:customStyle="1">
    <w:name w:val="Balloon Text Char"/>
    <w:basedOn w:val="1028"/>
    <w:link w:val="1037"/>
    <w:uiPriority w:val="99"/>
    <w:semiHidden/>
    <w:pPr>
      <w:pBdr/>
      <w:spacing/>
      <w:ind/>
    </w:pPr>
    <w:rPr>
      <w:rFonts w:ascii="Tahoma" w:hAnsi="Tahoma" w:eastAsia="Times New Roman" w:cs="Tahoma"/>
      <w:sz w:val="16"/>
      <w:szCs w:val="16"/>
    </w:rPr>
  </w:style>
  <w:style w:type="paragraph" w:styleId="1039">
    <w:name w:val="Header"/>
    <w:basedOn w:val="1023"/>
    <w:link w:val="1040"/>
    <w:unhideWhenUsed/>
    <w:pPr>
      <w:pBdr/>
      <w:tabs>
        <w:tab w:val="center" w:leader="none" w:pos="4680"/>
        <w:tab w:val="right" w:leader="none" w:pos="9360"/>
      </w:tabs>
      <w:spacing/>
      <w:ind/>
    </w:pPr>
  </w:style>
  <w:style w:type="character" w:styleId="1040" w:customStyle="1">
    <w:name w:val="Header Char"/>
    <w:basedOn w:val="1028"/>
    <w:link w:val="1039"/>
    <w:pPr>
      <w:pBdr/>
      <w:spacing/>
      <w:ind/>
    </w:pPr>
    <w:rPr>
      <w:rFonts w:ascii="Times New Roman" w:hAnsi="Times New Roman" w:eastAsia="Times New Roman" w:cs="Times New Roman"/>
      <w:sz w:val="24"/>
      <w:szCs w:val="24"/>
    </w:rPr>
  </w:style>
  <w:style w:type="paragraph" w:styleId="1041">
    <w:name w:val="Footer"/>
    <w:basedOn w:val="1023"/>
    <w:link w:val="1042"/>
    <w:uiPriority w:val="99"/>
    <w:unhideWhenUsed/>
    <w:pPr>
      <w:pBdr/>
      <w:tabs>
        <w:tab w:val="center" w:leader="none" w:pos="4680"/>
        <w:tab w:val="right" w:leader="none" w:pos="9360"/>
      </w:tabs>
      <w:spacing/>
      <w:ind/>
    </w:pPr>
  </w:style>
  <w:style w:type="character" w:styleId="1042" w:customStyle="1">
    <w:name w:val="Footer Char"/>
    <w:basedOn w:val="1028"/>
    <w:link w:val="1041"/>
    <w:uiPriority w:val="99"/>
    <w:pPr>
      <w:pBdr/>
      <w:spacing/>
      <w:ind/>
    </w:pPr>
    <w:rPr>
      <w:rFonts w:ascii="Times New Roman" w:hAnsi="Times New Roman" w:eastAsia="Times New Roman" w:cs="Times New Roman"/>
      <w:sz w:val="24"/>
      <w:szCs w:val="24"/>
    </w:rPr>
  </w:style>
  <w:style w:type="character" w:styleId="1043" w:customStyle="1">
    <w:name w:val="normal-h1"/>
    <w:pPr>
      <w:pBdr/>
      <w:spacing/>
      <w:ind/>
    </w:pPr>
    <w:rPr>
      <w:rFonts w:hint="default" w:ascii=".VnTime" w:hAnsi=".VnTime"/>
      <w:color w:val="0000ff"/>
      <w:sz w:val="24"/>
      <w:szCs w:val="24"/>
    </w:rPr>
  </w:style>
  <w:style w:type="paragraph" w:styleId="1044" w:customStyle="1">
    <w:name w:val="normal-p"/>
    <w:basedOn w:val="1023"/>
    <w:pPr>
      <w:pBdr/>
      <w:spacing/>
      <w:ind/>
      <w:jc w:val="both"/>
    </w:pPr>
    <w:rPr>
      <w:sz w:val="20"/>
      <w:szCs w:val="20"/>
    </w:rPr>
  </w:style>
  <w:style w:type="paragraph" w:styleId="1045">
    <w:name w:val="List Paragraph"/>
    <w:basedOn w:val="1023"/>
    <w:link w:val="1132"/>
    <w:uiPriority w:val="34"/>
    <w:qFormat/>
    <w:pPr>
      <w:pBdr/>
      <w:spacing/>
      <w:ind w:left="720"/>
    </w:pPr>
  </w:style>
  <w:style w:type="paragraph" w:styleId="1046">
    <w:name w:val="Normal (Web)"/>
    <w:basedOn w:val="1023"/>
    <w:uiPriority w:val="99"/>
    <w:pPr>
      <w:pBdr/>
      <w:spacing w:after="100" w:afterAutospacing="1" w:before="100" w:beforeAutospacing="1"/>
      <w:ind/>
    </w:pPr>
  </w:style>
  <w:style w:type="paragraph" w:styleId="1047">
    <w:name w:val="Body Text"/>
    <w:basedOn w:val="1023"/>
    <w:link w:val="1048"/>
    <w:pPr>
      <w:pBdr/>
      <w:spacing w:after="120"/>
      <w:ind/>
      <w:jc w:val="both"/>
    </w:pPr>
  </w:style>
  <w:style w:type="character" w:styleId="1048" w:customStyle="1">
    <w:name w:val="Body Text Char"/>
    <w:basedOn w:val="1028"/>
    <w:link w:val="1047"/>
    <w:pPr>
      <w:pBdr/>
      <w:spacing/>
      <w:ind/>
    </w:pPr>
    <w:rPr>
      <w:rFonts w:ascii="Times New Roman" w:hAnsi="Times New Roman" w:eastAsia="Times New Roman" w:cs="Times New Roman"/>
      <w:sz w:val="24"/>
      <w:szCs w:val="24"/>
    </w:rPr>
  </w:style>
  <w:style w:type="table" w:styleId="1049">
    <w:name w:val="Table Grid"/>
    <w:basedOn w:val="102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5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51">
    <w:name w:val="annotation reference"/>
    <w:basedOn w:val="1028"/>
    <w:uiPriority w:val="99"/>
    <w:semiHidden/>
    <w:unhideWhenUsed/>
    <w:pPr>
      <w:pBdr/>
      <w:spacing/>
      <w:ind/>
    </w:pPr>
    <w:rPr>
      <w:sz w:val="16"/>
      <w:szCs w:val="16"/>
    </w:rPr>
  </w:style>
  <w:style w:type="paragraph" w:styleId="1052">
    <w:name w:val="annotation text"/>
    <w:basedOn w:val="1023"/>
    <w:link w:val="1053"/>
    <w:uiPriority w:val="99"/>
    <w:unhideWhenUsed/>
    <w:pPr>
      <w:pBdr/>
      <w:spacing/>
      <w:ind/>
    </w:pPr>
    <w:rPr>
      <w:sz w:val="20"/>
      <w:szCs w:val="20"/>
    </w:rPr>
  </w:style>
  <w:style w:type="character" w:styleId="1053" w:customStyle="1">
    <w:name w:val="Comment Text Char"/>
    <w:basedOn w:val="1028"/>
    <w:link w:val="1052"/>
    <w:uiPriority w:val="99"/>
    <w:pPr>
      <w:pBdr/>
      <w:spacing/>
      <w:ind/>
    </w:pPr>
    <w:rPr>
      <w:rFonts w:ascii="Times New Roman" w:hAnsi="Times New Roman" w:eastAsia="Times New Roman" w:cs="Times New Roman"/>
      <w:sz w:val="20"/>
      <w:szCs w:val="20"/>
    </w:rPr>
  </w:style>
  <w:style w:type="paragraph" w:styleId="1054">
    <w:name w:val="annotation subject"/>
    <w:basedOn w:val="1052"/>
    <w:next w:val="1052"/>
    <w:link w:val="1055"/>
    <w:uiPriority w:val="99"/>
    <w:semiHidden/>
    <w:unhideWhenUsed/>
    <w:pPr>
      <w:pBdr/>
      <w:spacing/>
      <w:ind/>
    </w:pPr>
    <w:rPr>
      <w:b/>
      <w:bCs/>
    </w:rPr>
  </w:style>
  <w:style w:type="character" w:styleId="1055" w:customStyle="1">
    <w:name w:val="Comment Subject Char"/>
    <w:basedOn w:val="1053"/>
    <w:link w:val="1054"/>
    <w:uiPriority w:val="99"/>
    <w:semiHidden/>
    <w:pPr>
      <w:pBdr/>
      <w:spacing/>
      <w:ind/>
    </w:pPr>
    <w:rPr>
      <w:rFonts w:ascii="Times New Roman" w:hAnsi="Times New Roman" w:eastAsia="Times New Roman" w:cs="Times New Roman"/>
      <w:b/>
      <w:bCs/>
      <w:sz w:val="20"/>
      <w:szCs w:val="20"/>
    </w:rPr>
  </w:style>
  <w:style w:type="paragraph" w:styleId="1056" w:customStyle="1">
    <w:name w:val="font5"/>
    <w:basedOn w:val="1023"/>
    <w:pPr>
      <w:pBdr/>
      <w:spacing w:after="100" w:afterAutospacing="1" w:before="100" w:beforeAutospacing="1"/>
      <w:ind/>
    </w:pPr>
    <w:rPr>
      <w:rFonts w:ascii="Tahoma" w:hAnsi="Tahoma" w:cs="Tahoma"/>
      <w:color w:val="000000"/>
      <w:sz w:val="18"/>
      <w:szCs w:val="18"/>
    </w:rPr>
  </w:style>
  <w:style w:type="paragraph" w:styleId="1057" w:customStyle="1">
    <w:name w:val="font6"/>
    <w:basedOn w:val="1023"/>
    <w:pPr>
      <w:pBdr/>
      <w:spacing w:after="100" w:afterAutospacing="1" w:before="100" w:beforeAutospacing="1"/>
      <w:ind/>
    </w:pPr>
    <w:rPr>
      <w:rFonts w:ascii="Tahoma" w:hAnsi="Tahoma" w:cs="Tahoma"/>
      <w:b/>
      <w:bCs/>
      <w:color w:val="000000"/>
      <w:sz w:val="18"/>
      <w:szCs w:val="18"/>
    </w:rPr>
  </w:style>
  <w:style w:type="paragraph" w:styleId="1058" w:customStyle="1">
    <w:name w:val="xl233"/>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34"/>
    <w:basedOn w:val="1023"/>
    <w:pPr>
      <w:pBdr/>
      <w:spacing w:after="100" w:afterAutospacing="1" w:before="100" w:beforeAutospacing="1"/>
      <w:ind/>
      <w:jc w:val="center"/>
    </w:pPr>
  </w:style>
  <w:style w:type="paragraph" w:styleId="1060" w:customStyle="1">
    <w:name w:val="xl235"/>
    <w:basedOn w:val="1023"/>
    <w:pPr>
      <w:pBdr/>
      <w:spacing w:after="100" w:afterAutospacing="1" w:before="100" w:beforeAutospacing="1"/>
      <w:ind/>
      <w:jc w:val="center"/>
    </w:pPr>
    <w:rPr>
      <w:b/>
      <w:bCs/>
    </w:rPr>
  </w:style>
  <w:style w:type="paragraph" w:styleId="1061" w:customStyle="1">
    <w:name w:val="xl236"/>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37"/>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3" w:customStyle="1">
    <w:name w:val="xl238"/>
    <w:basedOn w:val="102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4" w:customStyle="1">
    <w:name w:val="xl239"/>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5" w:customStyle="1">
    <w:name w:val="xl240"/>
    <w:basedOn w:val="1023"/>
    <w:pPr>
      <w:pBdr/>
      <w:spacing w:after="100" w:afterAutospacing="1" w:before="100" w:beforeAutospacing="1"/>
      <w:ind/>
    </w:pPr>
  </w:style>
  <w:style w:type="paragraph" w:styleId="1066" w:customStyle="1">
    <w:name w:val="xl241"/>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7" w:customStyle="1">
    <w:name w:val="xl242"/>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8" w:customStyle="1">
    <w:name w:val="xl243"/>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44"/>
    <w:basedOn w:val="1023"/>
    <w:pPr>
      <w:pBdr/>
      <w:spacing w:after="100" w:afterAutospacing="1" w:before="100" w:beforeAutospacing="1"/>
      <w:ind/>
    </w:pPr>
    <w:rPr>
      <w:b/>
      <w:bCs/>
    </w:rPr>
  </w:style>
  <w:style w:type="paragraph" w:styleId="1070" w:customStyle="1">
    <w:name w:val="xl245"/>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1" w:customStyle="1">
    <w:name w:val="xl246"/>
    <w:basedOn w:val="102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47"/>
    <w:basedOn w:val="102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3" w:customStyle="1">
    <w:name w:val="xl248"/>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49"/>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50"/>
    <w:basedOn w:val="102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51"/>
    <w:basedOn w:val="102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7" w:customStyle="1">
    <w:name w:val="xl252"/>
    <w:basedOn w:val="102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8" w:customStyle="1">
    <w:name w:val="xl253"/>
    <w:basedOn w:val="102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54"/>
    <w:basedOn w:val="102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55"/>
    <w:basedOn w:val="102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1" w:customStyle="1">
    <w:name w:val="xl256"/>
    <w:basedOn w:val="102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82" w:customStyle="1">
    <w:name w:val="xl257"/>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58"/>
    <w:basedOn w:val="102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4" w:customStyle="1">
    <w:name w:val="xl259"/>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5" w:customStyle="1">
    <w:name w:val="xl260"/>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61"/>
    <w:basedOn w:val="102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7" w:customStyle="1">
    <w:name w:val="xl262"/>
    <w:basedOn w:val="102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8" w:customStyle="1">
    <w:name w:val="xl263"/>
    <w:basedOn w:val="1023"/>
    <w:pPr>
      <w:pBdr/>
      <w:shd w:val="clear" w:color="000000" w:fill="ffffff"/>
      <w:spacing w:after="100" w:afterAutospacing="1" w:before="100" w:beforeAutospacing="1"/>
      <w:ind/>
    </w:pPr>
  </w:style>
  <w:style w:type="paragraph" w:styleId="1089" w:customStyle="1">
    <w:name w:val="xl264"/>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65"/>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66"/>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92" w:customStyle="1">
    <w:name w:val="xl267"/>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68"/>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4" w:customStyle="1">
    <w:name w:val="xl269"/>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5" w:customStyle="1">
    <w:name w:val="xl270"/>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71"/>
    <w:basedOn w:val="102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7" w:customStyle="1">
    <w:name w:val="xl272"/>
    <w:basedOn w:val="102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8" w:customStyle="1">
    <w:name w:val="xl273"/>
    <w:basedOn w:val="102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9" w:customStyle="1">
    <w:name w:val="xl274"/>
    <w:basedOn w:val="102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00" w:customStyle="1">
    <w:name w:val="xl275"/>
    <w:basedOn w:val="1023"/>
    <w:pPr>
      <w:pBdr/>
      <w:spacing w:after="100" w:afterAutospacing="1" w:before="100" w:beforeAutospacing="1"/>
      <w:ind/>
    </w:pPr>
  </w:style>
  <w:style w:type="paragraph" w:styleId="1101" w:customStyle="1">
    <w:name w:val="xl276"/>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2" w:customStyle="1">
    <w:name w:val="xl277"/>
    <w:basedOn w:val="102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03" w:customStyle="1">
    <w:name w:val="xl278"/>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customStyle="1">
    <w:name w:val="xl279"/>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5" w:customStyle="1">
    <w:name w:val="xl280"/>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6" w:customStyle="1">
    <w:name w:val="xl281"/>
    <w:basedOn w:val="102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7" w:customStyle="1">
    <w:name w:val="xl282"/>
    <w:basedOn w:val="102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8" w:customStyle="1">
    <w:name w:val="xl283"/>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84"/>
    <w:basedOn w:val="1023"/>
    <w:pPr>
      <w:pBdr>
        <w:left w:val="single" w:color="000000" w:sz="4" w:space="0"/>
        <w:bottom w:val="single" w:color="000000" w:sz="4" w:space="0"/>
        <w:right w:val="single" w:color="000000" w:sz="4" w:space="0"/>
      </w:pBdr>
      <w:spacing w:after="100" w:afterAutospacing="1" w:before="100" w:beforeAutospacing="1"/>
      <w:ind/>
    </w:pPr>
  </w:style>
  <w:style w:type="paragraph" w:styleId="1110" w:customStyle="1">
    <w:name w:val="xl285"/>
    <w:basedOn w:val="102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11" w:customStyle="1">
    <w:name w:val="xl286"/>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2" w:customStyle="1">
    <w:name w:val="xl287"/>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3" w:customStyle="1">
    <w:name w:val="xl288"/>
    <w:basedOn w:val="1023"/>
    <w:pPr>
      <w:pBdr>
        <w:top w:val="single" w:color="000000" w:sz="4" w:space="0"/>
        <w:left w:val="single" w:color="000000" w:sz="4" w:space="0"/>
        <w:right w:val="single" w:color="000000" w:sz="4" w:space="0"/>
      </w:pBdr>
      <w:spacing w:after="100" w:afterAutospacing="1" w:before="100" w:beforeAutospacing="1"/>
      <w:ind/>
    </w:pPr>
  </w:style>
  <w:style w:type="paragraph" w:styleId="1114" w:customStyle="1">
    <w:name w:val="xl289"/>
    <w:basedOn w:val="1023"/>
    <w:pPr>
      <w:pBdr>
        <w:left w:val="single" w:color="000000" w:sz="4" w:space="0"/>
        <w:right w:val="single" w:color="000000" w:sz="4" w:space="0"/>
      </w:pBdr>
      <w:spacing w:after="100" w:afterAutospacing="1" w:before="100" w:beforeAutospacing="1"/>
      <w:ind/>
    </w:pPr>
    <w:rPr>
      <w:b/>
      <w:bCs/>
    </w:rPr>
  </w:style>
  <w:style w:type="paragraph" w:styleId="1115" w:customStyle="1">
    <w:name w:val="xl290"/>
    <w:basedOn w:val="102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6" w:customStyle="1">
    <w:name w:val="xl291"/>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7" w:customStyle="1">
    <w:name w:val="xl292"/>
    <w:basedOn w:val="1023"/>
    <w:pPr>
      <w:pBdr>
        <w:top w:val="single" w:color="000000" w:sz="4" w:space="0"/>
        <w:left w:val="single" w:color="000000" w:sz="4" w:space="0"/>
        <w:right w:val="single" w:color="000000" w:sz="4" w:space="0"/>
      </w:pBdr>
      <w:spacing w:after="100" w:afterAutospacing="1" w:before="100" w:beforeAutospacing="1"/>
      <w:ind/>
    </w:pPr>
  </w:style>
  <w:style w:type="paragraph" w:styleId="1118" w:customStyle="1">
    <w:name w:val="xl293"/>
    <w:basedOn w:val="1023"/>
    <w:pPr>
      <w:pBdr>
        <w:left w:val="single" w:color="000000" w:sz="4" w:space="0"/>
        <w:bottom w:val="single" w:color="000000" w:sz="4" w:space="0"/>
        <w:right w:val="single" w:color="000000" w:sz="4" w:space="0"/>
      </w:pBdr>
      <w:spacing w:after="100" w:afterAutospacing="1" w:before="100" w:beforeAutospacing="1"/>
      <w:ind/>
    </w:pPr>
  </w:style>
  <w:style w:type="paragraph" w:styleId="1119" w:customStyle="1">
    <w:name w:val="xl294"/>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0">
    <w:name w:val="Title"/>
    <w:basedOn w:val="1023"/>
    <w:link w:val="1121"/>
    <w:qFormat/>
    <w:pPr>
      <w:pBdr/>
      <w:spacing/>
      <w:ind/>
      <w:jc w:val="center"/>
    </w:pPr>
    <w:rPr>
      <w:b/>
      <w:bCs/>
      <w:sz w:val="32"/>
      <w:szCs w:val="26"/>
    </w:rPr>
  </w:style>
  <w:style w:type="character" w:styleId="1121" w:customStyle="1">
    <w:name w:val="Title Char"/>
    <w:basedOn w:val="1028"/>
    <w:link w:val="1120"/>
    <w:pPr>
      <w:pBdr/>
      <w:spacing/>
      <w:ind/>
    </w:pPr>
    <w:rPr>
      <w:rFonts w:ascii="Times New Roman" w:hAnsi="Times New Roman" w:eastAsia="Times New Roman" w:cs="Times New Roman"/>
      <w:b/>
      <w:bCs/>
      <w:sz w:val="32"/>
      <w:szCs w:val="26"/>
    </w:rPr>
  </w:style>
  <w:style w:type="character" w:styleId="1122" w:customStyle="1">
    <w:name w:val="Unresolved Mention1"/>
    <w:basedOn w:val="1028"/>
    <w:uiPriority w:val="99"/>
    <w:semiHidden/>
    <w:unhideWhenUsed/>
    <w:pPr>
      <w:pBdr/>
      <w:spacing/>
      <w:ind/>
    </w:pPr>
    <w:rPr>
      <w:color w:val="605e5c"/>
      <w:shd w:val="clear" w:color="auto" w:fill="e1dfdd"/>
    </w:rPr>
  </w:style>
  <w:style w:type="character" w:styleId="1123" w:customStyle="1">
    <w:name w:val="Body text (3)_"/>
    <w:link w:val="1124"/>
    <w:pPr>
      <w:pBdr/>
      <w:spacing/>
      <w:ind/>
    </w:pPr>
    <w:rPr>
      <w:rFonts w:ascii="Times New Roman" w:hAnsi="Times New Roman" w:cs="Times New Roman"/>
      <w:i/>
      <w:iCs/>
      <w:spacing w:val="4"/>
      <w:shd w:val="clear" w:color="auto" w:fill="ffffff"/>
    </w:rPr>
  </w:style>
  <w:style w:type="paragraph" w:styleId="1124" w:customStyle="1">
    <w:name w:val="Body text (3)1"/>
    <w:basedOn w:val="1023"/>
    <w:link w:val="112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5" w:customStyle="1">
    <w:name w:val="t-j"/>
    <w:basedOn w:val="1023"/>
    <w:pPr>
      <w:pBdr/>
      <w:spacing w:after="100" w:afterAutospacing="1" w:before="100" w:beforeAutospacing="1"/>
      <w:ind/>
    </w:pPr>
  </w:style>
  <w:style w:type="character" w:styleId="1126" w:customStyle="1">
    <w:name w:val="Unresolved Mention2"/>
    <w:basedOn w:val="1028"/>
    <w:uiPriority w:val="99"/>
    <w:semiHidden/>
    <w:unhideWhenUsed/>
    <w:pPr>
      <w:pBdr/>
      <w:spacing/>
      <w:ind/>
    </w:pPr>
    <w:rPr>
      <w:color w:val="605e5c"/>
      <w:shd w:val="clear" w:color="auto" w:fill="e1dfdd"/>
    </w:rPr>
  </w:style>
  <w:style w:type="character" w:styleId="1127">
    <w:name w:val="FollowedHyperlink"/>
    <w:basedOn w:val="1028"/>
    <w:uiPriority w:val="99"/>
    <w:semiHidden/>
    <w:unhideWhenUsed/>
    <w:pPr>
      <w:pBdr/>
      <w:spacing/>
      <w:ind/>
    </w:pPr>
    <w:rPr>
      <w:color w:val="800080" w:themeColor="followedHyperlink"/>
      <w:u w:val="single"/>
    </w:rPr>
  </w:style>
  <w:style w:type="character" w:styleId="1128" w:customStyle="1">
    <w:name w:val="text"/>
    <w:basedOn w:val="1028"/>
    <w:pPr>
      <w:pBdr/>
      <w:spacing/>
      <w:ind/>
    </w:pPr>
  </w:style>
  <w:style w:type="character" w:styleId="1129" w:customStyle="1">
    <w:name w:val="card-send-time__sendtime"/>
    <w:basedOn w:val="1028"/>
    <w:pPr>
      <w:pBdr/>
      <w:spacing/>
      <w:ind/>
    </w:pPr>
  </w:style>
  <w:style w:type="character" w:styleId="1130" w:customStyle="1">
    <w:name w:val="Đề cập Chưa giải quyết1"/>
    <w:basedOn w:val="1028"/>
    <w:uiPriority w:val="99"/>
    <w:semiHidden/>
    <w:unhideWhenUsed/>
    <w:pPr>
      <w:pBdr/>
      <w:spacing/>
      <w:ind/>
    </w:pPr>
    <w:rPr>
      <w:color w:val="605e5c"/>
      <w:shd w:val="clear" w:color="auto" w:fill="e1dfdd"/>
    </w:rPr>
  </w:style>
  <w:style w:type="paragraph" w:styleId="1131" w:customStyle="1">
    <w:name w:val="nqtitle"/>
    <w:basedOn w:val="1023"/>
    <w:pPr>
      <w:pBdr/>
      <w:spacing w:after="100" w:afterAutospacing="1" w:before="100" w:beforeAutospacing="1"/>
      <w:ind/>
    </w:pPr>
    <w:rPr>
      <w:lang w:val="vi-VN" w:eastAsia="vi-VN"/>
    </w:rPr>
  </w:style>
  <w:style w:type="character" w:styleId="1132" w:customStyle="1">
    <w:name w:val="List Paragraph Char"/>
    <w:link w:val="1045"/>
    <w:uiPriority w:val="34"/>
    <w:qFormat/>
    <w:pPr>
      <w:pBdr/>
      <w:spacing/>
      <w:ind/>
    </w:pPr>
    <w:rPr>
      <w:rFonts w:ascii="Times New Roman" w:hAnsi="Times New Roman" w:eastAsia="Times New Roman" w:cs="Times New Roman"/>
      <w:sz w:val="24"/>
      <w:szCs w:val="24"/>
    </w:rPr>
  </w:style>
  <w:style w:type="character" w:styleId="1133" w:customStyle="1">
    <w:name w:val="Đề cập Chưa giải quyết2"/>
    <w:basedOn w:val="1028"/>
    <w:uiPriority w:val="99"/>
    <w:semiHidden/>
    <w:unhideWhenUsed/>
    <w:pPr>
      <w:pBdr/>
      <w:spacing/>
      <w:ind/>
    </w:pPr>
    <w:rPr>
      <w:color w:val="605e5c"/>
      <w:shd w:val="clear" w:color="auto" w:fill="e1dfdd"/>
    </w:rPr>
  </w:style>
  <w:style w:type="character" w:styleId="1134" w:customStyle="1">
    <w:name w:val="Unresolved Mention3"/>
    <w:basedOn w:val="1028"/>
    <w:uiPriority w:val="99"/>
    <w:semiHidden/>
    <w:unhideWhenUsed/>
    <w:pPr>
      <w:pBdr/>
      <w:spacing/>
      <w:ind/>
    </w:pPr>
    <w:rPr>
      <w:color w:val="605e5c"/>
      <w:shd w:val="clear" w:color="auto" w:fill="e1dfdd"/>
    </w:rPr>
  </w:style>
  <w:style w:type="character" w:styleId="1135" w:customStyle="1">
    <w:name w:val="copy"/>
    <w:basedOn w:val="1028"/>
    <w:pPr>
      <w:pBdr/>
      <w:spacing/>
      <w:ind/>
    </w:pPr>
  </w:style>
  <w:style w:type="paragraph" w:styleId="1136" w:customStyle="1">
    <w:name w:val="align-justify"/>
    <w:basedOn w:val="1023"/>
    <w:pPr>
      <w:pBdr/>
      <w:spacing w:after="100" w:afterAutospacing="1" w:before="100" w:beforeAutospacing="1"/>
      <w:ind/>
    </w:pPr>
  </w:style>
  <w:style w:type="character" w:styleId="1137" w:customStyle="1">
    <w:name w:val="btn"/>
    <w:basedOn w:val="1028"/>
    <w:pPr>
      <w:pBdr/>
      <w:spacing/>
      <w:ind/>
    </w:pPr>
  </w:style>
  <w:style w:type="character" w:styleId="1138" w:customStyle="1">
    <w:name w:val="hide_mobile"/>
    <w:basedOn w:val="1028"/>
    <w:pPr>
      <w:pBdr/>
      <w:spacing/>
      <w:ind/>
    </w:pPr>
  </w:style>
  <w:style w:type="character" w:styleId="1139">
    <w:name w:val="Emphasis"/>
    <w:basedOn w:val="1028"/>
    <w:uiPriority w:val="20"/>
    <w:qFormat/>
    <w:pPr>
      <w:pBdr/>
      <w:spacing/>
      <w:ind/>
    </w:pPr>
    <w:rPr>
      <w:i/>
      <w:iCs/>
    </w:rPr>
  </w:style>
  <w:style w:type="character" w:styleId="1140" w:customStyle="1">
    <w:name w:val="t1"/>
    <w:basedOn w:val="1028"/>
    <w:pPr>
      <w:pBdr/>
      <w:spacing/>
      <w:ind/>
    </w:pPr>
  </w:style>
  <w:style w:type="character" w:styleId="1141" w:customStyle="1">
    <w:name w:val="Unresolved Mention4"/>
    <w:basedOn w:val="1028"/>
    <w:uiPriority w:val="99"/>
    <w:semiHidden/>
    <w:unhideWhenUsed/>
    <w:pPr>
      <w:pBdr/>
      <w:spacing/>
      <w:ind/>
    </w:pPr>
    <w:rPr>
      <w:color w:val="605e5c"/>
      <w:shd w:val="clear" w:color="auto" w:fill="e1dfdd"/>
    </w:rPr>
  </w:style>
  <w:style w:type="character" w:styleId="1142">
    <w:name w:val="Unresolved Mention"/>
    <w:basedOn w:val="102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footer" Target="footer3.xml" /><Relationship Id="rId14" Type="http://schemas.openxmlformats.org/officeDocument/2006/relationships/customXml" Target="../customXml/item1.xml" /><Relationship Id="rId15" Type="http://schemas.openxmlformats.org/officeDocument/2006/relationships/image" Target="media/image2.jpg"/><Relationship Id="rId16" Type="http://schemas.openxmlformats.org/officeDocument/2006/relationships/hyperlink" Target="mailto:ilotus.contact@gmail.com" TargetMode="External"/><Relationship Id="rId17" Type="http://schemas.openxmlformats.org/officeDocument/2006/relationships/hyperlink" Target="mailto:ilotus.contact@gmail.com" TargetMode="External"/><Relationship Id="rId18" Type="http://schemas.openxmlformats.org/officeDocument/2006/relationships/image" Target="media/image3.png"/><Relationship Id="rId19" Type="http://schemas.openxmlformats.org/officeDocument/2006/relationships/image" Target="media/image4.png"/><Relationship Id="rId20" Type="http://schemas.openxmlformats.org/officeDocument/2006/relationships/image" Target="media/image5.png"/><Relationship Id="rId21" Type="http://schemas.openxmlformats.org/officeDocument/2006/relationships/image" Target="media/image6.png"/><Relationship Id="rId22" Type="http://schemas.openxmlformats.org/officeDocument/2006/relationships/image" Target="media/image7.png"/><Relationship Id="rId23" Type="http://schemas.openxmlformats.org/officeDocument/2006/relationships/image" Target="media/image8.png"/><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 Id="rId31" Type="http://schemas.openxmlformats.org/officeDocument/2006/relationships/image" Target="media/image16.png"/><Relationship Id="rId32" Type="http://schemas.openxmlformats.org/officeDocument/2006/relationships/image" Target="media/image17.png"/><Relationship Id="rId33" Type="http://schemas.openxmlformats.org/officeDocument/2006/relationships/image" Target="media/image18.png"/><Relationship Id="rId34" Type="http://schemas.openxmlformats.org/officeDocument/2006/relationships/image" Target="media/image19.png"/><Relationship Id="rId35" Type="http://schemas.openxmlformats.org/officeDocument/2006/relationships/image" Target="media/image20.png"/><Relationship Id="rId36" Type="http://schemas.openxmlformats.org/officeDocument/2006/relationships/image" Target="media/image21.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Đinh Thị Lan Hương</cp:lastModifiedBy>
  <cp:revision>512</cp:revision>
  <dcterms:created xsi:type="dcterms:W3CDTF">2025-09-15T02:01:00Z</dcterms:created>
  <dcterms:modified xsi:type="dcterms:W3CDTF">2026-08-07T09:15:41Z</dcterms:modified>
</cp:coreProperties>
</file>