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0493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0493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275/2026/0975/VFI-CT.57.A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BÙI THANH CƯƠNG</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 w:val="0"/>
                                <w:bCs w:val="0"/>
                                <w:i/>
                                <w:iCs/>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b w:val="0"/>
                                <w:bCs w:val="0"/>
                                <w:color w:val="000000" w:themeColor="text1"/>
                                <w:sz w:val="24"/>
                              </w:rPr>
                              <w:t xml:space="preserve">Giá trị quyền sử dụng đ</w:t>
                            </w:r>
                            <w:r>
                              <w:rPr>
                                <w:rFonts w:ascii="Times New Roman" w:hAnsi="Times New Roman" w:eastAsia="Times New Roman" w:cs="Times New Roman"/>
                                <w:b w:val="0"/>
                                <w:bCs w:val="0"/>
                                <w:color w:val="000000"/>
                                <w:sz w:val="24"/>
                              </w:rPr>
                              <w:t xml:space="preserve">ất và tài sản gắn liền với đất tại thửa đất số: 42, tờ bản đồ số 8 có địa chỉ: Số 29 khu Monaco 01 - ô số 3 lô O4-6, khu đô thị thị Vinhomes Imperia, phường Thượng Lý, quận Hồng Bàng, thành phố Hải Phòng (nay đổi thành Số 29 khu Mona</w:t>
                            </w:r>
                            <w:r>
                              <w:rPr>
                                <w:rFonts w:ascii="Times New Roman" w:hAnsi="Times New Roman" w:eastAsia="Times New Roman" w:cs="Times New Roman"/>
                                <w:b w:val="0"/>
                                <w:bCs w:val="0"/>
                                <w:color w:val="000000"/>
                                <w:sz w:val="24"/>
                              </w:rPr>
                              <w:t xml:space="preserve">co 01 - ô số 3 lô O4-6, khu đô thị thị Vinhomes Imperia, phường Hồng Bàng, thành phố Hải Phòng) theo Giấy chứng nhận quyền sử dụng đất quyền sở hữu nhà ở và tài sản khác gắn liền với đất số: CX 432908, số vào sổ cấp GCN: CH 01243 do Ủy ban nhân dân quận Hồ</w:t>
                            </w:r>
                            <w:r>
                              <w:rPr>
                                <w:rFonts w:ascii="Times New Roman" w:hAnsi="Times New Roman" w:eastAsia="Times New Roman" w:cs="Times New Roman"/>
                                <w:b w:val="0"/>
                                <w:bCs w:val="0"/>
                                <w:color w:val="000000"/>
                                <w:sz w:val="24"/>
                              </w:rPr>
                              <w:t xml:space="preserve">ng Bàng cấp ngày 30/10/2020; Chủ sử dụng đất là Ông Bùi Thanh Cương và vợ là bà Nguyễn Thị Hồng</w:t>
                            </w:r>
                            <w:r>
                              <w:rPr>
                                <w:b w:val="0"/>
                                <w:bCs w:val="0"/>
                                <w:i/>
                                <w:iCs/>
                              </w:rPr>
                            </w:r>
                            <w:r>
                              <w:rPr>
                                <w:b w:val="0"/>
                                <w:bCs w:val="0"/>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8.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275/2026/0975/VFI-CT.57.A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BÙI THANH CƯƠNG</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 w:val="0"/>
                          <w:bCs w:val="0"/>
                          <w:i/>
                          <w:iCs/>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b w:val="0"/>
                          <w:bCs w:val="0"/>
                          <w:color w:val="000000" w:themeColor="text1"/>
                          <w:sz w:val="24"/>
                        </w:rPr>
                        <w:t xml:space="preserve">Giá trị quyền sử dụng đ</w:t>
                      </w:r>
                      <w:r>
                        <w:rPr>
                          <w:rFonts w:ascii="Times New Roman" w:hAnsi="Times New Roman" w:eastAsia="Times New Roman" w:cs="Times New Roman"/>
                          <w:b w:val="0"/>
                          <w:bCs w:val="0"/>
                          <w:color w:val="000000"/>
                          <w:sz w:val="24"/>
                        </w:rPr>
                        <w:t xml:space="preserve">ất và tài sản gắn liền với đất tại thửa đất số: 42, tờ bản đồ số 8 có địa chỉ: Số 29 khu Monaco 01 - ô số 3 lô O4-6, khu đô thị thị Vinhomes Imperia, phường Thượng Lý, quận Hồng Bàng, thành phố Hải Phòng (nay đổi thành Số 29 khu Mona</w:t>
                      </w:r>
                      <w:r>
                        <w:rPr>
                          <w:rFonts w:ascii="Times New Roman" w:hAnsi="Times New Roman" w:eastAsia="Times New Roman" w:cs="Times New Roman"/>
                          <w:b w:val="0"/>
                          <w:bCs w:val="0"/>
                          <w:color w:val="000000"/>
                          <w:sz w:val="24"/>
                        </w:rPr>
                        <w:t xml:space="preserve">co 01 - ô số 3 lô O4-6, khu đô thị thị Vinhomes Imperia, phường Hồng Bàng, thành phố Hải Phòng) theo Giấy chứng nhận quyền sử dụng đất quyền sở hữu nhà ở và tài sản khác gắn liền với đất số: CX 432908, số vào sổ cấp GCN: CH 01243 do Ủy ban nhân dân quận Hồ</w:t>
                      </w:r>
                      <w:r>
                        <w:rPr>
                          <w:rFonts w:ascii="Times New Roman" w:hAnsi="Times New Roman" w:eastAsia="Times New Roman" w:cs="Times New Roman"/>
                          <w:b w:val="0"/>
                          <w:bCs w:val="0"/>
                          <w:color w:val="000000"/>
                          <w:sz w:val="24"/>
                        </w:rPr>
                        <w:t xml:space="preserve">ng Bàng cấp ngày 30/10/2020; Chủ sử dụng đất là Ông Bùi Thanh Cương và vợ là bà Nguyễn Thị Hồng</w:t>
                      </w:r>
                      <w:r>
                        <w:rPr>
                          <w:b w:val="0"/>
                          <w:bCs w:val="0"/>
                          <w:i/>
                          <w:iCs/>
                        </w:rPr>
                      </w:r>
                      <w:r>
                        <w:rPr>
                          <w:b w:val="0"/>
                          <w:bCs w:val="0"/>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24-31</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275/2026/0975/VFI-CT.57.A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30 tháng 6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BÙI THANH CƯƠNG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275/2026/0975/VFI-HĐTĐ.57.A</w:t>
      </w:r>
      <w:r>
        <w:rPr>
          <w:spacing w:val="-4"/>
          <w:lang w:val="vi-VN"/>
        </w:rPr>
        <w:t xml:space="preserve"> ký ngày </w:t>
      </w:r>
      <w:r>
        <w:rPr>
          <w:color w:val="000000" w:themeColor="text1"/>
          <w:spacing w:val="-4"/>
        </w:rPr>
        <w:t xml:space="preserve">29 tháng 6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z w:val="24"/>
        </w:rPr>
        <w:t xml:space="preserve">Công Ty TNHH Tân Cương</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275/2026/0975/VFI-BC.57.A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both"/>
              <w:rPr/>
            </w:pPr>
            <w:r>
              <w:rPr>
                <w:rFonts w:ascii="Times New Roman" w:hAnsi="Times New Roman" w:eastAsia="Times New Roman" w:cs="Times New Roman"/>
                <w:b/>
                <w:color w:val="000000"/>
                <w:sz w:val="24"/>
              </w:rPr>
            </w:r>
            <w:r>
              <w:rPr>
                <w:rFonts w:ascii="Times New Roman Bold" w:hAnsi="Times New Roman Bold"/>
                <w:b/>
                <w:color w:val="000000" w:themeColor="text1"/>
                <w:lang w:val="pt-BR"/>
              </w:rPr>
              <w:t xml:space="preserve">ÔNG BÙI THANH CƯƠNG</w:t>
            </w:r>
            <w:r>
              <w:rPr>
                <w:rFonts w:ascii="Times New Roman" w:hAnsi="Times New Roman" w:eastAsia="Times New Roman" w:cs="Times New Roman"/>
                <w:b/>
                <w:color w:val="000000"/>
                <w:sz w:val="24"/>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030087009443</w:t>
            </w:r>
            <w:r>
              <w:rPr>
                <w:rFonts w:ascii="Times New Roman" w:hAnsi="Times New Roman" w:eastAsia="Times New Roman" w:cs="Times New Roman"/>
                <w:color w:val="000000"/>
                <w:sz w:val="24"/>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both"/>
              <w:rPr>
                <w:rFonts w:ascii="Times New Roman" w:hAnsi="Times New Roman" w:eastAsia="Times New Roman" w:cs="Times New Roman"/>
                <w:sz w:val="24"/>
              </w:rPr>
            </w:pPr>
            <w:r>
              <w:rPr>
                <w:rFonts w:ascii="Times New Roman" w:hAnsi="Times New Roman" w:eastAsia="Times New Roman" w:cs="Times New Roman"/>
                <w:sz w:val="24"/>
              </w:rPr>
            </w:r>
            <w:r>
              <w:rPr>
                <w:rFonts w:ascii="Times New Roman" w:hAnsi="Times New Roman" w:eastAsia="Times New Roman" w:cs="Times New Roman"/>
                <w:color w:val="000000"/>
                <w:sz w:val="24"/>
              </w:rPr>
              <w:t xml:space="preserve">1987</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t xml:space="preserve">Thôn </w:t>
            </w:r>
            <w:r>
              <w:rPr>
                <w:rFonts w:ascii="Times New Roman" w:hAnsi="Times New Roman" w:eastAsia="Times New Roman" w:cs="Times New Roman"/>
                <w:color w:val="000000" w:themeColor="text1"/>
                <w:spacing w:val="3"/>
                <w:sz w:val="24"/>
                <w:szCs w:val="24"/>
                <w:highlight w:val="none"/>
              </w:rPr>
              <w:t xml:space="preserve">B</w:t>
            </w:r>
            <w:r>
              <w:rPr>
                <w:rFonts w:ascii="Times New Roman" w:hAnsi="Times New Roman" w:eastAsia="Times New Roman" w:cs="Times New Roman"/>
                <w:color w:val="000000" w:themeColor="text1"/>
                <w:spacing w:val="3"/>
                <w:sz w:val="24"/>
                <w:szCs w:val="24"/>
                <w:highlight w:val="white"/>
              </w:rPr>
              <w:t xml:space="preserve">ãi Mạc, xã Phú Thái, thành phố Hải Phòng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Giá trị quyền sử dụng đất và tài sản gắn liền với đất tại thửa đất số: 42, tờ bản đồ số 8 có địa chỉ: Số 29 khu Monaco 01 - ô số 3 lô O4-6, khu đô thị thị Vinhomes Imperia, phường Thượng Lý, quận Hồng Bàng, thành phố Hải Phòng (nay đổi thành Số 29 khu Mona</w:t>
      </w:r>
      <w:r>
        <w:rPr>
          <w:rFonts w:ascii="Times New Roman" w:hAnsi="Times New Roman" w:eastAsia="Times New Roman" w:cs="Times New Roman"/>
          <w:color w:val="000000"/>
          <w:sz w:val="24"/>
        </w:rPr>
        <w:t xml:space="preserve">co 01 - ô số 3 lô O4-6, khu đô thị thị Vinhomes Imperia, phường Hồng Bàng, thành phố Hải Phòng) theo Giấy chứng nhận quyền sử dụng đất quyền sở hữu nhà ở và tài sản khác gắn liền với đất số: CX 432908, số vào sổ cấp GCN: CH 01243 do Ủy ban nhân dân quận Hồ</w:t>
      </w:r>
      <w:r>
        <w:rPr>
          <w:rFonts w:ascii="Times New Roman" w:hAnsi="Times New Roman" w:eastAsia="Times New Roman" w:cs="Times New Roman"/>
          <w:color w:val="000000"/>
          <w:sz w:val="24"/>
        </w:rPr>
        <w:t xml:space="preserve">ng Bàng cấp ngày 30/10/2020; Chủ sử dụng đất là Ông Bùi Thanh Cương và vợ là bà Nguyễn Thị Hồng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50"/>
        <w:gridCol w:w="1829"/>
        <w:gridCol w:w="1417"/>
        <w:gridCol w:w="1984"/>
        <w:gridCol w:w="1472"/>
        <w:gridCol w:w="2073"/>
      </w:tblGrid>
      <w:tr>
        <w:trPr>
          <w:trHeight w:val="20"/>
        </w:trPr>
        <w:tc>
          <w:tcPr>
            <w:shd w:val="clear" w:color="000000" w:fill="ffffff"/>
            <w:tcBorders/>
            <w:tcW w:w="750"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829"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1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984"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472" w:type="dxa"/>
            <w:vAlign w:val="center"/>
            <w:textDirection w:val="lrTb"/>
            <w:noWrap w:val="false"/>
          </w:tcPr>
          <w:p>
            <w:pPr>
              <w:pBdr/>
              <w:spacing/>
              <w:ind/>
              <w:rPr>
                <w:b/>
                <w:bCs/>
              </w:rPr>
            </w:pPr>
            <w:r>
              <w:rPr>
                <w:b/>
                <w:bCs/>
              </w:rPr>
              <w:t xml:space="preserve">CLCL (%)</w:t>
            </w:r>
            <w:r>
              <w:rPr>
                <w:b/>
                <w:bCs/>
              </w:rPr>
            </w:r>
            <w:r>
              <w:rPr>
                <w:b/>
                <w:bCs/>
              </w:rPr>
            </w:r>
          </w:p>
        </w:tc>
        <w:tc>
          <w:tcPr>
            <w:shd w:val="clear" w:color="000000" w:fill="ffffff"/>
            <w:tcBorders/>
            <w:tcW w:w="2073"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6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Giá trị quyền sử dụng đất và tài sản gắn liền với đất tại thửa đất số: 42, tờ bản đồ số 8 có địa chỉ: Số 29 khu Monaco 01 - ô số 3 lô O4-6, khu đô thị thị Vinhomes Imperia, phường Thượng Lý, quận Hồng Bàng, thành phố Hải Phòng (nay đổi thành Số 29 khu Mona</w:t>
            </w:r>
            <w:r>
              <w:rPr>
                <w:rFonts w:ascii="Times New Roman" w:hAnsi="Times New Roman" w:eastAsia="Times New Roman" w:cs="Times New Roman"/>
                <w:b/>
                <w:color w:val="000000"/>
                <w:sz w:val="24"/>
              </w:rPr>
              <w:t xml:space="preserve">co 01 - ô số 3 lô O4-6, khu đô thị thị Vinhomes Imperia, phường Hồng Bàng, thành phố Hải Phòng) theo Giấy chứng nhận quyền sử dụng đất quyền sở hữu nhà ở và tài sản khác gắn liền với đất số: CX 432908, số vào sổ cấp GCN: CH 01243 do Ủy ban nhân dân quận Hồ</w:t>
            </w:r>
            <w:r>
              <w:rPr>
                <w:rFonts w:ascii="Times New Roman" w:hAnsi="Times New Roman" w:eastAsia="Times New Roman" w:cs="Times New Roman"/>
                <w:b/>
                <w:color w:val="000000"/>
                <w:sz w:val="24"/>
              </w:rPr>
              <w:t xml:space="preserve">ng Bàng cấp ngày 30/10/2020; Chủ sử dụng đất là Ông Bùi Thanh Cương và vợ là bà Nguyễn Thị Hồng</w:t>
            </w:r>
            <w:r>
              <w:rPr>
                <w:rFonts w:ascii="Times New Roman" w:hAnsi="Times New Roman" w:eastAsia="Times New Roman" w:cs="Times New Roman"/>
                <w:sz w:val="24"/>
              </w:rPr>
            </w:r>
            <w:r>
              <w:rPr>
                <w:rFonts w:ascii="Times New Roman" w:hAnsi="Times New Roman" w:eastAsia="Times New Roman" w:cs="Times New Roman"/>
                <w:sz w:val="24"/>
              </w:rPr>
            </w:r>
          </w:p>
          <w:p>
            <w:pPr>
              <w:pBdr/>
              <w:spacing/>
              <w:ind/>
              <w:rPr>
                <w:b/>
                <w:bCs/>
              </w:rPr>
            </w:pPr>
            <w:r>
              <w:rPr>
                <w:b/>
                <w:bCs/>
              </w:rPr>
            </w:r>
            <w:r>
              <w:rPr>
                <w:b/>
                <w:bCs/>
              </w:rPr>
            </w:r>
            <w:r>
              <w:rPr>
                <w:b/>
                <w:bCs/>
              </w:rPr>
            </w:r>
          </w:p>
        </w:tc>
        <w:tc>
          <w:tcPr>
            <w:shd w:val="clear" w:color="000000" w:fill="ffffff"/>
            <w:tcBorders/>
            <w:tcW w:w="2073"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829"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250</w:t>
            </w:r>
            <w:r>
              <w:rPr>
                <w:color w:val="000000"/>
              </w:rPr>
            </w:r>
            <w:r>
              <w:rPr>
                <w:color w:val="000000"/>
              </w:rPr>
            </w:r>
          </w:p>
        </w:tc>
        <w:tc>
          <w:tcPr>
            <w:shd w:val="clear" w:color="000000" w:fill="ffffff"/>
            <w:tcBorders/>
            <w:tcW w:w="1984" w:type="dxa"/>
            <w:vAlign w:val="center"/>
            <w:textDirection w:val="lrTb"/>
            <w:noWrap w:val="false"/>
          </w:tcPr>
          <w:p>
            <w:pPr>
              <w:pBdr/>
              <w:spacing w:after="40" w:before="40" w:line="288" w:lineRule="auto"/>
              <w:ind/>
              <w:jc w:val="center"/>
              <w:rPr/>
            </w:pPr>
            <w:r>
              <w:rPr>
                <w:color w:val="000000" w:themeColor="text1"/>
              </w:rPr>
              <w:t xml:space="preserve">92.000.000</w:t>
            </w:r>
            <w:r/>
          </w:p>
        </w:tc>
        <w:tc>
          <w:tcPr>
            <w:shd w:val="clear" w:color="000000" w:fill="ffffff"/>
            <w:tcBorders/>
            <w:tcW w:w="147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shd w:val="clear" w:color="000000" w:fill="ffffff"/>
            <w:tcBorders/>
            <w:tcW w:w="2073" w:type="dxa"/>
            <w:vAlign w:val="center"/>
            <w:textDirection w:val="lrTb"/>
            <w:noWrap w:val="false"/>
          </w:tcPr>
          <w:p>
            <w:pPr>
              <w:pBdr/>
              <w:spacing w:after="40" w:before="40" w:line="288" w:lineRule="auto"/>
              <w:ind/>
              <w:jc w:val="right"/>
              <w:rPr/>
            </w:pPr>
            <w:r>
              <w:rPr>
                <w:color w:val="000000" w:themeColor="text1"/>
              </w:rPr>
              <w:t xml:space="preserve">23.000.000.000</w:t>
            </w: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1829" w:type="dxa"/>
            <w:vAlign w:val="center"/>
            <w:textDirection w:val="lrTb"/>
            <w:noWrap w:val="false"/>
          </w:tcPr>
          <w:p>
            <w:pPr>
              <w:pBdr/>
              <w:spacing w:after="40" w:before="40" w:line="288" w:lineRule="auto"/>
              <w:ind/>
              <w:rPr>
                <w:b w:val="0"/>
                <w:bCs w:val="0"/>
              </w:rPr>
            </w:pPr>
            <w:r>
              <w:rPr>
                <w:b w:val="0"/>
                <w:bCs w:val="0"/>
              </w:rPr>
              <w:t xml:space="preserve">Nhà 4 tầng xây thô</w:t>
            </w:r>
            <w:r>
              <w:rPr>
                <w:b w:val="0"/>
                <w:bCs w:val="0"/>
              </w:rPr>
            </w:r>
            <w:r>
              <w:rPr>
                <w:b w:val="0"/>
                <w:bCs w:val="0"/>
              </w:rPr>
            </w:r>
          </w:p>
        </w:tc>
        <w:tc>
          <w:tcPr>
            <w:tcBorders/>
            <w:tcW w:w="14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429,2</w:t>
            </w:r>
            <w:r/>
          </w:p>
        </w:tc>
        <w:tc>
          <w:tcPr>
            <w:shd w:val="clear" w:color="000000" w:fill="ffffff"/>
            <w:tcBorders/>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5.663.026</w:t>
            </w:r>
            <w:r/>
          </w:p>
        </w:tc>
        <w:tc>
          <w:tcPr>
            <w:shd w:val="clear" w:color="000000" w:fill="ffffff"/>
            <w:tcBorders/>
            <w:tcW w:w="14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86%</w:t>
            </w:r>
            <w:r/>
          </w:p>
        </w:tc>
        <w:tc>
          <w:tcPr>
            <w:shd w:val="clear" w:color="000000" w:fill="ffffff"/>
            <w:tcBorders/>
            <w:tcW w:w="207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2.090.290.812</w:t>
            </w:r>
            <w:r/>
          </w:p>
        </w:tc>
      </w:tr>
      <w:tr>
        <w:trPr>
          <w:trHeight w:val="20"/>
        </w:trPr>
        <w:tc>
          <w:tcPr>
            <w:gridSpan w:val="5"/>
            <w:tcBorders/>
            <w:tcW w:w="745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73"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25.090.290.812</w:t>
            </w:r>
            <w:r/>
          </w:p>
        </w:tc>
      </w:tr>
      <w:tr>
        <w:trPr>
          <w:trHeight w:val="20"/>
        </w:trPr>
        <w:tc>
          <w:tcPr>
            <w:gridSpan w:val="5"/>
            <w:tcBorders/>
            <w:tcW w:w="7452"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73"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25.090.000.000</w:t>
            </w:r>
            <w:r/>
          </w:p>
        </w:tc>
      </w:tr>
      <w:tr>
        <w:trPr>
          <w:trHeight w:val="20"/>
        </w:trPr>
        <w:tc>
          <w:tcPr>
            <w:gridSpan w:val="6"/>
            <w:tcBorders/>
            <w:tcW w:w="95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mươi lăm tỷ chín mươi triệu đồng chẵn./.)</w:t>
            </w:r>
            <w:r/>
          </w:p>
        </w:tc>
      </w:tr>
    </w:tbl>
    <w:p>
      <w:pPr>
        <w:pBdr/>
        <w:spacing w:after="120" w:before="120" w:line="312" w:lineRule="auto"/>
        <w:ind/>
        <w:jc w:val="both"/>
        <w:rPr>
          <w:b/>
          <w:bCs/>
          <w:highlight w:val="none"/>
          <w:lang w:val="vi-VN"/>
        </w:rPr>
      </w:pPr>
      <w:r>
        <w:rPr>
          <w:b/>
          <w:bCs/>
          <w:highlight w:val="none"/>
          <w:lang w:val="vi-VN"/>
        </w:rPr>
      </w:r>
      <w:r>
        <w:rPr>
          <w:b/>
          <w:bCs/>
          <w:highlight w:val="none"/>
          <w:lang w:val="vi-VN"/>
        </w:rPr>
      </w:r>
      <w:r>
        <w:rPr>
          <w:b/>
          <w:bCs/>
          <w:highlight w:val="none"/>
          <w:lang w:val="vi-VN"/>
        </w:rPr>
      </w:r>
    </w:p>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highlight w:val="none"/>
          <w:lang w:val="vi-VN"/>
        </w:rPr>
      </w:r>
      <w:r>
        <w:rPr>
          <w:b/>
          <w:bCs/>
          <w:highlight w:val="none"/>
          <w:lang w:val="vi-VN"/>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275/2026/0975/VFI-BC.57.A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30 tháng 6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275/2026/0975/VFI-CT.57.A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r>
            <w:r>
              <w:rPr>
                <w:rFonts w:ascii="Times New Roman Bold" w:hAnsi="Times New Roman Bold"/>
                <w:b/>
                <w:color w:val="000000" w:themeColor="text1"/>
                <w:lang w:val="pt-BR"/>
              </w:rPr>
              <w:t xml:space="preserve">ÔNG BÙI THANH CƯƠNG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030087009443</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both"/>
              <w:rPr>
                <w:rFonts w:ascii="Times New Roman" w:hAnsi="Times New Roman" w:eastAsia="Times New Roman" w:cs="Times New Roman"/>
                <w:sz w:val="24"/>
              </w:rPr>
            </w:pPr>
            <w:r>
              <w:rPr>
                <w:rFonts w:ascii="Times New Roman" w:hAnsi="Times New Roman" w:eastAsia="Times New Roman" w:cs="Times New Roman"/>
                <w:sz w:val="24"/>
              </w:rPr>
            </w:r>
            <w:r>
              <w:rPr>
                <w:rFonts w:ascii="Times New Roman" w:hAnsi="Times New Roman" w:eastAsia="Times New Roman" w:cs="Times New Roman"/>
                <w:color w:val="000000"/>
                <w:sz w:val="24"/>
              </w:rPr>
              <w:t xml:space="preserve">1987</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t xml:space="preserve">Thôn </w:t>
            </w:r>
            <w:r>
              <w:rPr>
                <w:rFonts w:ascii="Times New Roman" w:hAnsi="Times New Roman" w:eastAsia="Times New Roman" w:cs="Times New Roman"/>
                <w:color w:val="000000" w:themeColor="text1"/>
                <w:spacing w:val="3"/>
                <w:sz w:val="24"/>
                <w:szCs w:val="24"/>
                <w:highlight w:val="none"/>
              </w:rPr>
              <w:t xml:space="preserve">B</w:t>
            </w:r>
            <w:r>
              <w:rPr>
                <w:rFonts w:ascii="Times New Roman" w:hAnsi="Times New Roman" w:eastAsia="Times New Roman" w:cs="Times New Roman"/>
                <w:color w:val="000000" w:themeColor="text1"/>
                <w:spacing w:val="3"/>
                <w:sz w:val="24"/>
                <w:szCs w:val="24"/>
                <w:highlight w:val="white"/>
              </w:rPr>
              <w:t xml:space="preserve">ãi Mạc, xã Phú Thái, thành phố Hải Phòng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Giá trị quyền sử dụng đất và tài sản gắn liền với đất tại thửa đất số: 42, tờ bản đồ số 8 có địa chỉ: Số 29 khu Monaco 01 - ô số 3 lô O4-6, khu đô thị thị Vinhomes Imperia, phường Thượng Lý, quận Hồng Bàng, thành phố Hải Phòng (nay đổi thành Số 29 khu Mona</w:t>
            </w:r>
            <w:r>
              <w:rPr>
                <w:rFonts w:ascii="Times New Roman" w:hAnsi="Times New Roman" w:eastAsia="Times New Roman" w:cs="Times New Roman"/>
                <w:color w:val="000000"/>
                <w:sz w:val="24"/>
              </w:rPr>
              <w:t xml:space="preserve">co 01 - ô số 3 lô O4-6, khu đô thị thị Vinhomes Imperia, phường Hồng Bàng, thành phố Hải Phòng) theo Giấy chứng nhận quyền sử dụng đất quyền sở hữu nhà ở và tài sản khác gắn liền với đất số: CX 432908, số vào sổ cấp GCN: CH 01243 do Ủy ban nhân dân quận Hồ</w:t>
            </w:r>
            <w:r>
              <w:rPr>
                <w:rFonts w:ascii="Times New Roman" w:hAnsi="Times New Roman" w:eastAsia="Times New Roman" w:cs="Times New Roman"/>
                <w:color w:val="000000"/>
                <w:sz w:val="24"/>
              </w:rPr>
              <w:t xml:space="preserve">ng Bàng cấp ngày 30/10/2020; Chủ sử dụng đất là Ông Bùi Thanh Cương và vợ là bà Nguyễn Thị Hồng</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sz w:val="24"/>
              </w:rPr>
              <w:t xml:space="preserve">Số 29 khu Mona</w:t>
            </w:r>
            <w:r>
              <w:rPr>
                <w:rFonts w:ascii="Times New Roman" w:hAnsi="Times New Roman" w:eastAsia="Times New Roman" w:cs="Times New Roman"/>
                <w:color w:val="000000"/>
                <w:sz w:val="24"/>
              </w:rPr>
              <w:t xml:space="preserve">co 01 - ô số 3 lô O4-6, khu đô thị thị Vinhomes Imperia, phường Hồng Bàng, thành phố Hải Phòng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(20.871, 106.66794444444)</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29/06/2026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 định số 425/QĐ-BXD-2026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5"/>
        <w:numPr>
          <w:ilvl w:val="0"/>
          <w:numId w:val="39"/>
        </w:numPr>
        <w:pBdr>
          <w:top w:val="none" w:color="000000" w:sz="4" w:space="0"/>
          <w:left w:val="none" w:color="000000" w:sz="4" w:space="0"/>
          <w:bottom w:val="none" w:color="000000" w:sz="4" w:space="0"/>
          <w:right w:val="none" w:color="000000" w:sz="4" w:space="0"/>
        </w:pBdr>
        <w:spacing w:line="276" w:lineRule="auto"/>
        <w:ind w:right="0" w:hanging="425" w:left="425"/>
        <w:jc w:val="both"/>
        <w:rPr/>
      </w:pPr>
      <w:r>
        <w:rPr>
          <w:bCs/>
          <w:color w:val="000000" w:themeColor="text1"/>
          <w:lang w:val="pt-BR"/>
        </w:rPr>
        <w:t xml:space="preserve">Giấy </w:t>
      </w:r>
      <w:r>
        <w:rPr>
          <w:rFonts w:ascii="Times New Roman" w:hAnsi="Times New Roman" w:eastAsia="Times New Roman" w:cs="Times New Roman"/>
          <w:color w:val="000000"/>
          <w:sz w:val="24"/>
        </w:rPr>
        <w:t xml:space="preserve">chứng nhận quyền sử dụng đất, quyền sở hữu nhà ở và tài sản khác gắn liền với đất số: CX 432908, số vào sổ cấp GCN: CH 01243 do Ủy ban nhân dân quận Hồng Bàng cấp ngày 30/10/2020; Chủ sử dụng đất là Ông Bùi Thanh Cương và Vợ là bà Nguyễn Thị Hồng</w:t>
      </w:r>
      <w:r>
        <w:rPr>
          <w:rFonts w:ascii="Times New Roman" w:hAnsi="Times New Roman" w:eastAsia="Times New Roman" w:cs="Times New Roman"/>
          <w:b/>
          <w:color w:val="000000"/>
          <w:sz w:val="24"/>
        </w:rPr>
        <w:t xml:space="preserve">.</w:t>
      </w:r>
      <w:r>
        <w:rPr>
          <w:rFonts w:ascii="Times New Roman" w:hAnsi="Times New Roman" w:eastAsia="Times New Roman" w:cs="Times New Roman"/>
          <w:sz w:val="24"/>
        </w:rPr>
      </w: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275/2026/0975/VFI-HĐTĐ.57.A ngày 29/06/2026 giữa Ông Bùi Thanh Cương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Cs/>
          <w:highlight w:val="none"/>
        </w:rPr>
      </w:pPr>
      <w:r>
        <w:rPr>
          <w:shd w:val="clear" w:color="auto" w:fill="ffffff"/>
        </w:rPr>
        <w:t xml:space="preserve">Vinhomes Imperia Hải Phòng - KĐT Xi Măng Hải Phòng là dự án khu đô thị cao cấp được Tập đoàn Vingroup đầu tư và phát triển năm 2016 và hoàn thành vào năm 2020 tạ</w:t>
      </w:r>
      <w:r>
        <w:rPr>
          <w:shd w:val="clear" w:color="auto" w:fill="ffffff"/>
        </w:rPr>
        <w:t xml:space="preserve">i thành phố cảng. Các căn hộ tại Vinhomes Imperia Hải Phòng của Vingroup được mệnh danh là "khu nghĩ dưỡng xanh giữa lòng đô thị", mang lại cuộc sống lý tưởng và vô cùng cao cấp cho các khách hàng.</w:t>
        <w:br/>
        <w:t xml:space="preserve">Đây là dự án được Công ty Humphrey &amp; Partners (Mỹ) thực hi</w:t>
      </w:r>
      <w:r>
        <w:rPr>
          <w:shd w:val="clear" w:color="auto" w:fill="ffffff"/>
        </w:rPr>
        <w:t xml:space="preserve">ện tư vấn thiết kế, đem tới không gian sống thoáng đãng, gần gũi giữa con người và thiên nhiên. Không gian dự án được thiết kế thấp dần về phía sông Cấm nhằm tạo ra sự tiếp nối hài hoà cùng cảnh quan sinh thái của khu vực ven sông.</w:t>
        <w:br/>
        <w:t xml:space="preserve">Dự án Vinhomes Imperia đ</w:t>
      </w:r>
      <w:r>
        <w:rPr>
          <w:shd w:val="clear" w:color="auto" w:fill="ffffff"/>
        </w:rPr>
        <w:t xml:space="preserve">ược chủ đầu tư Vingroup hướng đến một cuộc sống tiện nghi, nâng cao đời sống tinh thần và kiến lập môi trường sống lành mạnh, hiện đại cho cư dân. Dự án Vinhomes Imperia Hải Phòng được phát triển với mô hình “thành phố trong lòng thành phố” thông qua sự bố</w:t>
      </w:r>
      <w:r>
        <w:rPr>
          <w:shd w:val="clear" w:color="auto" w:fill="ffffff"/>
        </w:rPr>
        <w:t xml:space="preserve"> trí hợp lý của các cụm công trình chức năng, tiện ích dịch vụ sang trọng đáp ứng mọi nhu cầu của cư dân nơi đây.</w:t>
        <w:br/>
        <w:t xml:space="preserve">Trung tâm thương mại với đầy đủ dịch vụ mua sắm, ẩm thực, vui chơi giải trí, rạp chiếu phim và Gym &amp; Spa…</w:t>
        <w:br/>
        <w:t xml:space="preserve">Khu đô thị Vinhomes Imperia Hải Phòn</w:t>
      </w:r>
      <w:r>
        <w:rPr>
          <w:shd w:val="clear" w:color="auto" w:fill="ffffff"/>
        </w:rPr>
        <w:t xml:space="preserve">g được xây dựng với mật độ thấp chỉ chiếm từ 30-40%, không gian còn lại được dành cho công viên, vườn nướng và các không gian xanh khác. Vinhomes Imperia Hải Phòng sẽ mang tới cho cư dân một không gian sống trong lành, thân thiện với thiên nhiên, góp phần </w:t>
      </w:r>
      <w:r>
        <w:rPr>
          <w:shd w:val="clear" w:color="auto" w:fill="ffffff"/>
        </w:rPr>
        <w:t xml:space="preserve">cải tạo môi trường cảnh quan và hệ sinh thái tại thành phố cảng với gần 600.000m2 diện tích đất sử dụng trong xây dựng bể bơi, vườn hoa, cây xanh bên cạnh dòng sông Cấm.</w:t>
        <w:br/>
        <w:t xml:space="preserve">Vinhomes Imperia Hải Phòng có quy mô trên 785.000m2. Khu đô thị này được quy hoạch bao</w:t>
      </w:r>
      <w:r>
        <w:rPr>
          <w:shd w:val="clear" w:color="auto" w:fill="ffffff"/>
        </w:rPr>
        <w:t xml:space="preserve"> gồm các khu tiện ích chức năng như khu văn phòng, khu tổ hợp khách sạn, khu thương mại dịch vụ, khu trung tâm thương mại, khu công viên chuyên đề và những khu nhà ở kết hợp với dịch vụ thương mại. Do đó, các thương hiệu như VinMec, VinCom hay Vinschool...</w:t>
      </w:r>
      <w:r>
        <w:rPr>
          <w:iCs/>
          <w:highlight w:val="none"/>
        </w:rPr>
      </w:r>
      <w:r>
        <w:rPr>
          <w:iCs/>
          <w:highlight w:val="none"/>
        </w:rP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center"/>
        <w:rPr/>
      </w:pPr>
      <w:r>
        <w:rPr>
          <w:rFonts w:ascii="Times New Roman" w:hAnsi="Times New Roman" w:eastAsia="Times New Roman" w:cs="Times New Roman"/>
          <w:b/>
          <w:color w:val="000000"/>
          <w:sz w:val="24"/>
        </w:rPr>
        <w:t xml:space="preserve">(https://batdongsan.com.vn/du-an-khu-do-thi-moi-hong-bang-hp/vinhomes-imperia-hai-phong-pj2435)</w:t>
      </w:r>
      <w:r>
        <w:rPr>
          <w:rFonts w:ascii="Times New Roman" w:hAnsi="Times New Roman" w:eastAsia="Times New Roman" w:cs="Times New Roman"/>
          <w:sz w:val="24"/>
        </w:rPr>
      </w: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Giá trị quyền sử dụng đất và tài sản gắn liền với đất tại thửa đất số: 42, tờ bản đồ số 8 có địa chỉ: Số 29 khu Monaco 01 - ô số 3 lô O4-6, khu đô thị thị Vinhomes Imperia, phường Thượng Lý, quận Hồng Bàng, thành phố Hải Phòng (nay đổi thành Số 29 khu Mona</w:t>
            </w:r>
            <w:r>
              <w:rPr>
                <w:rFonts w:ascii="Times New Roman" w:hAnsi="Times New Roman" w:eastAsia="Times New Roman" w:cs="Times New Roman"/>
                <w:b/>
                <w:color w:val="000000"/>
                <w:sz w:val="24"/>
              </w:rPr>
              <w:t xml:space="preserve">co 01 - ô số 3 lô O4-6, khu đô thị thị Vinhomes Imperia, phường Hồng Bàng, thành phố Hải Phòng) theo Giấy chứng nhận quyền sử dụng đất quyền sở hữu nhà ở và tài sản khác gắn liền với đất số: CX 432908, số vào sổ cấp GCN: CH 01243 do Ủy ban nhân dân quận Hồ</w:t>
            </w:r>
            <w:r>
              <w:rPr>
                <w:rFonts w:ascii="Times New Roman" w:hAnsi="Times New Roman" w:eastAsia="Times New Roman" w:cs="Times New Roman"/>
                <w:b/>
                <w:color w:val="000000"/>
                <w:sz w:val="24"/>
              </w:rPr>
              <w:t xml:space="preserve">ng Bàng cấp ngày 30/10/2020; Chủ sử dụng đất là Ông Bùi Thanh Cương và Vợ là bà Nguyễn Thị Hồng</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Tờ bản đồ số:</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Số 29 khu Monaco 01 - ô số 3 lô O4-6, khu đô thị thị Vinhomes Imperia, phường Thượng Lý, quận Hồng Bàng, thành phố Hải Phòng (nay đổi thành Số 29 khu Monaco 01 - ô số 3 lô O4-6, khu đô thị thị Vinhomes Imperia, phường Hồng Bàng, thành phố Hải Phòng)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250,0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Đất ở tại đô thị</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co thu tiền sử dụng đất.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rFonts w:ascii="Times New Roman" w:hAnsi="Times New Roman" w:eastAsia="Times New Roman" w:cs="Times New Roman"/>
                <w:color w:val="000000"/>
                <w:sz w:val="24"/>
                <w:highlight w:val="none"/>
              </w:rPr>
            </w:r>
            <w:r>
              <mc:AlternateContent>
                <mc:Choice Requires="wpg">
                  <w:drawing>
                    <wp:inline xmlns:wp="http://schemas.openxmlformats.org/drawingml/2006/wordprocessingDrawing" distT="0" distB="0" distL="0" distR="0">
                      <wp:extent cx="3855425" cy="247733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45189" name=""/>
                              <pic:cNvPicPr>
                                <a:picLocks noChangeAspect="1"/>
                              </pic:cNvPicPr>
                              <pic:nvPr/>
                            </pic:nvPicPr>
                            <pic:blipFill rotWithShape="1">
                              <a:blip r:embed="rId17"/>
                              <a:stretch/>
                            </pic:blipFill>
                            <pic:spPr bwMode="auto">
                              <a:xfrm flipH="0" flipV="0">
                                <a:off x="0" y="0"/>
                                <a:ext cx="3855424" cy="24773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3.58pt;height:195.07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p>
            <w:pPr>
              <w:pBdr/>
              <w:spacing/>
              <w:ind/>
              <w:jc w:val="both"/>
              <w:rPr>
                <w:rFonts w:ascii="Times New Roman" w:hAnsi="Times New Roman" w:eastAsia="Times New Roman" w:cs="Times New Roman"/>
                <w:color w:val="000000"/>
                <w:sz w:val="24"/>
                <w:szCs w:val="24"/>
                <w:highlight w:val="none"/>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000000"/>
                <w:sz w:val="24"/>
              </w:rPr>
              <w:t xml:space="preserve">ịnh vị trí tài sản thuộc quy hoạch đất ở.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tại trục chính tại phân khu</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rPr>
                <w:color w:val="000000" w:themeColor="text1"/>
              </w:rPr>
              <w:t xml:space="preserve">Hướng Tây Nam tiếp giáp với đường giao thông</w:t>
            </w:r>
            <w:r>
              <w:rPr>
                <w:color w:val="000000" w:themeColor="text1"/>
                <w:highlight w:val="none"/>
              </w:rPr>
            </w:r>
            <w:r>
              <w:rPr>
                <w:color w:val="000000" w:themeColor="text1"/>
                <w:highlight w:val="none"/>
              </w:rPr>
            </w:r>
          </w:p>
          <w:p>
            <w:pPr>
              <w:pBdr/>
              <w:spacing/>
              <w:ind/>
              <w:rPr>
                <w:color w:val="000000" w:themeColor="text1"/>
                <w:highlight w:val="none"/>
              </w:rPr>
            </w:pPr>
            <w:r>
              <w:rPr>
                <w:color w:val="000000" w:themeColor="text1"/>
                <w:highlight w:val="none"/>
              </w:rPr>
              <w:t xml:space="preserve">Hướng Đông Bắc tiếp giáp với hồ điều hòa</w:t>
            </w:r>
            <w:r>
              <w:rPr>
                <w:color w:val="000000" w:themeColor="text1"/>
                <w:highlight w:val="none"/>
              </w:rPr>
            </w:r>
            <w:r>
              <w:rPr>
                <w:color w:val="000000" w:themeColor="text1"/>
                <w:highlight w:val="none"/>
              </w:rPr>
            </w:r>
          </w:p>
          <w:p>
            <w:pPr>
              <w:pBdr/>
              <w:spacing/>
              <w:ind/>
              <w:rPr>
                <w:color w:val="000000" w:themeColor="text1"/>
              </w:rPr>
            </w:pPr>
            <w:r>
              <w:rPr>
                <w:color w:val="000000" w:themeColor="text1"/>
                <w:highlight w:val="none"/>
              </w:rPr>
              <w:t xml:space="preserve">Các hướng còn lại tiếp giáp với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(20.871, 106.66794444444)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85470" cy="301364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12834" name=""/>
                              <pic:cNvPicPr>
                                <a:picLocks noChangeAspect="1"/>
                              </pic:cNvPicPr>
                              <pic:nvPr/>
                            </pic:nvPicPr>
                            <pic:blipFill rotWithShape="1">
                              <a:blip r:embed="rId18"/>
                              <a:stretch/>
                            </pic:blipFill>
                            <pic:spPr bwMode="auto">
                              <a:xfrm flipH="0" flipV="0">
                                <a:off x="0" y="0"/>
                                <a:ext cx="5485469" cy="30136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1.93pt;height:237.29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4"/>
              </w:rPr>
              <w:t xml:space="preserve">Khu đô thị</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ff0000"/>
              </w:rPr>
            </w:pPr>
            <w:r>
              <w:rPr>
                <w:color w:val="ff0000"/>
              </w:rPr>
              <w:t xml:space="preserve">Phù hợp để ở</w:t>
            </w:r>
            <w:r>
              <w:rPr>
                <w:color w:val="ff0000"/>
              </w:rPr>
            </w:r>
            <w:r>
              <w:rPr>
                <w:color w:val="ff0000"/>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88"/>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Qua khảo sát thực tế, CTXD gắn liền với đất là Nhà ở 4 tầng biệt thự xây thô bên trong, diện tích xây dựng 141,7</w:t>
            </w:r>
            <w:r>
              <w:rPr>
                <w:rFonts w:ascii="Times New Roman" w:hAnsi="Times New Roman" w:eastAsia="Times New Roman" w:cs="Times New Roman"/>
                <w:color w:val="000000"/>
                <w:sz w:val="24"/>
              </w:rPr>
              <w:t xml:space="preserve">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diện tích sàn 429,2</w:t>
            </w:r>
            <w:r>
              <w:rPr>
                <w:rFonts w:ascii="Times New Roman" w:hAnsi="Times New Roman" w:eastAsia="Times New Roman" w:cs="Times New Roman"/>
                <w:color w:val="000000"/>
                <w:sz w:val="24"/>
              </w:rPr>
              <w:t xml:space="preserve">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w:t>
            </w:r>
            <w:r/>
          </w:p>
          <w:p>
            <w:pPr>
              <w:pBdr/>
              <w:spacing/>
              <w:ind/>
              <w:jc w:val="both"/>
              <w:rPr>
                <w:color w:val="000000"/>
              </w:rPr>
            </w:pPr>
            <w:r>
              <w:rPr>
                <w:rFonts w:ascii="Times New Roman" w:hAnsi="Times New Roman" w:eastAsia="Times New Roman" w:cs="Times New Roman"/>
                <w:color w:val="000000"/>
                <w:sz w:val="24"/>
              </w:rPr>
              <w:t xml:space="preserve">+ Công trình đã được chứng nhận trên GCN.</w:t>
            </w:r>
            <w:r>
              <w:rPr>
                <w:color w:val="000000"/>
              </w:rPr>
            </w:r>
            <w:r>
              <w:rPr>
                <w:color w:val="000000"/>
              </w:rP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Hồng Bàng,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Hồng Bàng,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Hồng Bàng,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Hồng Bàng, Thành phố Hải Phòng</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https://batdongsan.com.vn/ban-nha-biet-thu-lien-ke-phuong-thuong-ly-vinhomes-imperia-hai-phong/sieu-pham-don-lap-290m-thang-may-noi-that-dang-cap-hoan-thien-tam-huyet-san-vuon-pr44198626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https://www.facebook.com/groups/muabannhadathaiphongchinhchu/posts/619599491152001/</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0915155999</w:t>
            </w:r>
            <w:r>
              <w:rPr>
                <w:sz w:val="22"/>
                <w:szCs w:val="22"/>
              </w:rPr>
              <w:t xml:space="preserve"> </w:t>
            </w:r>
            <w:r>
              <w:rPr>
                <w:sz w:val="22"/>
                <w:szCs w:val="22"/>
              </w:rPr>
              <w:br/>
              <w:t xml:space="preserve">(</w:t>
            </w:r>
            <w:r>
              <w:rPr>
                <w:sz w:val="22"/>
                <w:szCs w:val="22"/>
              </w:rPr>
              <w:t xml:space="preserve">Thắng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0773 0022 39</w:t>
            </w:r>
            <w:r>
              <w:rPr>
                <w:sz w:val="22"/>
                <w:szCs w:val="22"/>
              </w:rPr>
              <w:br/>
            </w:r>
            <w:r>
              <w:rPr>
                <w:sz w:val="22"/>
                <w:szCs w:val="22"/>
              </w:rPr>
              <w:t xml:space="preserve">(</w:t>
            </w:r>
            <w:r>
              <w:rPr>
                <w:sz w:val="22"/>
                <w:szCs w:val="22"/>
              </w:rPr>
              <w:t xml:space="preserve">Long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0773 0022 39</w:t>
            </w:r>
            <w:r>
              <w:rPr>
                <w:sz w:val="22"/>
                <w:szCs w:val="22"/>
              </w:rPr>
              <w:br/>
            </w:r>
            <w:r>
              <w:rPr>
                <w:sz w:val="22"/>
                <w:szCs w:val="22"/>
              </w:rPr>
              <w:t xml:space="preserve">(</w:t>
            </w:r>
            <w:r>
              <w:rPr>
                <w:sz w:val="22"/>
                <w:szCs w:val="22"/>
              </w:rPr>
              <w:t xml:space="preserve">long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Hồng Bàng, Thành phố Hải Phòng, nằm trong </w:t>
            </w:r>
            <w:r>
              <w:rPr>
                <w:rFonts w:ascii="Times New Roman" w:hAnsi="Times New Roman" w:eastAsia="Times New Roman" w:cs="Times New Roman"/>
                <w:color w:val="000000"/>
                <w:sz w:val="24"/>
              </w:rPr>
              <w:t xml:space="preserve">khu đô thị Vimhomes Imperia</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Hồng Bàng, Thành phố Hải Phòng, nằm trong </w:t>
            </w:r>
            <w:r>
              <w:rPr>
                <w:rFonts w:ascii="Times New Roman" w:hAnsi="Times New Roman" w:eastAsia="Times New Roman" w:cs="Times New Roman"/>
                <w:color w:val="000000"/>
                <w:sz w:val="24"/>
              </w:rPr>
              <w:t xml:space="preserve">khu đô thị Vimhomes Imperia</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Hồng Bàng, Thành phố Hải Phòng, nằm trong </w:t>
            </w:r>
            <w:r>
              <w:rPr>
                <w:rFonts w:ascii="Times New Roman" w:hAnsi="Times New Roman" w:eastAsia="Times New Roman" w:cs="Times New Roman"/>
                <w:color w:val="000000"/>
                <w:sz w:val="24"/>
              </w:rPr>
              <w:t xml:space="preserve">khu đô thị Vimhomes Imperia</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Hồng Bàng, Thành phố Hải Phòng, nằm trong </w:t>
            </w:r>
            <w:r>
              <w:rPr>
                <w:rFonts w:ascii="Times New Roman" w:hAnsi="Times New Roman" w:eastAsia="Times New Roman" w:cs="Times New Roman"/>
                <w:color w:val="000000"/>
                <w:sz w:val="24"/>
              </w:rPr>
              <w:t xml:space="preserve">khu đô thị Vimhomes Imperia</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Phía sau tài sản tiếp giáp với hồ điều hòa</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view công viên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view công viên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Phía sau tài sản tiếp giáp với hồ điều hòa</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Biệt thự song lập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Biệt thự đơn lập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Biệt thự song lập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Biệt thự song lập</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r>
            <w:commentRangeStart w:id="0"/>
            <w:r>
              <w:rPr>
                <w:color w:val="000000" w:themeColor="text1"/>
                <w:sz w:val="22"/>
                <w:szCs w:val="22"/>
              </w:rPr>
              <w:t xml:space="preserve">Tài sản trên đất</w:t>
            </w:r>
            <w:r>
              <w:rPr>
                <w:color w:val="000000" w:themeColor="text1"/>
                <w:sz w:val="22"/>
                <w:szCs w:val="22"/>
              </w:rPr>
            </w:r>
            <w:commentRangeEnd w:id="0"/>
            <w:r>
              <w:commentReference w:id="0"/>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Biệt thự 4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Biệt thự 4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Biệt thự 4 tầng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Diện tích sàn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450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430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429,2</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33.030.000.000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24.750.000.000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3.858.434.892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2.212.169.486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2.208.053.822</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số </w:t>
            </w:r>
            <w:r>
              <w:rPr>
                <w:rFonts w:ascii="Times New Roman" w:hAnsi="Times New Roman" w:eastAsia="Times New Roman" w:cs="Times New Roman"/>
                <w:color w:val="000000"/>
                <w:spacing w:val="-4"/>
                <w:sz w:val="24"/>
              </w:rPr>
              <w:t xml:space="preserve">425/QĐ-BXD ngày 30/3/2026</w:t>
            </w:r>
            <w:r>
              <w:rPr>
                <w:rFonts w:ascii="Times New Roman" w:hAnsi="Times New Roman" w:eastAsia="Times New Roman" w:cs="Times New Roman"/>
                <w:color w:val="000000"/>
                <w:sz w:val="22"/>
              </w:rPr>
              <w:t xml:space="preserve"> của Bộ Xây Dựng (đồng/m²)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9.970.116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5.982.070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5.982.070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33.041.565.108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30.817.830.514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22.541.946.178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113.936.431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113.718.932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90.167.785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33.041.565.108</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30.817.830.514</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22.541.946.178</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113.936.431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113.718.932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90.167.785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113.936.431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113.718.932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90.167.785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113.936.431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113.718.932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90.167.785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113.936.431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113.718.932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90.167.785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Hồng Bàng, Thành phố Hải Phòng, nằm trong </w:t>
            </w:r>
            <w:r>
              <w:rPr>
                <w:rFonts w:ascii="Times New Roman" w:hAnsi="Times New Roman" w:eastAsia="Times New Roman" w:cs="Times New Roman"/>
                <w:color w:val="000000"/>
                <w:sz w:val="24"/>
              </w:rPr>
              <w:t xml:space="preserve">khu đô thị Vimhomes Imperia</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Hồng Bàng, Thành phố Hải Phòng, nằm trong </w:t>
            </w:r>
            <w:r>
              <w:rPr>
                <w:rFonts w:ascii="Times New Roman" w:hAnsi="Times New Roman" w:eastAsia="Times New Roman" w:cs="Times New Roman"/>
                <w:color w:val="000000"/>
                <w:sz w:val="24"/>
              </w:rPr>
              <w:t xml:space="preserve">khu đô thị Vimhomes Imperia</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Hồng Bàng, Thành phố Hải Phòng, nằm trong </w:t>
            </w:r>
            <w:r>
              <w:rPr>
                <w:rFonts w:ascii="Times New Roman" w:hAnsi="Times New Roman" w:eastAsia="Times New Roman" w:cs="Times New Roman"/>
                <w:color w:val="000000"/>
                <w:sz w:val="24"/>
              </w:rPr>
              <w:t xml:space="preserve">khu đô thị Vimhomes Imperia</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Hồng Bàng, Thành phố Hải Phòng, nằm trong </w:t>
            </w:r>
            <w:r>
              <w:rPr>
                <w:rFonts w:ascii="Times New Roman" w:hAnsi="Times New Roman" w:eastAsia="Times New Roman" w:cs="Times New Roman"/>
                <w:color w:val="000000"/>
                <w:sz w:val="24"/>
              </w:rPr>
              <w:t xml:space="preserve">khu đô thị Vimhomes Imperia</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113.936.431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113.718.932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90.167.785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113.936.431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113.718.932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90.167.785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113.936.431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113.718.932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90.167.785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3.418.093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117.354.524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113.718.932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90.167.785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Khoảng 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Khoảng 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-5.696.822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-3.411.568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111.657.702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110.307.364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90.167.785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111.657.702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110.307.364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90.167.785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111.657.702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110.307.364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90.167.785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Phía sau tài sản tiếp giáp với hồ điều hòa</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view công viên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view công viên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Phía sau tài sản tiếp giáp với hồ điều hòa</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-14.811.736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-14.783.461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96.845.966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95.523.903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90.167.785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Biệt thự song lập</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Biệt thự đơn lập</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Biệt thự song lập</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Biệt thự song lập</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-5.696.822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91.149.144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95.523.903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90.167.785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91.149.144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95.523.903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90.167.785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92.280.277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29.623.473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18.195.029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- 13%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22.787.287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18.195.029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-2,29</w:t>
      </w:r>
      <w:r>
        <w:t xml:space="preserve">% đến </w:t>
      </w:r>
      <w:r>
        <w:t xml:space="preserve">3,51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91.149.144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30.389.125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95.523.903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31.838.117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90.167.785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30.052.923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92.280.165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92.000.000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92.000.000</w:t>
      </w:r>
      <w:r>
        <w:rPr>
          <w:b/>
          <w:bCs/>
          <w:color w:val="000000" w:themeColor="text1"/>
        </w:rPr>
        <w:t xml:space="preserve"> </w:t>
      </w:r>
      <w:r>
        <w:rPr>
          <w:b/>
          <w:bCs/>
        </w:rPr>
        <w:t xml:space="preserve">đồng/m².</w:t>
      </w:r>
      <w:r>
        <w:rPr>
          <w:b/>
          <w:bCs/>
        </w:rPr>
      </w:r>
      <w:r>
        <w:rPr>
          <w:b/>
          <w:bCs/>
        </w:rPr>
      </w:r>
    </w:p>
    <w:p>
      <w:pPr>
        <w:pStyle w:val="1035"/>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numPr>
          <w:ilvl w:val="0"/>
          <w:numId w:val="41"/>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đơn giá của công trình xây dựng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4 tầng, cân nhắc và xem xét với mức độ hoàn thiện của công trình xây dựng hiện có, tổ thẩm định nhận thấy đơn giá vận dụng theo -Quyết định số 425/QĐ-BXD ngày 30 tháng 3 năm 2026 của B</w:t>
      </w:r>
      <w:r>
        <w:rPr>
          <w:rFonts w:ascii="Times New Roman" w:hAnsi="Times New Roman" w:eastAsia="Times New Roman" w:cs="Times New Roman"/>
          <w:color w:val="000000"/>
          <w:sz w:val="24"/>
        </w:rPr>
        <w:t xml:space="preserve">ộ Xây dựng về việc công bố suất vốn đầu tư xây dựng và giá xây dựng tổng hợp bộ phận kết cấu công trình năm 2025 là khá phù hợp với thị trường, theo đó:</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i/>
          <w:color w:val="000000"/>
          <w:sz w:val="24"/>
        </w:rPr>
        <w:t xml:space="preserve">“Suất vốn đầu tư xây dựng Nhà kiểu biệt thự từ 2 đến 3 tầng, kết cấu khung chịu lực BTCT; tường bao xây gạch; sàn, mái BTCT đổ tại chỗ không có hầm: 10.517.000 đồng/m² sàn.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i/>
          <w:color w:val="000000"/>
          <w:sz w:val="24"/>
        </w:rPr>
        <w:t xml:space="preserve">Hệ số điều chỉnh vùng cho Suất đầu tư: Hải Phòng thuộc vùng 2 có hệ số điều chỉnh là 0,948.”</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i/>
          <w:color w:val="000000"/>
          <w:sz w:val="24"/>
        </w:rPr>
        <w:t xml:space="preserve">Do đó, Tổ thẩm định xác định đơn giá xây mới của công trình xây dựng là: (Suất đầu tư xây dựng) x (Hệ số vùng) = 10.517.000  x 0,948 = </w:t>
      </w:r>
      <w:r>
        <w:rPr>
          <w:rFonts w:ascii="Times New Roman" w:hAnsi="Times New Roman" w:eastAsia="Times New Roman" w:cs="Times New Roman"/>
          <w:i/>
          <w:color w:val="000000"/>
          <w:sz w:val="24"/>
        </w:rPr>
        <w:t xml:space="preserve">9.970.116</w:t>
      </w:r>
      <w:r>
        <w:rPr>
          <w:rFonts w:ascii="Times New Roman" w:hAnsi="Times New Roman" w:eastAsia="Times New Roman" w:cs="Times New Roman"/>
          <w:i/>
          <w:color w:val="000000"/>
          <w:sz w:val="24"/>
        </w:rPr>
        <w:t xml:space="preserve"> đồng/m² sàn. </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bCs/>
          <w:i/>
          <w:color w:val="ff0000"/>
          <w:spacing w:val="2"/>
          <w:sz w:val="24"/>
          <w:szCs w:val="24"/>
        </w:rPr>
      </w:pPr>
      <w:r>
        <w:rPr>
          <w:rFonts w:ascii="Times New Roman" w:hAnsi="Times New Roman" w:eastAsia="Times New Roman" w:cs="Times New Roman"/>
          <w:i/>
          <w:iCs/>
          <w:color w:val="ff0000"/>
          <w:spacing w:val="2"/>
          <w:sz w:val="24"/>
        </w:rPr>
        <w:t xml:space="preserve">Tại thời điểm khảo sát, công trình xây dựng trên đất có hiện trạng xây thô hoàn thiện mặt ngoài, </w:t>
      </w:r>
      <w:r>
        <w:rPr>
          <w:rFonts w:ascii="Times New Roman" w:hAnsi="Times New Roman" w:eastAsia="Times New Roman" w:cs="Times New Roman"/>
          <w:i/>
          <w:iCs/>
          <w:color w:val="ff0000"/>
          <w:spacing w:val="2"/>
          <w:sz w:val="24"/>
        </w:rPr>
        <w:t xml:space="preserve">vận dụng Công văn số: 1326/BXD-QLN ngày 08/08/2011 của Bộ Xây dựng</w:t>
      </w:r>
      <w:r>
        <w:rPr>
          <w:rFonts w:ascii="Times New Roman" w:hAnsi="Times New Roman" w:eastAsia="Times New Roman" w:cs="Times New Roman"/>
          <w:i/>
          <w:iCs/>
          <w:color w:val="ff0000"/>
          <w:spacing w:val="2"/>
          <w:sz w:val="24"/>
        </w:rPr>
        <w:t xml:space="preserve">, tổ thẩm định xác định tỉ lệ hoàn thiện như sau:</w:t>
      </w:r>
      <w:r>
        <w:rPr>
          <w:rFonts w:ascii="Times New Roman" w:hAnsi="Times New Roman" w:eastAsia="Times New Roman" w:cs="Times New Roman"/>
          <w:bCs/>
          <w:i/>
          <w:color w:val="ff0000"/>
          <w:spacing w:val="2"/>
          <w:sz w:val="24"/>
          <w:szCs w:val="24"/>
        </w:rPr>
      </w:r>
      <w:r>
        <w:rPr>
          <w:rFonts w:ascii="Times New Roman" w:hAnsi="Times New Roman" w:eastAsia="Times New Roman" w:cs="Times New Roman"/>
          <w:bCs/>
          <w:i/>
          <w:color w:val="ff0000"/>
          <w:spacing w:val="2"/>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b/>
          <w:bCs/>
          <w:i/>
          <w:color w:val="ff0000"/>
          <w:spacing w:val="3"/>
          <w:sz w:val="24"/>
          <w:szCs w:val="24"/>
          <w:highlight w:val="none"/>
        </w:rPr>
      </w:pPr>
      <w:r>
        <w:rPr>
          <w:rFonts w:ascii="Times New Roman" w:hAnsi="Times New Roman" w:eastAsia="Times New Roman" w:cs="Times New Roman"/>
          <w:i/>
          <w:iCs/>
          <w:color w:val="ff0000"/>
          <w:spacing w:val="2"/>
          <w:sz w:val="24"/>
        </w:rPr>
        <w:t xml:space="preserve"> </w:t>
      </w:r>
      <w:r>
        <w:rPr>
          <w:rFonts w:ascii="Times New Roman" w:hAnsi="Times New Roman" w:eastAsia="Times New Roman" w:cs="Times New Roman"/>
          <w:b/>
          <w:bCs/>
          <w:i/>
          <w:color w:val="ff0000"/>
          <w:spacing w:val="3"/>
          <w:sz w:val="24"/>
          <w:szCs w:val="24"/>
          <w:highlight w:val="none"/>
        </w:rPr>
      </w:r>
      <w:r>
        <w:rPr>
          <w:rFonts w:ascii="Times New Roman" w:hAnsi="Times New Roman" w:eastAsia="Times New Roman" w:cs="Times New Roman"/>
          <w:b/>
          <w:bCs/>
          <w:i/>
          <w:color w:val="ff0000"/>
          <w:spacing w:val="3"/>
          <w:sz w:val="24"/>
          <w:szCs w:val="24"/>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bCs/>
          <w:i/>
          <w:color w:val="ff0000"/>
          <w:spacing w:val="2"/>
          <w:sz w:val="24"/>
          <w:szCs w:val="24"/>
        </w:rPr>
      </w:pPr>
      <w:r>
        <w:rPr>
          <w:rFonts w:ascii="Times New Roman" w:hAnsi="Times New Roman" w:eastAsia="Times New Roman" w:cs="Times New Roman"/>
          <w:bCs/>
          <w:i/>
          <w:color w:val="ff0000"/>
          <w:spacing w:val="2"/>
          <w:sz w:val="24"/>
          <w:szCs w:val="24"/>
        </w:rPr>
      </w:r>
      <w:r>
        <w:rPr>
          <w:rFonts w:ascii="Times New Roman" w:hAnsi="Times New Roman" w:eastAsia="Times New Roman" w:cs="Times New Roman"/>
          <w:bCs/>
          <w:i/>
          <w:color w:val="ff0000"/>
          <w:spacing w:val="2"/>
          <w:sz w:val="24"/>
          <w:szCs w:val="24"/>
        </w:rPr>
      </w:r>
      <w:r>
        <w:rPr>
          <w:rFonts w:ascii="Times New Roman" w:hAnsi="Times New Roman" w:eastAsia="Times New Roman" w:cs="Times New Roman"/>
          <w:bCs/>
          <w:i/>
          <w:color w:val="ff0000"/>
          <w:spacing w:val="2"/>
          <w:sz w:val="24"/>
          <w:szCs w:val="24"/>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48"/>
        <w:gridCol w:w="1260"/>
        <w:gridCol w:w="1260"/>
        <w:gridCol w:w="2083"/>
        <w:gridCol w:w="2083"/>
        <w:gridCol w:w="2086"/>
      </w:tblGrid>
      <w:tr>
        <w:trPr>
          <w:trHeight w:val="945"/>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1148"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b/>
                <w:color w:val="ff0000"/>
                <w:sz w:val="24"/>
              </w:rPr>
              <w:t xml:space="preserve">TT</w:t>
            </w:r>
            <w:r>
              <w:rPr>
                <w:color w:val="ff0000"/>
              </w:rPr>
            </w:r>
            <w:r>
              <w:rPr>
                <w:color w:val="ff0000"/>
              </w:rPr>
            </w:r>
          </w:p>
        </w:tc>
        <w:tc>
          <w:tcPr>
            <w:gridSpan w:val="2"/>
            <w:tcBorders>
              <w:top w:val="single" w:color="000000" w:sz="6" w:space="0"/>
              <w:bottom w:val="single" w:color="000000" w:sz="6" w:space="0"/>
              <w:right w:val="single" w:color="000000" w:sz="4" w:space="0"/>
            </w:tcBorders>
            <w:tcMar>
              <w:left w:w="15" w:type="dxa"/>
              <w:top w:w="15" w:type="dxa"/>
              <w:right w:w="15" w:type="dxa"/>
              <w:bottom w:w="0" w:type="dxa"/>
            </w:tcMar>
            <w:tcW w:w="2520"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b/>
                <w:color w:val="ff0000"/>
                <w:sz w:val="24"/>
              </w:rPr>
              <w:t xml:space="preserve">TÊN KẾT CẤU CHÍNH</w:t>
            </w:r>
            <w:r>
              <w:rPr>
                <w:color w:val="ff0000"/>
              </w:rPr>
            </w:r>
            <w:r>
              <w:rPr>
                <w:color w:val="ff0000"/>
              </w:rPr>
            </w:r>
          </w:p>
        </w:tc>
        <w:tc>
          <w:tcPr>
            <w:tcBorders>
              <w:top w:val="single" w:color="000000" w:sz="6" w:space="0"/>
              <w:bottom w:val="single" w:color="000000" w:sz="6" w:space="0"/>
              <w:right w:val="single" w:color="000000" w:sz="6" w:space="0"/>
            </w:tcBorders>
            <w:tcMar>
              <w:left w:w="15" w:type="dxa"/>
              <w:top w:w="15" w:type="dxa"/>
              <w:right w:w="15" w:type="dxa"/>
              <w:bottom w:w="0" w:type="dxa"/>
            </w:tcMar>
            <w:tcW w:w="2083"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b/>
                <w:color w:val="ff0000"/>
                <w:sz w:val="24"/>
              </w:rPr>
              <w:t xml:space="preserve">Tỷ lệ giá trị các kết cấu chính (%)</w:t>
            </w:r>
            <w:r>
              <w:rPr>
                <w:color w:val="ff0000"/>
              </w:rPr>
            </w:r>
            <w:r>
              <w:rPr>
                <w:color w:val="ff0000"/>
              </w:rPr>
            </w:r>
          </w:p>
        </w:tc>
        <w:tc>
          <w:tcPr>
            <w:tcBorders>
              <w:top w:val="single" w:color="000000" w:sz="6" w:space="0"/>
              <w:bottom w:val="single" w:color="000000" w:sz="6" w:space="0"/>
              <w:right w:val="single" w:color="000000" w:sz="6" w:space="0"/>
            </w:tcBorders>
            <w:tcMar>
              <w:left w:w="15" w:type="dxa"/>
              <w:top w:w="15" w:type="dxa"/>
              <w:right w:w="15" w:type="dxa"/>
              <w:bottom w:w="0" w:type="dxa"/>
            </w:tcMar>
            <w:tcW w:w="2083"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b/>
                <w:color w:val="ff0000"/>
                <w:sz w:val="24"/>
              </w:rPr>
              <w:t xml:space="preserve">Tỷ lệ hoàn thiện các kết cấu chính (%)</w:t>
            </w:r>
            <w:r>
              <w:rPr>
                <w:color w:val="ff0000"/>
              </w:rPr>
            </w:r>
            <w:r>
              <w:rPr>
                <w:color w:val="ff0000"/>
              </w:rPr>
            </w:r>
          </w:p>
        </w:tc>
        <w:tc>
          <w:tcPr>
            <w:tcBorders>
              <w:top w:val="single" w:color="000000" w:sz="6" w:space="0"/>
              <w:bottom w:val="single" w:color="000000" w:sz="6" w:space="0"/>
              <w:right w:val="single" w:color="000000" w:sz="6" w:space="0"/>
            </w:tcBorders>
            <w:tcMar>
              <w:left w:w="15" w:type="dxa"/>
              <w:top w:w="15" w:type="dxa"/>
              <w:right w:w="15" w:type="dxa"/>
              <w:bottom w:w="0" w:type="dxa"/>
            </w:tcMar>
            <w:tcW w:w="2086"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b/>
                <w:color w:val="ff0000"/>
                <w:sz w:val="24"/>
              </w:rPr>
              <w:t xml:space="preserve">Mức độ đóng góp (%)</w:t>
            </w:r>
            <w:r>
              <w:rPr>
                <w:color w:val="ff0000"/>
              </w:rPr>
            </w:r>
            <w:r>
              <w:rPr>
                <w:color w:val="ff0000"/>
              </w:rPr>
            </w:r>
          </w:p>
        </w:tc>
      </w:tr>
      <w:tr>
        <w:trPr>
          <w:trHeight w:val="315"/>
        </w:trPr>
        <w:tc>
          <w:tcPr>
            <w:tcBorders>
              <w:left w:val="single" w:color="000000" w:sz="6" w:space="0"/>
              <w:bottom w:val="single" w:color="000000" w:sz="6" w:space="0"/>
              <w:right w:val="single" w:color="000000" w:sz="6" w:space="0"/>
            </w:tcBorders>
            <w:tcMar>
              <w:left w:w="15" w:type="dxa"/>
              <w:top w:w="15" w:type="dxa"/>
              <w:right w:w="15" w:type="dxa"/>
              <w:bottom w:w="0" w:type="dxa"/>
            </w:tcMar>
            <w:tcW w:w="1148"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i/>
                <w:color w:val="ff0000"/>
                <w:sz w:val="24"/>
              </w:rPr>
              <w:t xml:space="preserve">a</w:t>
            </w:r>
            <w:r>
              <w:rPr>
                <w:color w:val="ff0000"/>
              </w:rPr>
            </w:r>
            <w:r>
              <w:rPr>
                <w:color w:val="ff0000"/>
              </w:rPr>
            </w:r>
          </w:p>
        </w:tc>
        <w:tc>
          <w:tcPr>
            <w:gridSpan w:val="2"/>
            <w:tcBorders>
              <w:top w:val="single" w:color="000000" w:sz="6" w:space="0"/>
              <w:bottom w:val="single" w:color="000000" w:sz="6" w:space="0"/>
              <w:right w:val="single" w:color="000000" w:sz="4" w:space="0"/>
            </w:tcBorders>
            <w:tcMar>
              <w:left w:w="15" w:type="dxa"/>
              <w:top w:w="15" w:type="dxa"/>
              <w:right w:w="15" w:type="dxa"/>
              <w:bottom w:w="0" w:type="dxa"/>
            </w:tcMar>
            <w:tcW w:w="2520"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i/>
                <w:color w:val="ff0000"/>
                <w:sz w:val="24"/>
              </w:rPr>
              <w:t xml:space="preserve">b</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3"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i/>
                <w:color w:val="ff0000"/>
                <w:sz w:val="24"/>
              </w:rPr>
              <w:t xml:space="preserve">c</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3"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i/>
                <w:color w:val="ff0000"/>
                <w:sz w:val="24"/>
              </w:rPr>
              <w:t xml:space="preserve">d</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6"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i/>
                <w:color w:val="ff0000"/>
                <w:sz w:val="24"/>
              </w:rPr>
              <w:t xml:space="preserve">e = c x d/g</w:t>
            </w:r>
            <w:r>
              <w:rPr>
                <w:color w:val="ff0000"/>
              </w:rPr>
            </w:r>
            <w:r>
              <w:rPr>
                <w:color w:val="ff0000"/>
              </w:rPr>
            </w:r>
          </w:p>
        </w:tc>
      </w:tr>
      <w:tr>
        <w:trPr>
          <w:trHeight w:val="315"/>
        </w:trPr>
        <w:tc>
          <w:tcPr>
            <w:tcBorders>
              <w:left w:val="single" w:color="000000" w:sz="6" w:space="0"/>
              <w:bottom w:val="single" w:color="000000" w:sz="6" w:space="0"/>
              <w:right w:val="single" w:color="000000" w:sz="6" w:space="0"/>
            </w:tcBorders>
            <w:tcMar>
              <w:left w:w="15" w:type="dxa"/>
              <w:top w:w="15" w:type="dxa"/>
              <w:right w:w="15" w:type="dxa"/>
              <w:bottom w:w="0" w:type="dxa"/>
            </w:tcMar>
            <w:tcW w:w="1148"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1</w:t>
            </w:r>
            <w:r>
              <w:rPr>
                <w:color w:val="ff0000"/>
              </w:rPr>
            </w:r>
            <w:r>
              <w:rPr>
                <w:color w:val="ff0000"/>
              </w:rPr>
            </w:r>
          </w:p>
        </w:tc>
        <w:tc>
          <w:tcPr>
            <w:gridSpan w:val="2"/>
            <w:tcBorders>
              <w:top w:val="single" w:color="000000" w:sz="6" w:space="0"/>
              <w:bottom w:val="single" w:color="000000" w:sz="6" w:space="0"/>
              <w:right w:val="single" w:color="000000" w:sz="4" w:space="0"/>
            </w:tcBorders>
            <w:tcMar>
              <w:left w:w="15" w:type="dxa"/>
              <w:top w:w="15" w:type="dxa"/>
              <w:right w:w="15" w:type="dxa"/>
              <w:bottom w:w="0" w:type="dxa"/>
            </w:tcMar>
            <w:tcW w:w="2520" w:type="dxa"/>
            <w:vAlign w:val="center"/>
            <w:textDirection w:val="lrTb"/>
            <w:noWrap/>
          </w:tcPr>
          <w:p>
            <w:pPr>
              <w:pBdr/>
              <w:spacing w:after="0" w:before="0" w:line="240" w:lineRule="auto"/>
              <w:ind/>
              <w:rPr>
                <w:color w:val="ff0000"/>
              </w:rPr>
            </w:pPr>
            <w:r>
              <w:rPr>
                <w:rFonts w:ascii="Times New Roman" w:hAnsi="Times New Roman" w:eastAsia="Times New Roman" w:cs="Times New Roman"/>
                <w:color w:val="ff0000"/>
                <w:sz w:val="24"/>
              </w:rPr>
              <w:t xml:space="preserve">Móng</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3"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8%</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3"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100%</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6"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14,3%</w:t>
            </w:r>
            <w:r>
              <w:rPr>
                <w:color w:val="ff0000"/>
              </w:rPr>
            </w:r>
            <w:r>
              <w:rPr>
                <w:color w:val="ff0000"/>
              </w:rPr>
            </w:r>
          </w:p>
        </w:tc>
      </w:tr>
      <w:tr>
        <w:trPr>
          <w:trHeight w:val="315"/>
        </w:trPr>
        <w:tc>
          <w:tcPr>
            <w:tcBorders>
              <w:left w:val="single" w:color="000000" w:sz="6" w:space="0"/>
              <w:bottom w:val="single" w:color="000000" w:sz="6" w:space="0"/>
              <w:right w:val="single" w:color="000000" w:sz="6" w:space="0"/>
            </w:tcBorders>
            <w:tcMar>
              <w:left w:w="15" w:type="dxa"/>
              <w:top w:w="15" w:type="dxa"/>
              <w:right w:w="15" w:type="dxa"/>
              <w:bottom w:w="0" w:type="dxa"/>
            </w:tcMar>
            <w:tcW w:w="1148"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2</w:t>
            </w:r>
            <w:r>
              <w:rPr>
                <w:color w:val="ff0000"/>
              </w:rPr>
            </w:r>
            <w:r>
              <w:rPr>
                <w:color w:val="ff0000"/>
              </w:rPr>
            </w:r>
          </w:p>
        </w:tc>
        <w:tc>
          <w:tcPr>
            <w:gridSpan w:val="2"/>
            <w:tcBorders>
              <w:top w:val="single" w:color="000000" w:sz="6" w:space="0"/>
              <w:bottom w:val="single" w:color="000000" w:sz="6" w:space="0"/>
              <w:right w:val="single" w:color="000000" w:sz="4" w:space="0"/>
            </w:tcBorders>
            <w:tcMar>
              <w:left w:w="15" w:type="dxa"/>
              <w:top w:w="15" w:type="dxa"/>
              <w:right w:w="15" w:type="dxa"/>
              <w:bottom w:w="0" w:type="dxa"/>
            </w:tcMar>
            <w:tcW w:w="2520" w:type="dxa"/>
            <w:vAlign w:val="center"/>
            <w:textDirection w:val="lrTb"/>
            <w:noWrap/>
          </w:tcPr>
          <w:p>
            <w:pPr>
              <w:pBdr/>
              <w:spacing w:after="0" w:before="0" w:line="240" w:lineRule="auto"/>
              <w:ind/>
              <w:rPr>
                <w:color w:val="ff0000"/>
              </w:rPr>
            </w:pPr>
            <w:r>
              <w:rPr>
                <w:rFonts w:ascii="Times New Roman" w:hAnsi="Times New Roman" w:eastAsia="Times New Roman" w:cs="Times New Roman"/>
                <w:color w:val="ff0000"/>
                <w:sz w:val="24"/>
              </w:rPr>
              <w:t xml:space="preserve">Khung, cột</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3"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0%</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3"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 </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6" w:type="dxa"/>
            <w:vAlign w:val="center"/>
            <w:textDirection w:val="lrTb"/>
            <w:noWrap w:val="false"/>
          </w:tcPr>
          <w:p>
            <w:pPr>
              <w:pBdr/>
              <w:spacing/>
              <w:ind/>
              <w:rPr/>
            </w:pPr>
            <w:r/>
            <w:r/>
          </w:p>
        </w:tc>
      </w:tr>
      <w:tr>
        <w:trPr>
          <w:trHeight w:val="315"/>
        </w:trPr>
        <w:tc>
          <w:tcPr>
            <w:tcBorders>
              <w:left w:val="single" w:color="000000" w:sz="6" w:space="0"/>
              <w:bottom w:val="single" w:color="000000" w:sz="6" w:space="0"/>
              <w:right w:val="single" w:color="000000" w:sz="6" w:space="0"/>
            </w:tcBorders>
            <w:tcMar>
              <w:left w:w="15" w:type="dxa"/>
              <w:top w:w="15" w:type="dxa"/>
              <w:right w:w="15" w:type="dxa"/>
              <w:bottom w:w="0" w:type="dxa"/>
            </w:tcMar>
            <w:tcW w:w="1148"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3</w:t>
            </w:r>
            <w:r>
              <w:rPr>
                <w:color w:val="ff0000"/>
              </w:rPr>
            </w:r>
            <w:r>
              <w:rPr>
                <w:color w:val="ff0000"/>
              </w:rPr>
            </w:r>
          </w:p>
        </w:tc>
        <w:tc>
          <w:tcPr>
            <w:gridSpan w:val="2"/>
            <w:tcBorders>
              <w:top w:val="single" w:color="000000" w:sz="6" w:space="0"/>
              <w:bottom w:val="single" w:color="000000" w:sz="6" w:space="0"/>
              <w:right w:val="single" w:color="000000" w:sz="4" w:space="0"/>
            </w:tcBorders>
            <w:tcMar>
              <w:left w:w="15" w:type="dxa"/>
              <w:top w:w="15" w:type="dxa"/>
              <w:right w:w="15" w:type="dxa"/>
              <w:bottom w:w="0" w:type="dxa"/>
            </w:tcMar>
            <w:tcW w:w="2520" w:type="dxa"/>
            <w:vAlign w:val="center"/>
            <w:textDirection w:val="lrTb"/>
            <w:noWrap/>
          </w:tcPr>
          <w:p>
            <w:pPr>
              <w:pBdr/>
              <w:spacing w:after="0" w:before="0" w:line="240" w:lineRule="auto"/>
              <w:ind/>
              <w:rPr>
                <w:color w:val="ff0000"/>
              </w:rPr>
            </w:pPr>
            <w:r>
              <w:rPr>
                <w:rFonts w:ascii="Times New Roman" w:hAnsi="Times New Roman" w:eastAsia="Times New Roman" w:cs="Times New Roman"/>
                <w:color w:val="ff0000"/>
                <w:sz w:val="24"/>
              </w:rPr>
              <w:t xml:space="preserve">Tường</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3"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18%</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3"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55%</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6"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17,5%</w:t>
            </w:r>
            <w:r>
              <w:rPr>
                <w:color w:val="ff0000"/>
              </w:rPr>
            </w:r>
            <w:r>
              <w:rPr>
                <w:color w:val="ff0000"/>
              </w:rPr>
            </w:r>
          </w:p>
        </w:tc>
      </w:tr>
      <w:tr>
        <w:trPr>
          <w:trHeight w:val="315"/>
        </w:trPr>
        <w:tc>
          <w:tcPr>
            <w:tcBorders>
              <w:left w:val="single" w:color="000000" w:sz="6" w:space="0"/>
              <w:bottom w:val="single" w:color="000000" w:sz="6" w:space="0"/>
              <w:right w:val="single" w:color="000000" w:sz="6" w:space="0"/>
            </w:tcBorders>
            <w:tcMar>
              <w:left w:w="15" w:type="dxa"/>
              <w:top w:w="15" w:type="dxa"/>
              <w:right w:w="15" w:type="dxa"/>
              <w:bottom w:w="0" w:type="dxa"/>
            </w:tcMar>
            <w:tcW w:w="1148"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4</w:t>
            </w:r>
            <w:r>
              <w:rPr>
                <w:color w:val="ff0000"/>
              </w:rPr>
            </w:r>
            <w:r>
              <w:rPr>
                <w:color w:val="ff0000"/>
              </w:rPr>
            </w:r>
          </w:p>
        </w:tc>
        <w:tc>
          <w:tcPr>
            <w:gridSpan w:val="2"/>
            <w:tcBorders>
              <w:top w:val="single" w:color="000000" w:sz="6" w:space="0"/>
              <w:bottom w:val="single" w:color="000000" w:sz="6" w:space="0"/>
              <w:right w:val="single" w:color="000000" w:sz="4" w:space="0"/>
            </w:tcBorders>
            <w:tcMar>
              <w:left w:w="15" w:type="dxa"/>
              <w:top w:w="15" w:type="dxa"/>
              <w:right w:w="15" w:type="dxa"/>
              <w:bottom w:w="0" w:type="dxa"/>
            </w:tcMar>
            <w:tcW w:w="2520" w:type="dxa"/>
            <w:vAlign w:val="center"/>
            <w:textDirection w:val="lrTb"/>
            <w:noWrap/>
          </w:tcPr>
          <w:p>
            <w:pPr>
              <w:pBdr/>
              <w:spacing w:after="0" w:before="0" w:line="240" w:lineRule="auto"/>
              <w:ind/>
              <w:rPr>
                <w:color w:val="ff0000"/>
              </w:rPr>
            </w:pPr>
            <w:r>
              <w:rPr>
                <w:rFonts w:ascii="Times New Roman" w:hAnsi="Times New Roman" w:eastAsia="Times New Roman" w:cs="Times New Roman"/>
                <w:color w:val="ff0000"/>
                <w:sz w:val="24"/>
              </w:rPr>
              <w:t xml:space="preserve">Nền, sàn</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3"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16%</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3"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35%</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6"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10,0%</w:t>
            </w:r>
            <w:r>
              <w:rPr>
                <w:color w:val="ff0000"/>
              </w:rPr>
            </w:r>
            <w:r>
              <w:rPr>
                <w:color w:val="ff0000"/>
              </w:rPr>
            </w:r>
          </w:p>
        </w:tc>
      </w:tr>
      <w:tr>
        <w:trPr>
          <w:trHeight w:val="315"/>
        </w:trPr>
        <w:tc>
          <w:tcPr>
            <w:tcBorders>
              <w:left w:val="single" w:color="000000" w:sz="6" w:space="0"/>
              <w:bottom w:val="single" w:color="000000" w:sz="6" w:space="0"/>
              <w:right w:val="single" w:color="000000" w:sz="6" w:space="0"/>
            </w:tcBorders>
            <w:tcMar>
              <w:left w:w="15" w:type="dxa"/>
              <w:top w:w="15" w:type="dxa"/>
              <w:right w:w="15" w:type="dxa"/>
              <w:bottom w:w="0" w:type="dxa"/>
            </w:tcMar>
            <w:tcW w:w="1148"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5</w:t>
            </w:r>
            <w:r>
              <w:rPr>
                <w:color w:val="ff0000"/>
              </w:rPr>
            </w:r>
            <w:r>
              <w:rPr>
                <w:color w:val="ff0000"/>
              </w:rPr>
            </w:r>
          </w:p>
        </w:tc>
        <w:tc>
          <w:tcPr>
            <w:gridSpan w:val="2"/>
            <w:tcBorders>
              <w:top w:val="single" w:color="000000" w:sz="6" w:space="0"/>
              <w:bottom w:val="single" w:color="000000" w:sz="6" w:space="0"/>
              <w:right w:val="single" w:color="000000" w:sz="4" w:space="0"/>
            </w:tcBorders>
            <w:tcMar>
              <w:left w:w="15" w:type="dxa"/>
              <w:top w:w="15" w:type="dxa"/>
              <w:right w:w="15" w:type="dxa"/>
              <w:bottom w:w="0" w:type="dxa"/>
            </w:tcMar>
            <w:tcW w:w="2520" w:type="dxa"/>
            <w:vAlign w:val="center"/>
            <w:textDirection w:val="lrTb"/>
            <w:noWrap/>
          </w:tcPr>
          <w:p>
            <w:pPr>
              <w:pBdr/>
              <w:spacing w:after="0" w:before="0" w:line="240" w:lineRule="auto"/>
              <w:ind/>
              <w:rPr>
                <w:color w:val="ff0000"/>
              </w:rPr>
            </w:pPr>
            <w:r>
              <w:rPr>
                <w:rFonts w:ascii="Times New Roman" w:hAnsi="Times New Roman" w:eastAsia="Times New Roman" w:cs="Times New Roman"/>
                <w:color w:val="ff0000"/>
                <w:sz w:val="24"/>
              </w:rPr>
              <w:t xml:space="preserve">Kết cấu đỡ mái</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3"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0%</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3"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 </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6" w:type="dxa"/>
            <w:vAlign w:val="center"/>
            <w:textDirection w:val="lrTb"/>
            <w:noWrap w:val="false"/>
          </w:tcPr>
          <w:p>
            <w:pPr>
              <w:pBdr/>
              <w:spacing/>
              <w:ind/>
              <w:rPr/>
            </w:pPr>
            <w:r/>
            <w:r/>
          </w:p>
        </w:tc>
      </w:tr>
      <w:tr>
        <w:trPr>
          <w:trHeight w:val="315"/>
        </w:trPr>
        <w:tc>
          <w:tcPr>
            <w:tcBorders>
              <w:left w:val="single" w:color="000000" w:sz="6" w:space="0"/>
              <w:bottom w:val="single" w:color="000000" w:sz="6" w:space="0"/>
              <w:right w:val="single" w:color="000000" w:sz="6" w:space="0"/>
            </w:tcBorders>
            <w:tcMar>
              <w:left w:w="15" w:type="dxa"/>
              <w:top w:w="15" w:type="dxa"/>
              <w:right w:w="15" w:type="dxa"/>
              <w:bottom w:w="0" w:type="dxa"/>
            </w:tcMar>
            <w:tcW w:w="1148"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6</w:t>
            </w:r>
            <w:r>
              <w:rPr>
                <w:color w:val="ff0000"/>
              </w:rPr>
            </w:r>
            <w:r>
              <w:rPr>
                <w:color w:val="ff0000"/>
              </w:rPr>
            </w:r>
          </w:p>
        </w:tc>
        <w:tc>
          <w:tcPr>
            <w:gridSpan w:val="2"/>
            <w:tcBorders>
              <w:top w:val="single" w:color="000000" w:sz="6" w:space="0"/>
              <w:bottom w:val="single" w:color="000000" w:sz="6" w:space="0"/>
              <w:right w:val="single" w:color="000000" w:sz="4" w:space="0"/>
            </w:tcBorders>
            <w:tcMar>
              <w:left w:w="15" w:type="dxa"/>
              <w:top w:w="15" w:type="dxa"/>
              <w:right w:w="15" w:type="dxa"/>
              <w:bottom w:w="0" w:type="dxa"/>
            </w:tcMar>
            <w:tcW w:w="2520" w:type="dxa"/>
            <w:vAlign w:val="center"/>
            <w:textDirection w:val="lrTb"/>
            <w:noWrap/>
          </w:tcPr>
          <w:p>
            <w:pPr>
              <w:pBdr/>
              <w:spacing w:after="0" w:before="0" w:line="240" w:lineRule="auto"/>
              <w:ind/>
              <w:rPr>
                <w:color w:val="ff0000"/>
              </w:rPr>
            </w:pPr>
            <w:r>
              <w:rPr>
                <w:rFonts w:ascii="Times New Roman" w:hAnsi="Times New Roman" w:eastAsia="Times New Roman" w:cs="Times New Roman"/>
                <w:color w:val="ff0000"/>
                <w:sz w:val="24"/>
              </w:rPr>
              <w:t xml:space="preserve">Mái</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3"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14%</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3"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60%</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6"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15,0%</w:t>
            </w:r>
            <w:r>
              <w:rPr>
                <w:color w:val="ff0000"/>
              </w:rPr>
            </w:r>
            <w:r>
              <w:rPr>
                <w:color w:val="ff0000"/>
              </w:rPr>
            </w:r>
          </w:p>
        </w:tc>
      </w:tr>
      <w:tr>
        <w:trPr>
          <w:trHeight w:val="315"/>
        </w:trPr>
        <w:tc>
          <w:tcPr>
            <w:tcBorders>
              <w:left w:val="single" w:color="000000" w:sz="6" w:space="0"/>
              <w:bottom w:val="single" w:color="000000" w:sz="6" w:space="0"/>
              <w:right w:val="single" w:color="000000" w:sz="6" w:space="0"/>
            </w:tcBorders>
            <w:tcMar>
              <w:left w:w="15" w:type="dxa"/>
              <w:top w:w="15" w:type="dxa"/>
              <w:right w:w="15" w:type="dxa"/>
              <w:bottom w:w="0" w:type="dxa"/>
            </w:tcMar>
            <w:tcW w:w="1148"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b/>
                <w:color w:val="ff0000"/>
                <w:sz w:val="24"/>
              </w:rPr>
              <w:t xml:space="preserve"> </w:t>
            </w:r>
            <w:r>
              <w:rPr>
                <w:color w:val="ff0000"/>
              </w:rPr>
            </w:r>
            <w:r>
              <w:rPr>
                <w:color w:val="ff0000"/>
              </w:rPr>
            </w:r>
          </w:p>
        </w:tc>
        <w:tc>
          <w:tcPr>
            <w:gridSpan w:val="2"/>
            <w:tcBorders>
              <w:top w:val="single" w:color="000000" w:sz="6" w:space="0"/>
              <w:bottom w:val="single" w:color="000000" w:sz="6" w:space="0"/>
              <w:right w:val="single" w:color="000000" w:sz="4" w:space="0"/>
            </w:tcBorders>
            <w:tcMar>
              <w:left w:w="15" w:type="dxa"/>
              <w:top w:w="15" w:type="dxa"/>
              <w:right w:w="15" w:type="dxa"/>
              <w:bottom w:w="0" w:type="dxa"/>
            </w:tcMar>
            <w:tcW w:w="2520" w:type="dxa"/>
            <w:vAlign w:val="center"/>
            <w:textDirection w:val="lrTb"/>
            <w:noWrap w:val="false"/>
          </w:tcPr>
          <w:p>
            <w:pPr>
              <w:pBdr/>
              <w:spacing w:after="0" w:before="0" w:line="240" w:lineRule="auto"/>
              <w:ind/>
              <w:rPr>
                <w:color w:val="ff0000"/>
              </w:rPr>
            </w:pPr>
            <w:r>
              <w:rPr>
                <w:rFonts w:ascii="Times New Roman" w:hAnsi="Times New Roman" w:eastAsia="Times New Roman" w:cs="Times New Roman"/>
                <w:b/>
                <w:color w:val="ff0000"/>
                <w:sz w:val="24"/>
              </w:rPr>
              <w:t xml:space="preserve">Tổng cộng (g)</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3"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56%</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3"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 </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6"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 </w:t>
            </w:r>
            <w:r>
              <w:rPr>
                <w:color w:val="ff0000"/>
              </w:rPr>
            </w:r>
            <w:r>
              <w:rPr>
                <w:color w:val="ff0000"/>
              </w:rPr>
            </w:r>
          </w:p>
        </w:tc>
      </w:tr>
      <w:tr>
        <w:trPr>
          <w:trHeight w:val="315"/>
        </w:trPr>
        <w:tc>
          <w:tcPr>
            <w:tcBorders>
              <w:left w:val="single" w:color="000000" w:sz="6" w:space="0"/>
              <w:bottom w:val="single" w:color="000000" w:sz="6" w:space="0"/>
              <w:right w:val="single" w:color="000000" w:sz="6" w:space="0"/>
            </w:tcBorders>
            <w:tcMar>
              <w:left w:w="15" w:type="dxa"/>
              <w:top w:w="15" w:type="dxa"/>
              <w:right w:w="15" w:type="dxa"/>
              <w:bottom w:w="0" w:type="dxa"/>
            </w:tcMar>
            <w:tcW w:w="1148" w:type="dxa"/>
            <w:vAlign w:val="center"/>
            <w:textDirection w:val="lrTb"/>
            <w:noWrap w:val="false"/>
          </w:tcPr>
          <w:p>
            <w:pPr>
              <w:pBdr/>
              <w:spacing w:after="0" w:before="0" w:line="240" w:lineRule="auto"/>
              <w:ind/>
              <w:rPr>
                <w:color w:val="ff0000"/>
              </w:rPr>
            </w:pPr>
            <w:r>
              <w:rPr>
                <w:rFonts w:ascii="Times New Roman" w:hAnsi="Times New Roman" w:eastAsia="Times New Roman" w:cs="Times New Roman"/>
                <w:b/>
                <w:color w:val="ff0000"/>
                <w:sz w:val="24"/>
              </w:rPr>
              <w:t xml:space="preserve"> </w:t>
            </w:r>
            <w:r>
              <w:rPr>
                <w:color w:val="ff0000"/>
              </w:rPr>
            </w:r>
            <w:r>
              <w:rPr>
                <w:color w:val="ff0000"/>
              </w:rPr>
            </w:r>
          </w:p>
        </w:tc>
        <w:tc>
          <w:tcPr>
            <w:gridSpan w:val="2"/>
            <w:tcBorders>
              <w:top w:val="single" w:color="000000" w:sz="6" w:space="0"/>
              <w:bottom w:val="single" w:color="000000" w:sz="6" w:space="0"/>
              <w:right w:val="single" w:color="000000" w:sz="4" w:space="0"/>
            </w:tcBorders>
            <w:tcMar>
              <w:left w:w="15" w:type="dxa"/>
              <w:top w:w="15" w:type="dxa"/>
              <w:right w:w="15" w:type="dxa"/>
              <w:bottom w:w="0" w:type="dxa"/>
            </w:tcMar>
            <w:tcW w:w="2520" w:type="dxa"/>
            <w:vAlign w:val="center"/>
            <w:textDirection w:val="lrTb"/>
            <w:noWrap w:val="false"/>
          </w:tcPr>
          <w:p>
            <w:pPr>
              <w:pBdr/>
              <w:spacing w:after="0" w:before="0" w:line="240" w:lineRule="auto"/>
              <w:ind/>
              <w:rPr>
                <w:color w:val="ff0000"/>
              </w:rPr>
            </w:pPr>
            <w:r>
              <w:rPr>
                <w:rFonts w:ascii="Times New Roman" w:hAnsi="Times New Roman" w:eastAsia="Times New Roman" w:cs="Times New Roman"/>
                <w:b/>
                <w:color w:val="ff0000"/>
                <w:sz w:val="24"/>
              </w:rPr>
              <w:t xml:space="preserve">Tỷ lệ hoàn thiện:</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3"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 </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3"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 </w:t>
            </w:r>
            <w:r>
              <w:rPr>
                <w:color w:val="ff0000"/>
              </w:rPr>
            </w:r>
            <w:r>
              <w:rPr>
                <w:color w:val="ff0000"/>
              </w:rPr>
            </w:r>
          </w:p>
        </w:tc>
        <w:tc>
          <w:tcPr>
            <w:tcBorders>
              <w:bottom w:val="single" w:color="000000" w:sz="6" w:space="0"/>
              <w:right w:val="single" w:color="000000" w:sz="6" w:space="0"/>
            </w:tcBorders>
            <w:tcMar>
              <w:left w:w="15" w:type="dxa"/>
              <w:top w:w="15" w:type="dxa"/>
              <w:right w:w="15" w:type="dxa"/>
              <w:bottom w:w="0" w:type="dxa"/>
            </w:tcMar>
            <w:tcW w:w="2086"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b/>
                <w:color w:val="ff0000"/>
                <w:sz w:val="24"/>
              </w:rPr>
              <w:t xml:space="preserve">56,8%</w:t>
            </w:r>
            <w:r>
              <w:rPr>
                <w:color w:val="ff0000"/>
              </w:rPr>
            </w:r>
            <w:r>
              <w:rPr>
                <w:color w:val="ff0000"/>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b/>
          <w:bCs/>
          <w:i/>
          <w:color w:val="ff0000"/>
          <w:spacing w:val="3"/>
          <w:sz w:val="24"/>
          <w:szCs w:val="24"/>
          <w:highlight w:val="none"/>
        </w:rPr>
      </w:pPr>
      <w:r>
        <w:rPr>
          <w:rFonts w:ascii="Times New Roman" w:hAnsi="Times New Roman" w:eastAsia="Times New Roman" w:cs="Times New Roman"/>
          <w:i/>
          <w:iCs/>
          <w:color w:val="ff0000"/>
          <w:spacing w:val="2"/>
          <w:sz w:val="24"/>
        </w:rPr>
        <w:t xml:space="preserve">Do đó, đơn giá xây mới của công trình hiện có là: </w:t>
      </w:r>
      <w:r>
        <w:rPr>
          <w:rFonts w:ascii="Times New Roman" w:hAnsi="Times New Roman" w:eastAsia="Times New Roman" w:cs="Times New Roman"/>
          <w:i/>
          <w:iCs/>
          <w:color w:val="ff0000"/>
          <w:spacing w:val="2"/>
          <w:sz w:val="24"/>
        </w:rPr>
        <w:t xml:space="preserve">9.970.116</w:t>
      </w:r>
      <w:r>
        <w:rPr>
          <w:rFonts w:ascii="Times New Roman" w:hAnsi="Times New Roman" w:eastAsia="Times New Roman" w:cs="Times New Roman"/>
          <w:i/>
          <w:iCs/>
          <w:color w:val="ff0000"/>
          <w:spacing w:val="2"/>
          <w:sz w:val="24"/>
        </w:rPr>
        <w:t xml:space="preserve"> x 56,8% </w:t>
      </w:r>
      <w:r>
        <w:rPr>
          <w:rFonts w:ascii="Times New Roman" w:hAnsi="Times New Roman" w:eastAsia="Times New Roman" w:cs="Times New Roman"/>
          <w:b/>
          <w:i/>
          <w:iCs/>
          <w:color w:val="ff0000"/>
          <w:spacing w:val="2"/>
          <w:sz w:val="24"/>
        </w:rPr>
        <w:t xml:space="preserve">= </w:t>
      </w:r>
      <w:r>
        <w:rPr>
          <w:rFonts w:ascii="Times New Roman" w:hAnsi="Times New Roman" w:eastAsia="Times New Roman" w:cs="Times New Roman"/>
          <w:b/>
          <w:i/>
          <w:iCs/>
          <w:color w:val="ff0000"/>
          <w:spacing w:val="2"/>
          <w:sz w:val="24"/>
        </w:rPr>
        <w:t xml:space="preserve">5.663.026</w:t>
      </w:r>
      <w:r>
        <w:rPr>
          <w:rFonts w:ascii="Times New Roman" w:hAnsi="Times New Roman" w:eastAsia="Times New Roman" w:cs="Times New Roman"/>
          <w:b/>
          <w:i/>
          <w:iCs/>
          <w:color w:val="ff0000"/>
          <w:sz w:val="24"/>
        </w:rPr>
        <w:t xml:space="preserve"> đ</w:t>
      </w:r>
      <w:r>
        <w:rPr>
          <w:rFonts w:ascii="Times New Roman" w:hAnsi="Times New Roman" w:eastAsia="Times New Roman" w:cs="Times New Roman"/>
          <w:b/>
          <w:i/>
          <w:iCs/>
          <w:color w:val="ff0000"/>
          <w:spacing w:val="3"/>
          <w:sz w:val="24"/>
          <w:highlight w:val="white"/>
        </w:rPr>
        <w:t xml:space="preserve">ồng/m² sàn. </w:t>
      </w:r>
      <w:r>
        <w:rPr>
          <w:rFonts w:ascii="Times New Roman" w:hAnsi="Times New Roman" w:eastAsia="Times New Roman" w:cs="Times New Roman"/>
          <w:b/>
          <w:bCs/>
          <w:i/>
          <w:color w:val="ff0000"/>
          <w:spacing w:val="3"/>
          <w:sz w:val="24"/>
          <w:szCs w:val="24"/>
          <w:highlight w:val="none"/>
        </w:rPr>
      </w:r>
      <w:r>
        <w:rPr>
          <w:rFonts w:ascii="Times New Roman" w:hAnsi="Times New Roman" w:eastAsia="Times New Roman" w:cs="Times New Roman"/>
          <w:b/>
          <w:bCs/>
          <w:i/>
          <w:color w:val="ff0000"/>
          <w:spacing w:val="3"/>
          <w:sz w:val="24"/>
          <w:szCs w:val="24"/>
          <w:highlight w:val="none"/>
        </w:rPr>
      </w:r>
    </w:p>
    <w:p>
      <w:pPr>
        <w:numPr>
          <w:ilvl w:val="0"/>
          <w:numId w:val="42"/>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rFonts w:ascii="Times New Roman" w:hAnsi="Times New Roman" w:eastAsia="Times New Roman" w:cs="Times New Roman"/>
          <w:color w:val="000000"/>
          <w:spacing w:val="2"/>
          <w:sz w:val="24"/>
          <w:szCs w:val="24"/>
          <w:highlight w:val="none"/>
        </w:rPr>
      </w:pPr>
      <w:r>
        <w:rPr>
          <w:rFonts w:ascii="Times New Roman" w:hAnsi="Times New Roman" w:eastAsia="Times New Roman" w:cs="Times New Roman"/>
          <w:color w:val="000000"/>
          <w:spacing w:val="2"/>
          <w:sz w:val="24"/>
        </w:rPr>
        <w:t xml:space="preserve">Tỉ lệ hao mòn được tính toán theo phương pháp tuổi đời:</w:t>
      </w:r>
      <w:r>
        <w:rPr>
          <w:rFonts w:ascii="Times New Roman" w:hAnsi="Times New Roman" w:eastAsia="Times New Roman" w:cs="Times New Roman"/>
          <w:color w:val="000000"/>
          <w:spacing w:val="2"/>
          <w:sz w:val="24"/>
          <w:szCs w:val="24"/>
          <w:highlight w:val="none"/>
        </w:rPr>
      </w:r>
      <w:r>
        <w:rPr>
          <w:rFonts w:ascii="Times New Roman" w:hAnsi="Times New Roman" w:eastAsia="Times New Roman" w:cs="Times New Roman"/>
          <w:color w:val="000000"/>
          <w:spacing w:val="2"/>
          <w:sz w:val="24"/>
          <w:szCs w:val="24"/>
          <w:highlight w:val="none"/>
        </w:rP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hoàn th</w:t>
      </w:r>
      <w:r>
        <w:rPr>
          <w:rFonts w:ascii="Times New Roman" w:hAnsi="Times New Roman" w:eastAsia="Times New Roman" w:cs="Times New Roman"/>
          <w:color w:val="000000"/>
          <w:spacing w:val="2"/>
          <w:sz w:val="24"/>
        </w:rPr>
        <w:t xml:space="preserve">ành đưa vào sử dụng khoảng năm 2019, do vậy tổ thẩm định xác định tuổi đời hiệu quả của công trình là khoảng 7 năm.</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là 50 năm. Qua khảo sát thực tế và thông tin khách hàng cung cấp, công trình xây dựng được hoàn thành năm 2014. Do đó, tổ thẩm định để xuất tuổi đời kinh tế của tài sản thẩm định là 50 năm</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63"/>
        <w:gridCol w:w="1865"/>
        <w:gridCol w:w="2081"/>
        <w:gridCol w:w="2082"/>
        <w:gridCol w:w="2082"/>
        <w:gridCol w:w="2081"/>
      </w:tblGrid>
      <w:tr>
        <w:trPr>
          <w:trHeight w:val="60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6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Năm xây dựng hoàn thành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Tỉ lệ hao mòn (%)</w:t>
            </w:r>
            <w:r/>
          </w:p>
        </w:tc>
      </w:tr>
      <w:tr>
        <w:trPr>
          <w:trHeight w:val="62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186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Nhà 4 tầng xây thô</w:t>
            </w:r>
            <w:r/>
          </w:p>
        </w:tc>
        <w:tc>
          <w:tcPr>
            <w:tcBorders>
              <w:bottom w:val="single" w:color="000000" w:sz="6" w:space="0"/>
              <w:right w:val="single" w:color="000000" w:sz="6" w:space="0"/>
            </w:tcBorders>
            <w:tcMar>
              <w:left w:w="0" w:type="dxa"/>
              <w:top w:w="0" w:type="dxa"/>
              <w:right w:w="0" w:type="dxa"/>
              <w:bottom w:w="0" w:type="dxa"/>
            </w:tcMar>
            <w:tcW w:w="18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2019</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2026</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w:t>
            </w:r>
            <w:r/>
          </w:p>
        </w:tc>
      </w:tr>
    </w:tbl>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895"/>
      </w:tblGrid>
      <w:tr>
        <w:trPr>
          <w:trHeight w:val="310"/>
        </w:trPr>
        <w:tc>
          <w:tcPr>
            <w:tcBorders/>
            <w:tcMar>
              <w:left w:w="0" w:type="dxa"/>
              <w:top w:w="0" w:type="dxa"/>
              <w:right w:w="0" w:type="dxa"/>
              <w:bottom w:w="0" w:type="dxa"/>
            </w:tcMar>
            <w:tcW w:w="11895"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Tổ thẩm định xác định tỉ lệ hao mòn của tài sản thẩm định là: 14%, tương đương tỷ lệ chất lượng còn lại của tài sản là: 86%</w:t>
            </w:r>
            <w:r/>
          </w:p>
        </w:tc>
      </w:tr>
    </w:tbl>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39"/>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3"/>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before="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Tổng giá trị hao mòn </w:t>
            </w:r>
            <w:r/>
          </w:p>
        </w:tc>
      </w:tr>
    </w:tbl>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58"/>
        <w:gridCol w:w="1856"/>
        <w:gridCol w:w="2081"/>
        <w:gridCol w:w="2087"/>
        <w:gridCol w:w="2084"/>
        <w:gridCol w:w="2088"/>
      </w:tblGrid>
      <w:tr>
        <w:trPr>
          <w:trHeight w:val="90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5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sàn</w:t>
              <w:br/>
              <w:t xml:space="preserve"> (m²</w:t>
            </w:r>
            <w:r>
              <w:rPr>
                <w:rFonts w:ascii="Times New Roman" w:hAnsi="Times New Roman" w:eastAsia="Times New Roman" w:cs="Times New Roman"/>
                <w:b/>
                <w:color w:val="000000"/>
                <w:sz w:val="28"/>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xây dựng mới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Chi phí thay thế (đồng)</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hao mòn (đồng)</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thẩm định tại thời điểm thẩm định giá (đồng)</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185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18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0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 = (2) * (3)</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08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 = (4) - (5)</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185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Nhà 4 tầng xây thô</w:t>
            </w:r>
            <w:r/>
          </w:p>
        </w:tc>
        <w:tc>
          <w:tcPr>
            <w:tcBorders>
              <w:bottom w:val="single" w:color="000000" w:sz="6" w:space="0"/>
              <w:right w:val="single" w:color="000000" w:sz="6" w:space="0"/>
            </w:tcBorders>
            <w:tcMar>
              <w:left w:w="0" w:type="dxa"/>
              <w:top w:w="0" w:type="dxa"/>
              <w:right w:w="0" w:type="dxa"/>
              <w:bottom w:w="0" w:type="dxa"/>
            </w:tcMar>
            <w:tcW w:w="18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429,2</w:t>
            </w:r>
            <w:r/>
          </w:p>
        </w:tc>
        <w:tc>
          <w:tcPr>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5.663.026</w:t>
            </w:r>
            <w:r/>
          </w:p>
        </w:tc>
        <w:tc>
          <w:tcPr>
            <w:tcBorders>
              <w:bottom w:val="single" w:color="000000" w:sz="6" w:space="0"/>
              <w:right w:val="single" w:color="000000" w:sz="6" w:space="0"/>
            </w:tcBorders>
            <w:tcMar>
              <w:left w:w="0" w:type="dxa"/>
              <w:top w:w="0" w:type="dxa"/>
              <w:right w:w="0" w:type="dxa"/>
              <w:bottom w:w="0" w:type="dxa"/>
            </w:tcMar>
            <w:tcW w:w="20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2.430.570.711</w:t>
            </w:r>
            <w:r/>
          </w:p>
        </w:tc>
        <w:tc>
          <w:tcPr>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340.279.900</w:t>
            </w:r>
            <w:r/>
          </w:p>
        </w:tc>
        <w:tc>
          <w:tcPr>
            <w:tcBorders>
              <w:bottom w:val="single" w:color="000000" w:sz="6" w:space="0"/>
              <w:right w:val="single" w:color="000000" w:sz="6" w:space="0"/>
            </w:tcBorders>
            <w:tcMar>
              <w:left w:w="0" w:type="dxa"/>
              <w:top w:w="0" w:type="dxa"/>
              <w:right w:w="0" w:type="dxa"/>
              <w:bottom w:w="0" w:type="dxa"/>
            </w:tcMar>
            <w:tcW w:w="208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2.090.290.812</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185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Cộng:</w:t>
            </w:r>
            <w:r/>
          </w:p>
        </w:tc>
        <w:tc>
          <w:tcPr>
            <w:tcBorders>
              <w:bottom w:val="single" w:color="000000" w:sz="6" w:space="0"/>
              <w:right w:val="single" w:color="000000" w:sz="6" w:space="0"/>
            </w:tcBorders>
            <w:tcMar>
              <w:left w:w="0" w:type="dxa"/>
              <w:top w:w="0" w:type="dxa"/>
              <w:right w:w="0" w:type="dxa"/>
              <w:bottom w:w="0" w:type="dxa"/>
            </w:tcMar>
            <w:tcW w:w="185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429,2</w:t>
            </w:r>
            <w:r/>
          </w:p>
        </w:tc>
        <w:tc>
          <w:tcPr>
            <w:tcBorders>
              <w:bottom w:val="single" w:color="000000" w:sz="6" w:space="0"/>
              <w:right w:val="single" w:color="000000" w:sz="6" w:space="0"/>
            </w:tcBorders>
            <w:tcMar>
              <w:left w:w="0" w:type="dxa"/>
              <w:top w:w="0" w:type="dxa"/>
              <w:right w:w="0" w:type="dxa"/>
              <w:bottom w:w="0" w:type="dxa"/>
            </w:tcMar>
            <w:tcW w:w="2081" w:type="dxa"/>
            <w:vAlign w:val="bottom"/>
            <w:textDirection w:val="lrTb"/>
            <w:noWrap/>
          </w:tcPr>
          <w:p>
            <w:pPr>
              <w:pBdr/>
              <w:spacing w:after="0" w:before="0" w:line="240" w:lineRule="auto"/>
              <w:ind/>
              <w:rPr/>
            </w:pPr>
            <w:r>
              <w:rPr>
                <w:rFonts w:ascii="Calibri" w:hAnsi="Calibri" w:eastAsia="Calibri" w:cs="Calibri"/>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2087" w:type="dxa"/>
            <w:vAlign w:val="bottom"/>
            <w:textDirection w:val="lrTb"/>
            <w:noWrap/>
          </w:tcPr>
          <w:p>
            <w:pPr>
              <w:pBdr/>
              <w:spacing w:after="0" w:before="0" w:line="240" w:lineRule="auto"/>
              <w:ind/>
              <w:rPr/>
            </w:pPr>
            <w:r>
              <w:rPr>
                <w:rFonts w:ascii="Calibri" w:hAnsi="Calibri" w:eastAsia="Calibri" w:cs="Calibri"/>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340.279.900</w:t>
            </w:r>
            <w:r/>
          </w:p>
        </w:tc>
        <w:tc>
          <w:tcPr>
            <w:tcBorders>
              <w:bottom w:val="single" w:color="000000" w:sz="6" w:space="0"/>
              <w:right w:val="single" w:color="000000" w:sz="6" w:space="0"/>
            </w:tcBorders>
            <w:tcMar>
              <w:left w:w="0" w:type="dxa"/>
              <w:top w:w="0" w:type="dxa"/>
              <w:right w:w="0" w:type="dxa"/>
              <w:bottom w:w="0" w:type="dxa"/>
            </w:tcMar>
            <w:tcW w:w="208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2.090.290.812</w:t>
            </w:r>
            <w:r/>
          </w:p>
        </w:tc>
      </w:tr>
    </w:tbl>
    <w:p>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5"/>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06/2026</w:t>
      </w:r>
      <w:r>
        <w:t xml:space="preserve"> </w:t>
      </w:r>
      <w:r>
        <w:t xml:space="preserve">ước tính </w:t>
      </w:r>
      <w:r>
        <w:t xml:space="preserve">như sau</w:t>
      </w:r>
      <w:r>
        <w:t xml:space="preserve">:</w:t>
      </w:r>
      <w:r>
        <w:rPr>
          <w:highlight w:val="none"/>
        </w:rPr>
      </w:r>
      <w:r>
        <w:rPr>
          <w:highlight w:val="none"/>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5"/>
        <w:gridCol w:w="3101"/>
        <w:gridCol w:w="1205"/>
        <w:gridCol w:w="1451"/>
        <w:gridCol w:w="1208"/>
        <w:gridCol w:w="1774"/>
      </w:tblGrid>
      <w:tr>
        <w:trPr>
          <w:trHeight w:val="7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1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45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20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CLCL </w:t>
              <w:b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7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693"/>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965"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Giá trị quyền sử dụng đất và tài sản gắn liền với đất tại thửa đất số: 42, tờ bản đồ số 8 có địa chỉ: Số 29 khu Monaco 01 - ô số 3 lô O4-6, khu đô thị thị Vinhomes Imperia, phường Thượng Lý, quận Hồng Bàng, thành phố Hải Phòng (nay đổi thành Số 29 khu Mona</w:t>
            </w:r>
            <w:r>
              <w:rPr>
                <w:rFonts w:ascii="Times New Roman" w:hAnsi="Times New Roman" w:eastAsia="Times New Roman" w:cs="Times New Roman"/>
                <w:b/>
                <w:color w:val="000000"/>
                <w:sz w:val="24"/>
              </w:rPr>
              <w:t xml:space="preserve">co 01 - ô số 3 lô O4-6, khu đô thị thị Vinhomes Imperia, phường Hồng Bàng, thành phố Hải Phòng) theo Giấy chứng nhận quyền sử dụng đất quyền sở hữu nhà ở và tài sản khác gắn liền với đất số: CX 432908, số vào sổ cấp GCN: CH 01243 do Ủy ban nhân dân quận Hồ</w:t>
            </w:r>
            <w:r>
              <w:rPr>
                <w:rFonts w:ascii="Times New Roman" w:hAnsi="Times New Roman" w:eastAsia="Times New Roman" w:cs="Times New Roman"/>
                <w:b/>
                <w:color w:val="000000"/>
                <w:sz w:val="24"/>
              </w:rPr>
              <w:t xml:space="preserve">ng Bàng cấp ngày 30/10/2020; Chủ sử dụng đất là Ông Bùi Thanh Cương và vợ là bà Nguyễn Thị Hồng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774"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3101" w:type="dxa"/>
            <w:vAlign w:val="center"/>
            <w:textDirection w:val="lrTb"/>
            <w:noWrap w:val="false"/>
          </w:tcPr>
          <w:p>
            <w:pPr>
              <w:pBdr/>
              <w:spacing w:after="0" w:before="0" w:line="240" w:lineRule="auto"/>
              <w:ind/>
              <w:rPr>
                <w:b w:val="0"/>
                <w:bCs w:val="0"/>
              </w:rPr>
            </w:pPr>
            <w:r>
              <w:rPr>
                <w:rFonts w:ascii="Times New Roman" w:hAnsi="Times New Roman" w:eastAsia="Times New Roman" w:cs="Times New Roman"/>
                <w:b w:val="0"/>
                <w:bCs w:val="0"/>
                <w:color w:val="000000"/>
                <w:sz w:val="24"/>
              </w:rPr>
              <w:t xml:space="preserve">Đất ở tại đô thị</w:t>
            </w:r>
            <w:r>
              <w:rPr>
                <w:b w:val="0"/>
                <w:bCs w:val="0"/>
              </w:rPr>
            </w:r>
            <w:r>
              <w:rPr>
                <w:b w:val="0"/>
                <w:bCs w:val="0"/>
              </w:rPr>
            </w:r>
          </w:p>
        </w:tc>
        <w:tc>
          <w:tcPr>
            <w:tcBorders>
              <w:bottom w:val="single" w:color="000000" w:sz="6" w:space="0"/>
              <w:right w:val="single" w:color="000000" w:sz="6" w:space="0"/>
            </w:tcBorders>
            <w:tcMar>
              <w:left w:w="0" w:type="dxa"/>
              <w:top w:w="0" w:type="dxa"/>
              <w:right w:w="0" w:type="dxa"/>
              <w:bottom w:w="0" w:type="dxa"/>
            </w:tcMar>
            <w:tcW w:w="1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250</w:t>
            </w:r>
            <w:r/>
          </w:p>
        </w:tc>
        <w:tc>
          <w:tcPr>
            <w:shd w:val="clear" w:color="ffffff" w:fill="ffffff"/>
            <w:tcBorders>
              <w:bottom w:val="single" w:color="000000" w:sz="6" w:space="0"/>
              <w:right w:val="single" w:color="000000" w:sz="6" w:space="0"/>
            </w:tcBorders>
            <w:tcMar>
              <w:left w:w="0" w:type="dxa"/>
              <w:top w:w="0" w:type="dxa"/>
              <w:right w:w="0" w:type="dxa"/>
              <w:bottom w:w="0" w:type="dxa"/>
            </w:tcMar>
            <w:tcW w:w="14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92.000.000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20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774"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23.000.000.000</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6" w:space="0"/>
              <w:right w:val="single" w:color="000000" w:sz="6" w:space="0"/>
            </w:tcBorders>
            <w:tcMar>
              <w:left w:w="0" w:type="dxa"/>
              <w:top w:w="0" w:type="dxa"/>
              <w:right w:w="0" w:type="dxa"/>
              <w:bottom w:w="0" w:type="dxa"/>
            </w:tcMar>
            <w:tcW w:w="3101" w:type="dxa"/>
            <w:vAlign w:val="center"/>
            <w:textDirection w:val="lrTb"/>
            <w:noWrap w:val="false"/>
          </w:tcPr>
          <w:p>
            <w:pPr>
              <w:pBdr/>
              <w:spacing w:after="0" w:before="0" w:line="240" w:lineRule="auto"/>
              <w:ind/>
              <w:rPr>
                <w:b w:val="0"/>
                <w:bCs w:val="0"/>
              </w:rPr>
            </w:pPr>
            <w:r>
              <w:rPr>
                <w:rFonts w:ascii="Times New Roman" w:hAnsi="Times New Roman" w:eastAsia="Times New Roman" w:cs="Times New Roman"/>
                <w:b w:val="0"/>
                <w:bCs w:val="0"/>
                <w:color w:val="000000"/>
                <w:sz w:val="24"/>
              </w:rPr>
              <w:t xml:space="preserve">Nhà 4 tầng xây thô</w:t>
            </w:r>
            <w:r>
              <w:rPr>
                <w:b w:val="0"/>
                <w:bCs w:val="0"/>
              </w:rPr>
            </w:r>
            <w:r>
              <w:rPr>
                <w:b w:val="0"/>
                <w:bCs w:val="0"/>
              </w:rPr>
            </w:r>
          </w:p>
        </w:tc>
        <w:tc>
          <w:tcPr>
            <w:tcBorders>
              <w:bottom w:val="single" w:color="000000" w:sz="6" w:space="0"/>
              <w:right w:val="single" w:color="000000" w:sz="6" w:space="0"/>
            </w:tcBorders>
            <w:tcMar>
              <w:left w:w="0" w:type="dxa"/>
              <w:top w:w="0" w:type="dxa"/>
              <w:right w:w="0" w:type="dxa"/>
              <w:bottom w:w="0" w:type="dxa"/>
            </w:tcMar>
            <w:tcW w:w="1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429,2</w:t>
            </w:r>
            <w:r/>
          </w:p>
        </w:tc>
        <w:tc>
          <w:tcPr>
            <w:shd w:val="clear" w:color="ffffff" w:fill="ffffff"/>
            <w:tcBorders>
              <w:bottom w:val="single" w:color="000000" w:sz="6" w:space="0"/>
              <w:right w:val="single" w:color="000000" w:sz="6" w:space="0"/>
            </w:tcBorders>
            <w:tcMar>
              <w:left w:w="0" w:type="dxa"/>
              <w:top w:w="0" w:type="dxa"/>
              <w:right w:w="0" w:type="dxa"/>
              <w:bottom w:w="0" w:type="dxa"/>
            </w:tcMar>
            <w:tcW w:w="14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5.663.026</w:t>
            </w:r>
            <w:r/>
          </w:p>
        </w:tc>
        <w:tc>
          <w:tcPr>
            <w:shd w:val="clear" w:color="ffffff" w:fill="ffffff"/>
            <w:tcBorders>
              <w:bottom w:val="single" w:color="000000" w:sz="6" w:space="0"/>
              <w:right w:val="single" w:color="000000" w:sz="6" w:space="0"/>
            </w:tcBorders>
            <w:tcMar>
              <w:left w:w="0" w:type="dxa"/>
              <w:top w:w="0" w:type="dxa"/>
              <w:right w:w="0" w:type="dxa"/>
              <w:bottom w:w="0" w:type="dxa"/>
            </w:tcMar>
            <w:tcW w:w="120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86%</w:t>
            </w:r>
            <w:r/>
          </w:p>
        </w:tc>
        <w:tc>
          <w:tcPr>
            <w:shd w:val="clear" w:color="ffffff" w:fill="ffffff"/>
            <w:tcBorders>
              <w:bottom w:val="single" w:color="000000" w:sz="6" w:space="0"/>
              <w:right w:val="single" w:color="000000" w:sz="6" w:space="0"/>
            </w:tcBorders>
            <w:tcMar>
              <w:left w:w="0" w:type="dxa"/>
              <w:top w:w="0" w:type="dxa"/>
              <w:right w:w="0" w:type="dxa"/>
              <w:bottom w:w="0" w:type="dxa"/>
            </w:tcMar>
            <w:tcW w:w="1774"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2.090.290.812</w:t>
            </w:r>
            <w:r/>
          </w:p>
        </w:tc>
      </w:tr>
      <w:tr>
        <w:trPr>
          <w:trHeight w:val="40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0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774"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25.090.290.812</w:t>
            </w:r>
            <w:r/>
          </w:p>
        </w:tc>
      </w:tr>
      <w:tr>
        <w:trPr>
          <w:trHeight w:val="31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0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774"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25.090.000.000</w:t>
            </w:r>
            <w:r/>
          </w:p>
        </w:tc>
      </w:tr>
      <w:tr>
        <w:trPr>
          <w:trHeight w:val="310"/>
        </w:trPr>
        <w:tc>
          <w:tcPr>
            <w:gridSpan w:val="6"/>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27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mươi lăm tỷ chín mươi triệu đồng chẵn./.)</w:t>
            </w: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275/2026/0975/VFI-CT.57.A</w:t>
      </w:r>
      <w:r>
        <w:rPr>
          <w:color w:val="ff0000"/>
          <w:lang w:val="vi-VN"/>
        </w:rPr>
        <w:t xml:space="preserve"> </w:t>
      </w:r>
      <w:r>
        <w:rPr>
          <w:color w:val="000000" w:themeColor="text1"/>
        </w:rPr>
        <w:t xml:space="preserve">ngày 30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275/2026/0975/VFI-BC.57.A</w:t>
      </w:r>
      <w:r>
        <w:rPr>
          <w:i/>
        </w:rPr>
        <w:t xml:space="preserve"> ngày</w:t>
      </w:r>
      <w:r>
        <w:rPr>
          <w:i/>
          <w:lang w:val="pt-BR"/>
        </w:rPr>
        <w:t xml:space="preserve"> </w:t>
      </w:r>
      <w:r>
        <w:rPr>
          <w:i/>
          <w:lang w:val="pt-BR"/>
        </w:rPr>
        <w:t xml:space="preserve">30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171483" cy="261225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146267" name=""/>
                              <pic:cNvPicPr>
                                <a:picLocks noChangeAspect="1"/>
                              </pic:cNvPicPr>
                              <pic:nvPr/>
                            </pic:nvPicPr>
                            <pic:blipFill rotWithShape="1">
                              <a:blip r:embed="rId19"/>
                              <a:stretch/>
                            </pic:blipFill>
                            <pic:spPr bwMode="auto">
                              <a:xfrm flipH="0" flipV="0">
                                <a:off x="0" y="0"/>
                                <a:ext cx="1171482" cy="26122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92.24pt;height:205.69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866158" cy="244877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62311" name=""/>
                              <pic:cNvPicPr>
                                <a:picLocks noChangeAspect="1"/>
                              </pic:cNvPicPr>
                              <pic:nvPr/>
                            </pic:nvPicPr>
                            <pic:blipFill rotWithShape="1">
                              <a:blip r:embed="rId20"/>
                              <a:stretch/>
                            </pic:blipFill>
                            <pic:spPr bwMode="auto">
                              <a:xfrm flipH="0" flipV="0">
                                <a:off x="0" y="0"/>
                                <a:ext cx="1866157" cy="24487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6.94pt;height:192.82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83247" cy="225832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449992" name=""/>
                              <pic:cNvPicPr>
                                <a:picLocks noChangeAspect="1"/>
                              </pic:cNvPicPr>
                              <pic:nvPr/>
                            </pic:nvPicPr>
                            <pic:blipFill rotWithShape="1">
                              <a:blip r:embed="rId21"/>
                              <a:stretch/>
                            </pic:blipFill>
                            <pic:spPr bwMode="auto">
                              <a:xfrm flipH="0" flipV="0">
                                <a:off x="0" y="0"/>
                                <a:ext cx="2983246" cy="22583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4.90pt;height:177.82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16203" cy="225666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626266" name=""/>
                              <pic:cNvPicPr>
                                <a:picLocks noChangeAspect="1"/>
                              </pic:cNvPicPr>
                              <pic:nvPr/>
                            </pic:nvPicPr>
                            <pic:blipFill rotWithShape="1">
                              <a:blip r:embed="rId22"/>
                              <a:stretch/>
                            </pic:blipFill>
                            <pic:spPr bwMode="auto">
                              <a:xfrm flipH="0" flipV="0">
                                <a:off x="0" y="0"/>
                                <a:ext cx="3016203" cy="22566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7.50pt;height:177.69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13784" cy="218465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276023" name=""/>
                              <pic:cNvPicPr>
                                <a:picLocks noChangeAspect="1"/>
                              </pic:cNvPicPr>
                              <pic:nvPr/>
                            </pic:nvPicPr>
                            <pic:blipFill rotWithShape="1">
                              <a:blip r:embed="rId23"/>
                              <a:stretch/>
                            </pic:blipFill>
                            <pic:spPr bwMode="auto">
                              <a:xfrm flipH="0" flipV="0">
                                <a:off x="0" y="0"/>
                                <a:ext cx="3013783" cy="21846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7.31pt;height:172.02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2035" cy="216479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365755" name=""/>
                              <pic:cNvPicPr>
                                <a:picLocks noChangeAspect="1"/>
                              </pic:cNvPicPr>
                              <pic:nvPr/>
                            </pic:nvPicPr>
                            <pic:blipFill rotWithShape="1">
                              <a:blip r:embed="rId24"/>
                              <a:stretch/>
                            </pic:blipFill>
                            <pic:spPr bwMode="auto">
                              <a:xfrm flipH="0" flipV="0">
                                <a:off x="0" y="0"/>
                                <a:ext cx="2882035" cy="2164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93pt;height:170.46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275/2026/0975/VFI-BC.57.A</w:t>
      </w:r>
      <w:r>
        <w:rPr>
          <w:i/>
        </w:rPr>
        <w:t xml:space="preserve"> ngày</w:t>
      </w:r>
      <w:r>
        <w:rPr>
          <w:i/>
          <w:lang w:val="pt-BR"/>
        </w:rPr>
        <w:t xml:space="preserve"> </w:t>
      </w:r>
      <w:r>
        <w:rPr>
          <w:i/>
          <w:lang w:val="pt-BR"/>
        </w:rPr>
        <w:t xml:space="preserve">30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https://batdongsan.com.vn/ban-nha-biet-thu-lien-ke-phuong-thuong-ly-vinhomes-imperia-hai-phong/sieu-pham-don-lap-290m-thang-may-noi-that-dang-cap-hoan-thien-tam-huyet-san-vuon-pr44198626</w:t>
            </w:r>
            <w:r>
              <w:rPr>
                <w:color w:val="000000" w:themeColor="text1"/>
                <w:sz w:val="22"/>
                <w:szCs w:val="22"/>
              </w:rPr>
              <w:br/>
              <w:t xml:space="preserve">0915155999</w:t>
            </w:r>
            <w:r>
              <w:rPr>
                <w:sz w:val="22"/>
                <w:szCs w:val="22"/>
              </w:rPr>
              <w:t xml:space="preserve"> </w:t>
            </w:r>
            <w:r>
              <w:rPr>
                <w:sz w:val="22"/>
                <w:szCs w:val="22"/>
              </w:rPr>
              <w:br/>
              <w:t xml:space="preserve">(Thắng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(290m²)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Hồng Bàng, Thành phố Hải Phòng, nằm trong </w:t>
            </w:r>
            <w:r>
              <w:rPr>
                <w:rFonts w:ascii="Times New Roman" w:hAnsi="Times New Roman" w:eastAsia="Times New Roman" w:cs="Times New Roman"/>
                <w:color w:val="000000"/>
                <w:sz w:val="24"/>
              </w:rPr>
              <w:t xml:space="preserve">khu đô thị Vimhomes Imperia</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view công viên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30990" cy="191716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3930989" cy="19171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09.53pt;height:150.96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Nguyễn Minh Phúc</w:t>
            </w:r>
            <w:r/>
          </w:p>
        </w:tc>
      </w:tr>
    </w:tbl>
    <w:p>
      <w:pPr>
        <w:pBdr/>
        <w:spacing/>
        <w:ind/>
        <w:rPr/>
      </w:pPr>
      <w:r>
        <w:br w:type="page" w:clear="all"/>
        <w:t xml:space="preserve">                                                                           </w:t>
      </w:r>
      <w:r>
        <w:rPr>
          <w:b/>
          <w:bCs/>
          <w:iCs/>
          <w:lang w:val="pt-BR"/>
        </w:rPr>
        <w:t xml:space="preserve">TSSS2</w:t>
      </w:r>
      <w:r>
        <w:rPr>
          <w:b/>
          <w:bCs/>
          <w:iCs/>
          <w:lang w:val="pt-BR"/>
        </w:rPr>
      </w: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0773 0022 39</w:t>
            </w:r>
            <w:r>
              <w:rPr>
                <w:sz w:val="22"/>
                <w:szCs w:val="22"/>
              </w:rPr>
              <w:t xml:space="preserve"> </w:t>
            </w:r>
            <w:r>
              <w:rPr>
                <w:sz w:val="22"/>
                <w:szCs w:val="22"/>
              </w:rPr>
              <w:br/>
              <w:t xml:space="preserve">(Long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33.030.000.000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(271m²)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Hồng Bàng, Thành phố Hải Phòng, nằm trong </w:t>
            </w:r>
            <w:r>
              <w:rPr>
                <w:rFonts w:ascii="Times New Roman" w:hAnsi="Times New Roman" w:eastAsia="Times New Roman" w:cs="Times New Roman"/>
                <w:color w:val="000000"/>
                <w:sz w:val="24"/>
              </w:rPr>
              <w:t xml:space="preserve">khu đô thị Vimhomes Imperia</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view công viên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91667"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29166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16.67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4329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34329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20.7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Nguyễn Minh Phúc</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https://www.facebook.com/groups/muabannhadathaiphongchinhchu/posts/619599491152001/</w:t>
            </w:r>
            <w:r>
              <w:rPr>
                <w:color w:val="000000" w:themeColor="text1"/>
                <w:sz w:val="22"/>
                <w:szCs w:val="22"/>
              </w:rPr>
              <w:br/>
            </w:r>
            <w:r>
              <w:rPr>
                <w:sz w:val="22"/>
                <w:szCs w:val="22"/>
              </w:rPr>
              <w:t xml:space="preserve">SĐT: </w:t>
            </w:r>
            <w:r>
              <w:rPr>
                <w:color w:val="000000" w:themeColor="text1"/>
                <w:sz w:val="22"/>
                <w:szCs w:val="22"/>
              </w:rPr>
              <w:t xml:space="preserve">0773 0022 39</w:t>
            </w:r>
            <w:r>
              <w:rPr>
                <w:sz w:val="22"/>
                <w:szCs w:val="22"/>
              </w:rPr>
              <w:t xml:space="preserve"> </w:t>
            </w:r>
            <w:r>
              <w:rPr>
                <w:sz w:val="22"/>
                <w:szCs w:val="22"/>
              </w:rPr>
              <w:br/>
              <w:t xml:space="preserve">(long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bán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(250m²)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Hồng Bàng, Thành phố Hải Phòng, nằm trong </w:t>
            </w:r>
            <w:r>
              <w:rPr>
                <w:rFonts w:ascii="Times New Roman" w:hAnsi="Times New Roman" w:eastAsia="Times New Roman" w:cs="Times New Roman"/>
                <w:color w:val="000000"/>
                <w:sz w:val="24"/>
              </w:rPr>
              <w:t xml:space="preserve">khu đô thị Vimhomes Imperia</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Phía sau tài sản tiếp giáp với hồ điều hòa</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77476"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77747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76.1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80316"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3803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3.65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Nguyễn Minh Phúc</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iCs/>
          <w:highlight w:val="none"/>
          <w:lang w:val="pt-BR"/>
        </w:rPr>
      </w:pPr>
      <w:r>
        <w:rPr>
          <w:iCs/>
          <w:lang w:val="pt-BR"/>
        </w:rPr>
        <w:t xml:space="preserve">                                                              HỒ SƠ PHÁP LÝ</w: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8650239" cy="582964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42498" name=""/>
                        <pic:cNvPicPr>
                          <a:picLocks noChangeAspect="1"/>
                        </pic:cNvPicPr>
                        <pic:nvPr/>
                      </pic:nvPicPr>
                      <pic:blipFill rotWithShape="1">
                        <a:blip r:embed="rId30"/>
                        <a:stretch/>
                      </pic:blipFill>
                      <pic:spPr bwMode="auto">
                        <a:xfrm rot="16199969" flipH="0" flipV="0">
                          <a:off x="0" y="0"/>
                          <a:ext cx="8650239" cy="58296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681.12pt;height:459.03pt;mso-wrap-distance-left:0.00pt;mso-wrap-distance-top:0.00pt;mso-wrap-distance-right:0.00pt;mso-wrap-distance-bottom:0.00pt;rotation:269;z-index:1;" stroked="false">
                <v:imagedata r:id="rId30"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9316318" cy="591536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330043" name=""/>
                        <pic:cNvPicPr>
                          <a:picLocks noChangeAspect="1"/>
                        </pic:cNvPicPr>
                        <pic:nvPr/>
                      </pic:nvPicPr>
                      <pic:blipFill rotWithShape="1">
                        <a:blip r:embed="rId31"/>
                        <a:stretch/>
                      </pic:blipFill>
                      <pic:spPr bwMode="auto">
                        <a:xfrm rot="16199969" flipH="0" flipV="0">
                          <a:off x="0" y="0"/>
                          <a:ext cx="9316317" cy="59153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733.57pt;height:465.78pt;mso-wrap-distance-left:0.00pt;mso-wrap-distance-top:0.00pt;mso-wrap-distance-right:0.00pt;mso-wrap-distance-bottom:0.00pt;rotation:269;z-index:1;" stroked="false">
                <v:imagedata r:id="rId31"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t xml:space="preserve">                                                        BIÊN BẢN KHẢO SÁT</w:t>
      </w:r>
      <w:r>
        <w:rPr>
          <w:highlight w:val="none"/>
          <w:lang w:val="pt-BR" w:bidi="pt-BR"/>
        </w:rPr>
      </w:r>
      <w:r>
        <w:rPr>
          <w:highlight w:val="none"/>
          <w:lang w:val="pt-BR" w:bidi="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29281"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7-02T08:43:28Z" w:initials="NTTD">
    <w:p w14:paraId="00000001" w14:textId="00000001">
      <w:pPr>
        <w:spacing w:line="240" w:after="0" w:lineRule="auto" w:before="0"/>
        <w:ind w:firstLine="0" w:left="0" w:right="0"/>
        <w:jc w:val="left"/>
      </w:pPr>
      <w:r>
        <w:rPr>
          <w:rFonts w:eastAsia="Arial" w:ascii="Arial" w:hAnsi="Arial" w:cs="Arial"/>
          <w:sz w:val="22"/>
        </w:rPr>
        <w:t xml:space="preserve">Bổ úng diện tích nhà</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5A0B4" w16cex:dateUtc="2026-07-02T01:43:28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2425A0B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02EDAC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42F1C96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267097E8"/>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272B1678"/>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6FEFF4A2"/>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comments" Target="comments.xml" /><Relationship Id="rId34" Type="http://schemas.microsoft.com/office/2011/relationships/commentsExtended" Target="commentsExtended.xml" /><Relationship Id="rId35" Type="http://schemas.microsoft.com/office/2018/08/relationships/commentsExtensible" Target="commentsExtensible.xml" /><Relationship Id="rId36" Type="http://schemas.microsoft.com/office/2016/09/relationships/commentsIds" Target="commentsIds.xml" /><Relationship Id="rId37"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516</cp:revision>
  <dcterms:created xsi:type="dcterms:W3CDTF">2025-09-15T02:01:00Z</dcterms:created>
  <dcterms:modified xsi:type="dcterms:W3CDTF">2026-07-02T02:32:50Z</dcterms:modified>
</cp:coreProperties>
</file>