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bCs/>
          <w:sz w:val="28"/>
          <w:szCs w:val="28"/>
          <w:lang w:val="vi-VN"/>
        </w:rPr>
      </w:pPr>
      <w:r>
        <w:rPr>
          <w:b/>
          <w:sz w:val="28"/>
          <w:lang w:val="vi-VN"/>
        </w:rPr>
      </w:r>
      <w:r>
        <w:rPr>
          <w:b/>
          <w:sz w:val="28"/>
          <w:lang w:val="vi-VN"/>
        </w:rPr>
      </w:r>
      <w:r>
        <w:rPr>
          <w:b/>
          <w:sz w:val="28"/>
          <w:lang w:val="vi-VN"/>
        </w:rPr>
      </w:r>
    </w:p>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97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97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275/2026/0984/VFI-CT.65.A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LÝ HẢI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8(2), tờ bản đồ số 28, có địa chỉ: Số 4, ngõ 265, đường Ngọc Hồi, thị trấn Văn Điển, huyện Thanh Trì, thành phố Hà Nội (nay là</w:t>
                            </w:r>
                            <w:r>
                              <w:rPr>
                                <w:color w:val="000000"/>
                              </w:rPr>
                              <w:t xml:space="preserve"> xã Thanh Trì, thành phố Hà Nội), theo Giấy chứng nhận quyền sử dụng đất quyền sở hữu nhà ở và tài sản khác gắn liền với đất số: DL 398749, số vào sổ cấp GCN: CH 00631 do sở Ủy ban nhân dân huyện Thanh Trì cấp ngày 20/7/2023; Chủ tài sản là ông: Lý Hải Nam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5.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275/2026/0984/VFI-CT.65.A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LÝ HẢI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8(2), tờ bản đồ số 28, có địa chỉ: Số 4, ngõ 265, đường Ngọc Hồi, thị trấn Văn Điển, huyện Thanh Trì, thành phố Hà Nội (nay là</w:t>
                      </w:r>
                      <w:r>
                        <w:rPr>
                          <w:color w:val="000000"/>
                        </w:rPr>
                        <w:t xml:space="preserve"> xã Thanh Trì, thành phố Hà Nội), theo Giấy chứng nhận quyền sử dụng đất quyền sở hữu nhà ở và tài sản khác gắn liền với đất số: DL 398749, số vào sổ cấp GCN: CH 00631 do sở Ủy ban nhân dân huyện Thanh Trì cấp ngày 20/7/2023; Chủ tài sản là ông: Lý Hải Nam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24-28</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35" w:type="dxa"/>
        <w:tblBorders/>
        <w:tblLayout w:type="fixed"/>
        <w:tblLook w:val="04A0" w:firstRow="1" w:lastRow="0" w:firstColumn="1" w:lastColumn="0" w:noHBand="0" w:noVBand="1"/>
      </w:tblPr>
      <w:tblGrid>
        <w:gridCol w:w="29"/>
        <w:gridCol w:w="1701"/>
        <w:gridCol w:w="3402"/>
        <w:gridCol w:w="4804"/>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0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93"/>
        </w:trPr>
        <w:tc>
          <w:tcPr>
            <w:gridSpan w:val="2"/>
            <w:shd w:val="clear" w:color="auto" w:fill="auto"/>
            <w:tcBorders/>
            <w:tcMar>
              <w:left w:w="108" w:type="dxa"/>
              <w:top w:w="0" w:type="dxa"/>
              <w:right w:w="108" w:type="dxa"/>
              <w:bottom w:w="0" w:type="dxa"/>
            </w:tcMar>
            <w:tcW w:w="510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275/2026/0984/VFI-CT.65.A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0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01 tháng 7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LÝ HẢI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275/2026/0984/VFI-HĐTĐ.65.A</w:t>
      </w:r>
      <w:r>
        <w:rPr>
          <w:spacing w:val="-4"/>
          <w:lang w:val="vi-VN"/>
        </w:rPr>
        <w:t xml:space="preserve"> ký ngày </w:t>
      </w:r>
      <w:r>
        <w:rPr>
          <w:color w:val="000000" w:themeColor="text1"/>
          <w:spacing w:val="-4"/>
        </w:rPr>
        <w:t xml:space="preserve">25 tháng 6 năm 2026</w:t>
      </w:r>
      <w:r>
        <w:rPr>
          <w:spacing w:val="-4"/>
          <w:lang w:val="vi-VN"/>
        </w:rPr>
        <w:t xml:space="preserve"> </w:t>
      </w:r>
      <w:r>
        <w:rPr>
          <w:spacing w:val="-4"/>
          <w:lang w:val="vi-VN"/>
        </w:rPr>
        <w:t xml:space="preserve">giữa </w:t>
      </w:r>
      <w:r>
        <w:rPr>
          <w:bCs/>
        </w:rPr>
        <w:t xml:space="preserve">ông Lý Hải Nam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275/2026/0984/VFI-BC.65.A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01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LÝ HẢI NAM</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033070000829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57 phường Tương Mai,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8(2), tờ bản đồ số 28, có địa chỉ: Số 4, ngõ 265, đường Ngọc Hồi, thị trấn Văn Điển, huyện Thanh Trì, thành phố Hà Nội (nay là</w:t>
      </w:r>
      <w:r>
        <w:rPr>
          <w:color w:val="000000" w:themeColor="text1"/>
        </w:rPr>
        <w:t xml:space="preserve"> xã Thanh Trì, thành phố Hà Nội), theo Giấy chứng nhận quyền sử dụng đất quyền sở hữu nhà ở và tài sản khác gắn liền với đất số: DL 398749, số vào sổ cấp GCN: CH 00631 do sở Ủy ban nhân dân huyện Thanh Trì cấp ngày 20/7/2023; Chủ tài sản là ông: Lý Hải Nam</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8(2), tờ bản đồ số 28, có địa chỉ: Số 4, ngõ 265, đường Ngọc Hồi, thị trấn Văn Điển, huyện Thanh Trì, thành phố Hà Nội (nay là</w:t>
            </w:r>
            <w:r>
              <w:rPr>
                <w:color w:val="000000"/>
              </w:rPr>
              <w:t xml:space="preserve"> xã Thanh Trì, thành phố Hà Nội), theo Giấy chứng nhận quyền sử dụng đất quyền sở hữu nhà ở và tài sản khác gắn liền với đất số: DL 398749, số vào sổ cấp GCN: CH 00631 do sở Ủy ban nhân dân huyện Thanh Trì cấp ngày 20/7/2023; Chủ tài sản là ông: Lý Hải Nam</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pPr>
              <w:pBdr/>
              <w:spacing w:after="40" w:before="40" w:line="288" w:lineRule="auto"/>
              <w:ind/>
              <w:rPr/>
            </w:pPr>
            <w:r>
              <w:rPr>
                <w:b/>
                <w:bCs/>
              </w:rPr>
              <w:t xml:space="preserve">Đất ở tại đô thị</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36,5</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173.000.000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6.314.500.000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6.314.500.000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ba trăm mười bốn triệu năm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79" w:type="dxa"/>
        <w:tblBorders/>
        <w:tblLayout w:type="fixed"/>
        <w:tblLook w:val="04A0" w:firstRow="1" w:lastRow="0" w:firstColumn="1" w:lastColumn="0" w:noHBand="0" w:noVBand="1"/>
      </w:tblPr>
      <w:tblGrid>
        <w:gridCol w:w="170"/>
        <w:gridCol w:w="1559"/>
        <w:gridCol w:w="3260"/>
        <w:gridCol w:w="4990"/>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5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55"/>
        </w:trPr>
        <w:tc>
          <w:tcPr>
            <w:gridSpan w:val="2"/>
            <w:shd w:val="clear" w:color="auto" w:fill="auto"/>
            <w:tcBorders/>
            <w:tcMar>
              <w:left w:w="108" w:type="dxa"/>
              <w:top w:w="0" w:type="dxa"/>
              <w:right w:w="108" w:type="dxa"/>
              <w:bottom w:w="0" w:type="dxa"/>
            </w:tcMar>
            <w:tcW w:w="481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275/2026/0984/VFI-CT.65.A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90"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01 tháng 7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275/2026/0984/VFI-CT.65.A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01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LÝ HẢI NAM</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033070000829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57 phường Tương Mai,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8(2), tờ bản đồ số 28, có địa chỉ: Số 4, ngõ 265, đường Ngọc Hồi, thị trấn Văn Điển, huyện Thanh Trì, thành phố Hà Nội (nay là</w:t>
            </w:r>
            <w:r>
              <w:rPr>
                <w:bCs/>
                <w:color w:val="000000" w:themeColor="text1"/>
                <w:lang w:val="pt-BR"/>
              </w:rPr>
              <w:t xml:space="preserve"> xã Thanh Trì, thành phố Hà Nội), theo Giấy chứng nhận quyền sử dụng đất quyền sở hữu nhà ở và tài sản khác gắn liền với đất số: DL 398749, số vào sổ cấp GCN: CH 00631 do sở Ủy ban nhân dân huyện Thanh Trì cấp ngày 20/7/2023; Chủ tài sản là ông: Lý Hải Nam</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Số 4, ngõ 265, đường Ngọc Hồi, thị trấn Văn Điển, huyện Thanh Trì, thành phố Hà Nội (nay là xã Thanh Trì,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auto"/>
                <w:sz w:val="24"/>
                <w:szCs w:val="24"/>
              </w:rPr>
              <w:t xml:space="preserve">20.950135599920714, 105.84592680308401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25/07/2026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DL 398749, số vào sổ cấp GCN: CH 00631 do sở Ủy ban nhân dân huyện Thanh Trì cấp ngày 20/7/2023; Chủ tài sản là ông: Lý Hải Nam</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275/2026/0984/VFI-HĐTĐ.65.A ngày 25/06/2026 giữa ông Lý Hải Nam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shd w:val="clear" w:color="auto" w:fill="ffffff"/>
        </w:rPr>
        <w:t xml:space="preserve">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s>
        <w:spacing w:after="120" w:before="120" w:line="276" w:lineRule="auto"/>
        <w:ind/>
        <w:jc w:val="both"/>
        <w:rPr/>
      </w:pPr>
      <w:r>
        <w:rPr>
          <w:shd w:val="clear" w:color="auto" w:fill="ffffff"/>
        </w:rPr>
        <w:t xml:space="preserve">Trong bối cảnh kinh tế vĩ mô dần ổn định, khuôn khổ pháp lý được hoàn thiện và đầu tư công tiếp tục giữ vai t</w:t>
      </w:r>
      <w:r>
        <w:rPr>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shd w:val="clear" w:color="auto" w:fill="ffffff"/>
        </w:rPr>
        <w:t xml:space="preserve"> với quy hoạch đô thị, nhu cầu ở thực và năng lực triển khai của doanh nghiệp.</w:t>
      </w:r>
      <w:r>
        <w:rPr>
          <w:shd w:val="clear" w:color="auto" w:fill="ffffff"/>
        </w:rPr>
      </w:r>
      <w:r/>
    </w:p>
    <w:p>
      <w:pPr>
        <w:pBdr/>
        <w:tabs>
          <w:tab w:val="left" w:leader="none" w:pos="426"/>
        </w:tabs>
        <w:spacing w:after="120" w:before="120" w:line="276" w:lineRule="auto"/>
        <w:ind/>
        <w:jc w:val="both"/>
        <w:rPr/>
      </w:pPr>
      <w:r>
        <w:rPr>
          <w:shd w:val="clear" w:color="auto" w:fill="ffffff"/>
        </w:rPr>
        <w:t xml:space="preserve">Hạ tầng – "xương sống" mở không gian phát triển mới</w:t>
      </w: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 triển đô thị Hà Nội. Đến năm 2026,</w:t>
      </w:r>
      <w:r>
        <w:rPr>
          <w:shd w:val="clear" w:color="auto" w:fill="ffffff"/>
        </w:rPr>
        <w:t xml:space="preserve"> vai trò này càng trở nên rõ rệt khi hàng loạt dự án trọng điểm được triển khai đồng bộ, tạo lực đẩy dài hạn cho thị trường bất động sản.</w:t>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"đòn bẩy chiến lược" mở rộng không gi</w:t>
      </w:r>
      <w:r>
        <w:rPr>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p>
    <w:p>
      <w:pPr>
        <w:pBdr/>
        <w:tabs>
          <w:tab w:val="left" w:leader="none" w:pos="426"/>
        </w:tabs>
        <w:spacing w:after="120" w:before="120" w:line="276" w:lineRule="auto"/>
        <w:ind/>
        <w:jc w:val="both"/>
        <w:rPr/>
      </w:pPr>
      <w:r>
        <w:rPr>
          <w:shd w:val="clear" w:color="auto" w:fill="ffffff"/>
        </w:rPr>
        <w:t xml:space="preserve">Cùng với đ</w:t>
      </w:r>
      <w:r>
        <w:rPr>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shd w:val="clear" w:color="auto" w:fill="ffffff"/>
        </w:rPr>
        <w:t xml:space="preserve">t động sản dài hạn.</w:t>
      </w:r>
      <w:r/>
    </w:p>
    <w:p>
      <w:pPr>
        <w:pBdr/>
        <w:tabs>
          <w:tab w:val="left" w:leader="none" w:pos="426"/>
        </w:tabs>
        <w:spacing w:after="120" w:before="120" w:line="276" w:lineRule="auto"/>
        <w:ind/>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p>
    <w:p>
      <w:pPr>
        <w:pBdr/>
        <w:tabs>
          <w:tab w:val="left" w:leader="none" w:pos="426"/>
        </w:tabs>
        <w:spacing w:after="120" w:before="120" w:line="276" w:lineRule="auto"/>
        <w:ind/>
        <w:jc w:val="both"/>
        <w:rPr/>
      </w:pPr>
      <w:r>
        <w:rPr>
          <w:shd w:val="clear" w:color="auto" w:fill="ffffff"/>
        </w:rPr>
        <w:t xml:space="preserve">Thị trường chuyển từ "tăng nóng" sang tăng trưởng ch</w:t>
      </w:r>
      <w:r>
        <w:rPr>
          <w:shd w:val="clear" w:color="auto" w:fill="ffffff"/>
        </w:rPr>
        <w:t xml:space="preserve">ọn lọc</w:t>
      </w:r>
      <w:r/>
    </w:p>
    <w:p>
      <w:pPr>
        <w:pBdr/>
        <w:tabs>
          <w:tab w:val="left" w:leader="none" w:pos="426"/>
        </w:tabs>
        <w:spacing w:after="120" w:before="120" w:line="276" w:lineRule="auto"/>
        <w:ind/>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shd w:val="clear" w:color="auto" w:fill="ffffff"/>
        </w:rPr>
        <w:t xml:space="preserve">vực có quy hoạch rõ ràng, hạ tầng đồng bộ và nhu cầu ở thực ổn định.</w:t>
      </w:r>
      <w:r/>
    </w:p>
    <w:p>
      <w:pPr>
        <w:pBdr/>
        <w:tabs>
          <w:tab w:val="left" w:leader="none" w:pos="426"/>
        </w:tabs>
        <w:spacing w:after="120" w:before="120" w:line="276" w:lineRule="auto"/>
        <w:ind/>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shd w:val="clear" w:color="auto" w:fill="ffffff"/>
        </w:rPr>
        <w:t xml:space="preserve">ật. Những dự án gắn với các tuyến giao thông lớn, pháp lý minh bạch và được triển khai bài bản sẽ trở thành động lực chính của thị trường trong năm 2026.</w:t>
      </w:r>
      <w:r/>
    </w:p>
    <w:p>
      <w:pPr>
        <w:pBdr/>
        <w:tabs>
          <w:tab w:val="left" w:leader="none" w:pos="426"/>
        </w:tabs>
        <w:spacing w:after="120" w:before="120" w:line="276" w:lineRule="auto"/>
        <w:ind/>
        <w:jc w:val="both"/>
        <w:rPr/>
      </w:pPr>
      <w:r>
        <w:rPr>
          <w:shd w:val="clear" w:color="auto" w:fill="ffffff"/>
        </w:rPr>
        <w:t xml:space="preserve">Số liệu từ các đơn vị nghiên cứu cho thấy, trong giai đoạn gần đây, giá bất động sản tại những khu vực</w:t>
      </w:r>
      <w:r>
        <w:rPr>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p>
    <w:p>
      <w:pPr>
        <w:pBdr/>
        <w:tabs>
          <w:tab w:val="left" w:leader="none" w:pos="426"/>
        </w:tabs>
        <w:spacing w:after="120" w:before="120" w:line="276" w:lineRule="auto"/>
        <w:ind/>
        <w:jc w:val="both"/>
        <w:rPr/>
      </w:pPr>
      <w:r>
        <w:rPr>
          <w:shd w:val="clear" w:color="auto" w:fill="ffffff"/>
        </w:rPr>
        <w:t xml:space="preserve">Nguồn cung lớn, thị trườn</w:t>
      </w:r>
      <w:r>
        <w:rPr>
          <w:shd w:val="clear" w:color="auto" w:fill="ffffff"/>
        </w:rPr>
        <w:t xml:space="preserve">g phân hóa rõ nét</w:t>
      </w:r>
      <w:r/>
    </w:p>
    <w:p>
      <w:pPr>
        <w:pBdr/>
        <w:tabs>
          <w:tab w:val="left" w:leader="none" w:pos="426"/>
        </w:tabs>
        <w:spacing w:after="120" w:before="120" w:line="276" w:lineRule="auto"/>
        <w:ind/>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shd w:val="clear" w:color="auto" w:fill="ffffff"/>
        </w:rPr>
        <w:t xml:space="preserve">. Điều này vừa tạo cơ hội cho người mua, vừa đặt ra thách thức cho doanh nghiệp phát triển dự án.</w:t>
      </w:r>
      <w:r/>
    </w:p>
    <w:p>
      <w:pPr>
        <w:pBdr/>
        <w:tabs>
          <w:tab w:val="left" w:leader="none" w:pos="426"/>
        </w:tabs>
        <w:spacing w:after="120" w:before="120" w:line="276" w:lineRule="auto"/>
        <w:ind/>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shd w:val="clear" w:color="auto" w:fill="ffffff"/>
        </w:rPr>
        <w:t xml:space="preserve">năng chi trả của số đông sẽ gặp khó.</w:t>
      </w:r>
      <w:r/>
    </w:p>
    <w:p>
      <w:pPr>
        <w:pBdr/>
        <w:tabs>
          <w:tab w:val="left" w:leader="none" w:pos="426"/>
        </w:tabs>
        <w:spacing w:after="120" w:before="120" w:line="276" w:lineRule="auto"/>
        <w:ind/>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p>
    <w:p>
      <w:pPr>
        <w:pBdr/>
        <w:tabs>
          <w:tab w:val="left" w:leader="none" w:pos="426"/>
        </w:tabs>
        <w:spacing w:after="120" w:before="120" w:line="276" w:lineRule="auto"/>
        <w:ind/>
        <w:jc w:val="both"/>
        <w:rPr/>
      </w:pPr>
      <w:r>
        <w:rPr>
          <w:shd w:val="clear" w:color="auto" w:fill="ffffff"/>
        </w:rPr>
        <w:t xml:space="preserve">Chính sách và pháp lý – điểm tựa cho chu kỳ mới</w:t>
      </w:r>
      <w:r/>
    </w:p>
    <w:p>
      <w:pPr>
        <w:pBdr/>
        <w:tabs>
          <w:tab w:val="left" w:leader="none" w:pos="426"/>
        </w:tabs>
        <w:spacing w:after="120" w:before="120" w:line="276" w:lineRule="auto"/>
        <w:ind/>
        <w:jc w:val="both"/>
        <w:rPr/>
      </w:pPr>
      <w:r>
        <w:rPr>
          <w:shd w:val="clear" w:color="auto" w:fill="ffffff"/>
        </w:rPr>
        <w:t xml:space="preserve">Năm 2026 được xem là thời điểm các </w:t>
      </w:r>
      <w:r>
        <w:rPr>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shd w:val="clear" w:color="auto" w:fill="ffffff"/>
        </w:rPr>
        <w:t xml:space="preserve"> án kéo dài, đồng thời tạo niềm tin cho nhà đầu tư và người mua nhà.</w:t>
      </w:r>
      <w:r/>
    </w:p>
    <w:p>
      <w:pPr>
        <w:pBdr/>
        <w:tabs>
          <w:tab w:val="left" w:leader="none" w:pos="426"/>
        </w:tabs>
        <w:spacing w:after="120" w:before="120" w:line="276" w:lineRule="auto"/>
        <w:ind/>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shd w:val="clear" w:color="auto" w:fill="ffffff"/>
        </w:rPr>
        <w:t xml:space="preserve">ho rằng, mức lãi suất cho vay phổ biến quanh 6–7%/năm vẫn nằm trong vùng hỗ trợ giao dịch, khác xa giai đoạn "cú sốc kép" năm 2022.</w:t>
      </w:r>
      <w:r/>
    </w:p>
    <w:p>
      <w:pPr>
        <w:pBdr/>
        <w:tabs>
          <w:tab w:val="left" w:leader="none" w:pos="426"/>
        </w:tabs>
        <w:spacing w:after="120" w:before="120" w:line="276" w:lineRule="auto"/>
        <w:ind/>
        <w:jc w:val="both"/>
        <w:rPr/>
      </w:pPr>
      <w:r>
        <w:rPr>
          <w:shd w:val="clear" w:color="auto" w:fill="ffffff"/>
        </w:rPr>
        <w:t xml:space="preserve">Ở góc nhìn vĩ mô, TS. Cấn Văn Lực, Chuyên gia Kinh tế trưởng Ngân hàng BIDV, Thành viên Hội đồng Tư vấn chính sách tài chính</w:t>
      </w:r>
      <w:r>
        <w:rPr>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shd w:val="clear" w:color="auto" w:fill="ffffff"/>
        </w:rPr>
        <w:t xml:space="preserve">ư – những yếu tố then chốt để hình thành chu kỳ tăng trưởng bền vững.</w:t>
      </w:r>
      <w:r/>
    </w:p>
    <w:p>
      <w:pPr>
        <w:pBdr/>
        <w:tabs>
          <w:tab w:val="left" w:leader="none" w:pos="426"/>
        </w:tabs>
        <w:spacing w:after="120" w:before="120" w:line="276" w:lineRule="auto"/>
        <w:ind/>
        <w:jc w:val="both"/>
        <w:rPr/>
      </w:pPr>
      <w:r>
        <w:rPr>
          <w:shd w:val="clear" w:color="auto" w:fill="ffffff"/>
        </w:rPr>
        <w:t xml:space="preserve">Triển vọng 2026: tăng trưởng bền vững trên nền tảng mới</w:t>
      </w:r>
      <w:r/>
    </w:p>
    <w:p>
      <w:pPr>
        <w:pBdr/>
        <w:tabs>
          <w:tab w:val="left" w:leader="none" w:pos="426"/>
        </w:tabs>
        <w:spacing w:after="120" w:before="120" w:line="276" w:lineRule="auto"/>
        <w:ind/>
        <w:jc w:val="both"/>
        <w:rPr/>
      </w:pPr>
      <w:r>
        <w:rPr>
          <w:shd w:val="clear" w:color="auto" w:fill="ffffff"/>
        </w:rPr>
        <w:t xml:space="preserve">Với nguồn cung tăng mạnh và người mua ngày càng kỹ tính, năm 2026 được xem là giai đoạn sàng lọc rõ nét đối với các doanh nghiệp b</w:t>
      </w:r>
      <w:r>
        <w:rPr>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shd w:val="clear" w:color="auto" w:fill="ffffff"/>
        </w:rPr>
        <w:t xml:space="preserve">thể tiếp tục bị đào thải.</w:t>
      </w:r>
      <w:r/>
    </w:p>
    <w:p>
      <w:pPr>
        <w:pBdr/>
        <w:tabs>
          <w:tab w:val="left" w:leader="none" w:pos="426"/>
        </w:tabs>
        <w:spacing w:after="120" w:before="120" w:line="276" w:lineRule="auto"/>
        <w:ind/>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shd w:val="clear" w:color="auto" w:fill="ffffff"/>
        </w:rPr>
        <w:t xml:space="preserve">hải gìn giữ.</w:t>
      </w:r>
      <w:r/>
    </w:p>
    <w:p>
      <w:pPr>
        <w:pBdr/>
        <w:tabs>
          <w:tab w:val="left" w:leader="none" w:pos="426"/>
        </w:tabs>
        <w:spacing w:after="120" w:before="120" w:line="276" w:lineRule="auto"/>
        <w:ind/>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shd w:val="clear" w:color="auto" w:fill="ffffff"/>
        </w:rPr>
        <w:t xml:space="preserve">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 minh bạc</w:t>
      </w:r>
      <w:r>
        <w:rPr>
          <w:shd w:val="clear" w:color="auto" w:fill="ffffff"/>
        </w:rPr>
        <w:t xml:space="preserve">h hơn và đóng góp hiệu quả hơn cho tăng trưởng kinh tế – xã hội của Thủ đô.</w:t>
      </w:r>
      <w:r/>
    </w:p>
    <w:p>
      <w:pPr>
        <w:pBdr/>
        <w:tabs>
          <w:tab w:val="left" w:leader="none" w:pos="426"/>
        </w:tabs>
        <w:spacing w:after="120" w:before="120" w:line="276" w:lineRule="auto"/>
        <w:ind/>
        <w:jc w:val="center"/>
        <w:rPr/>
      </w:pPr>
      <w:r>
        <w:rPr>
          <w:shd w:val="clear" w:color="auto" w:fill="ffffff"/>
        </w:rPr>
        <w:t xml:space="preserve">(Nguồn tham khảo: https://thanglong.chinhphu.vn/buc-tranh-thi-truong-bat-dong-san-ha-noi-nam-2026-ha-tang-dan-dat-thi-truong-buoc-vao-chu-ky-tang-truong-moi-103260101181315972.htm)</w:t>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8(2), tờ bản đồ số 28, có địa chỉ: Số 4, ngõ 265, đường Ngọc Hồi, thị trấn Văn Điển, huyện Thanh Trì, thành phố Hà Nội (nay là</w:t>
            </w:r>
            <w:r>
              <w:rPr>
                <w:b/>
                <w:bCs/>
                <w:color w:val="000000"/>
              </w:rPr>
              <w:t xml:space="preserve"> xã Thanh Trì, thành phố Hà Nội), theo Giấy chứng nhận quyền sử dụng đất quyền sở hữu nhà ở và tài sản khác gắn liền với đất số: DL 398749, số vào sổ cấp GCN: CH 00631 do sở Ủy ban nhân dân huyện Thanh Trì cấp ngày 20/7/2023; Chủ tài sản là ông: Lý Hải Nam</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Số 4, ngõ 265, đường Ngọc Hồi, thị trấn Văn Điển, huyện Thanh Trì, thành phố Hà Nội (nay là xã Thanh Trì,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36,5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Công nhận quyền sử dụng đất như giao đất có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Theo bản đồ dự án tổng thể hệ thống hồ sơ địa chính và cơ sơ dữ liệu quản lý đất đai là thừa đất số 12, tờ bản đồ số 57.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pP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sz w:val="24"/>
              </w:rPr>
              <w:t xml:space="preserve">định vị trí tài sản thuộc quy hoạch đất ở. </w:t>
            </w:r>
            <w:r>
              <w:rPr>
                <w:sz w:val="22"/>
              </w:rPr>
            </w: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r>
              <w:rPr>
                <w:b/>
                <w:bCs/>
                <w:color w:val="000000"/>
              </w:rPr>
            </w:r>
          </w:p>
        </w:tc>
        <w:tc>
          <w:tcPr>
            <w:gridSpan w:val="4"/>
            <w:tcBorders/>
            <w:tcW w:w="8781" w:type="dxa"/>
            <w:vAlign w:val="center"/>
            <w:vMerge w:val="restart"/>
            <w:textDirection w:val="lrTb"/>
            <w:noWrap w:val="false"/>
          </w:tcPr>
          <w:p>
            <w:pPr>
              <w:pBdr/>
              <w:spacing/>
              <w:ind/>
              <w:jc w:val="center"/>
              <w:rPr>
                <w:b/>
                <w:bCs/>
                <w:color w:val="000000"/>
              </w:rPr>
            </w:pPr>
            <w:r>
              <w:rPr>
                <w:b/>
                <w:bCs/>
                <w:color w:val="000000"/>
              </w:rPr>
            </w:r>
            <w:r>
              <mc:AlternateContent>
                <mc:Choice Requires="wpg">
                  <w:drawing>
                    <wp:inline xmlns:wp="http://schemas.openxmlformats.org/drawingml/2006/wordprocessingDrawing" distT="0" distB="0" distL="0" distR="0">
                      <wp:extent cx="5394561" cy="279217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26151" name=""/>
                              <pic:cNvPicPr>
                                <a:picLocks noChangeAspect="1"/>
                              </pic:cNvPicPr>
                              <pic:nvPr/>
                            </pic:nvPicPr>
                            <pic:blipFill rotWithShape="1">
                              <a:blip r:embed="rId17"/>
                              <a:stretch/>
                            </pic:blipFill>
                            <pic:spPr bwMode="auto">
                              <a:xfrm flipH="0" flipV="0">
                                <a:off x="0" y="0"/>
                                <a:ext cx="5394561" cy="27921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4.77pt;height:219.86pt;mso-wrap-distance-left:0.00pt;mso-wrap-distance-top:0.00pt;mso-wrap-distance-right:0.00pt;mso-wrap-distance-bottom:0.00pt;z-index:1;" stroked="false">
                      <v:imagedata r:id="rId17" o:title=""/>
                      <o:lock v:ext="edit" rotation="t"/>
                    </v:shape>
                  </w:pict>
                </mc:Fallback>
              </mc:AlternateConten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tiếp giáp ngõ 265 Ngọc Hồi, cách đường Ngọc Hồi khoảng 170m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Tây Bắc: tiếp giá đường</w:t>
              <w:br/>
              <w:t xml:space="preserve">Hướng Đông Bắc: tiếp giáp rãnh thoát nước</w:t>
              <w:br/>
              <w:t xml:space="preserve">Các hướng còn lại: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20.950135599920714, 105.84592680308401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5394561" cy="2812465"/>
                      <wp:effectExtent l="0" t="0" r="0" b="0"/>
                      <wp:docPr id="6" name=""/>
                      <wp:cNvGraphicFramePr/>
                      <a:graphic xmlns:a="http://schemas.openxmlformats.org/drawingml/2006/main">
                        <a:graphicData uri="http://schemas.openxmlformats.org/drawingml/2006/picture">
                          <pic:pic xmlns:pic="http://schemas.openxmlformats.org/drawingml/2006/picture">
                            <pic:nvPicPr>
                              <pic:cNvPr id="231774995" name="" descr=""/>
                              <pic:cNvPicPr/>
                              <pic:nvPr/>
                            </pic:nvPicPr>
                            <pic:blipFill rotWithShape="1">
                              <a:blip r:embed="rId18"/>
                              <a:stretch/>
                            </pic:blipFill>
                            <pic:spPr bwMode="auto">
                              <a:xfrm flipH="0" flipV="0">
                                <a:off x="0" y="0"/>
                                <a:ext cx="5394561" cy="28124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4.77pt;height:221.45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Cấp điện, cấp nước sạch, mạng internet,… hoàn thiện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Tại thời điểm khảo sát, CTXD gắn liền với đất là 01 nhà 3 tầng 1 tum, diện tích xây dựng khoảng 36,5m². CTXD tại thời điểm khảo sát chưa  được chứng nhận trên Giấy chứng nhận quyền sử dụng đất. Do vậy, theo đề nghị của Ngân hàng/Khách hàng, tổ thẩm định kh</w:t>
            </w:r>
            <w:r>
              <w:rPr>
                <w:rFonts w:ascii="Times New Roman" w:hAnsi="Times New Roman" w:eastAsia="Times New Roman" w:cs="Times New Roman"/>
                <w:color w:val="000000"/>
                <w:sz w:val="24"/>
              </w:rPr>
              <w:t xml:space="preserve">ông xác định giá trị của công trình xây dựng vào tổng giá trị, nhưng vẫn coi đó là phần không thể tách rời của tài sản thẩm định. Kính đề nghị đơn vị sử dụng kết quả lưu ý.</w:t>
            </w:r>
            <w:r>
              <w:rPr>
                <w:sz w:val="22"/>
              </w:rPr>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564"/>
        <w:gridCol w:w="1843"/>
        <w:gridCol w:w="2552"/>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552"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564"/>
        <w:gridCol w:w="1843"/>
        <w:gridCol w:w="2552"/>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552"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564"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highlight w:val="none"/>
          <w:lang w:val="pt-BR" w:bidi="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r>
      <w:r>
        <w:rPr>
          <w:rFonts w:ascii="Times New Roman" w:hAnsi="Times New Roman" w:eastAsia="Times New Roman" w:cs="Times New Roman"/>
          <w:color w:val="000000"/>
          <w:sz w:val="24"/>
        </w:rPr>
        <w:t xml:space="preserve">Tại thời điểm khảo sát, CTXD gắn liền với đất là 01 nhà 3 tầng 1 tum, diện tích xây dựng khoảng 36,5m². CTXD tại thời điểm khảo sát chưa  được chứng nhận trên Giấy chứng nhận quyền sử dụng đất. Do vậy, theo đề nghị của Ngân hàng/Khách hàng, tổ thẩm định kh</w:t>
      </w:r>
      <w:r>
        <w:rPr>
          <w:rFonts w:ascii="Times New Roman" w:hAnsi="Times New Roman" w:eastAsia="Times New Roman" w:cs="Times New Roman"/>
          <w:color w:val="000000"/>
          <w:sz w:val="24"/>
        </w:rPr>
        <w:t xml:space="preserve">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t xml:space="preserve">.</w:t>
      </w:r>
      <w:r>
        <w:rPr>
          <w:lang w:val="de-DE"/>
        </w:rPr>
      </w:r>
      <w:r>
        <w:rPr>
          <w:lang w:val="de-DE"/>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Số 4, ngõ 265, đường Ngọc Hồi, thị trấn Văn Điển, huyện Thanh Trì, thành phố Hà Nội (nay là xã Thanh Trì,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Thị trấn Văn Điển, huyện Thanh Trì, thành phố Hà Nội (nay là xã Thanh Trì,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Thị trấn Văn Điển, huyện Thanh Trì, thành phố Hà Nội (nay là xã Thanh Trì,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Thị trấn Văn Điển, huyện Thanh Trì, thành phố Hà Nội (nay là xã Thanh Trì, thành phố Hà Nội)</w:t>
            </w:r>
            <w:r>
              <w:rPr>
                <w:sz w:val="22"/>
                <w:szCs w:val="22"/>
              </w:rPr>
            </w:r>
            <w:r>
              <w:rPr>
                <w:sz w:val="22"/>
                <w:szCs w:val="22"/>
              </w:rPr>
            </w:r>
          </w:p>
        </w:tc>
      </w:tr>
      <w:tr>
        <w:trPr>
          <w:trHeight w:val="115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https://www.facebook.com/groups/nhadatthanhtrihoangmai/permalink/26772678435733992/?rdid=NGTmTLYkpoRZOWLr#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https://alonhadat.com.vn/ban-nha-ngo-298-duong-ngoc-hoi-gan-ben-xe-nuoc-ngam-dt-52m2-6-tang--18851748.html</w:t>
            </w:r>
            <w:r>
              <w:rPr>
                <w:sz w:val="22"/>
                <w:szCs w:val="22"/>
              </w:rPr>
            </w:r>
            <w:r>
              <w:rPr>
                <w:sz w:val="22"/>
                <w:szCs w:val="22"/>
              </w:rPr>
            </w:r>
          </w:p>
        </w:tc>
      </w:tr>
      <w:tr>
        <w:trPr>
          <w:trHeight w:val="68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0983220824</w:t>
            </w:r>
            <w:r>
              <w:rPr>
                <w:sz w:val="22"/>
                <w:szCs w:val="22"/>
              </w:rPr>
              <w:t xml:space="preserve"> </w:t>
            </w:r>
            <w:r>
              <w:rPr>
                <w:sz w:val="22"/>
                <w:szCs w:val="22"/>
              </w:rPr>
              <w:br/>
              <w:t xml:space="preserve">(</w:t>
            </w:r>
            <w:r>
              <w:rPr>
                <w:sz w:val="22"/>
                <w:szCs w:val="22"/>
              </w:rPr>
              <w:t xml:space="preserve">Việt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0868986646</w:t>
            </w:r>
            <w:r>
              <w:rPr>
                <w:sz w:val="22"/>
                <w:szCs w:val="22"/>
              </w:rPr>
              <w:br/>
            </w:r>
            <w:r>
              <w:rPr>
                <w:sz w:val="22"/>
                <w:szCs w:val="22"/>
              </w:rPr>
              <w:t xml:space="preserve">(</w:t>
            </w:r>
            <w:r>
              <w:rPr>
                <w:sz w:val="22"/>
                <w:szCs w:val="22"/>
              </w:rPr>
              <w:t xml:space="preserve">Quang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0912929280</w:t>
            </w:r>
            <w:r>
              <w:rPr>
                <w:sz w:val="22"/>
                <w:szCs w:val="22"/>
              </w:rPr>
              <w:br/>
            </w:r>
            <w:r>
              <w:rPr>
                <w:sz w:val="22"/>
                <w:szCs w:val="22"/>
              </w:rPr>
              <w:t xml:space="preserve">(</w:t>
            </w:r>
            <w:r>
              <w:rPr>
                <w:sz w:val="22"/>
                <w:szCs w:val="22"/>
              </w:rPr>
              <w:t xml:space="preserve">Bắc</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Đang giao dịch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w:t>
            </w:r>
            <w:r>
              <w:rPr>
                <w:rFonts w:ascii="Times New Roman" w:hAnsi="Times New Roman" w:eastAsia="Times New Roman" w:cs="Times New Roman"/>
                <w:color w:val="000000"/>
                <w:sz w:val="22"/>
                <w:szCs w:val="22"/>
              </w:rPr>
              <w:t xml:space="preserve">Thị trấn Văn Điển, huyện Thanh Trì, thành phố Hà Nội (nay là xã Thanh Trì, thành phố Hà Nội),</w:t>
            </w:r>
            <w:r>
              <w:rPr>
                <w:color w:val="000000" w:themeColor="text1"/>
                <w:sz w:val="22"/>
                <w:szCs w:val="22"/>
              </w:rPr>
              <w:t xml:space="preserve"> cách đường Ngọc Hồi khoảng 170m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Thị trấn Văn Điển, huyện Thanh Trì, thành phố Hà Nội (nay là xã Thanh Trì, thành phố Hà Nội),</w:t>
            </w:r>
            <w:r>
              <w:rPr>
                <w:color w:val="000000" w:themeColor="text1"/>
                <w:sz w:val="22"/>
                <w:szCs w:val="22"/>
              </w:rPr>
              <w:t xml:space="preserve"> cách đường Ngọc Hồi khoảng 100m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Thị trấn Văn Điển, huyện Thanh Trì, thành phố Hà Nội (nay là xã Thanh Trì,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Thị trấn Văn Điển, huyện Thanh Trì, thành phố Hà Nội (nay là xã Thanh Trì, thành phố Hà Nội), cách đường </w:t>
            </w:r>
            <w:r>
              <w:rPr>
                <w:color w:val="000000" w:themeColor="text1"/>
                <w:sz w:val="22"/>
                <w:szCs w:val="22"/>
              </w:rPr>
              <w:t xml:space="preserve">Ngọc Hồi khoảng 200m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dân cư thông thường</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Lợi thế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lợi thế thương mại</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lợi thế thương mại</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lợi thế thương mại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Bắt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bất lợi thương mại</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10.620.000.000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tài sản trên đất (đồng)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t xml:space="preserve">1.105.496.980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t xml:space="preserve">1.440.304.637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t xml:space="preserve">2.217.311.086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Đơn giá xây dựng theo Quyết định số 425/QĐ-BXD ngày 30/03/2026 của Bộ Xây Dựng (đồng/m²)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7.896.407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7.896.407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7.896.407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none"/>
              </w:rPr>
              <w:t xml:space="preserve">Tỷ lệ % CLCL</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đất (đồng)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7.309.503.020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6.209.695.363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8.402.688.914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 giá QSDĐ (đồng/m²)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182.737.576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194.052.980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161.590.171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7.309.503.020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6.209.695.363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8.402.688.914</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182.737.576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194.052.980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161.590.171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182.737.576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194.052.980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161.590.171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182.737.576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194.052.980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161.590.171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tại:Thị trấn Văn Điển, huyện Thanh Trì, thành phố Hà Nội (nay là xã Thanh Trì, thành phố Hà Nội), cách đường Ngọc Hồi khoảng 170m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Thị trấn Văn Điển, huyện Thanh Trì, thành phố Hà Nội (nay là xã Thanh Trì, thành phố Hà Nội), cách đường Ngọc Hồi khoảng 100m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Thị trấn Văn Điển, huyện Thanh Trì, thành phố Hà Nội (nay là xã Thanh Trì, thành phố Hà Nội)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Thị trấn Văn Điển, huyện Thanh Trì, thành phố Hà Nội (nay là xã Thanh Trì, thành phố Hà Nội), cách đường Ngọc Hồi khoảng 200m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182.737.576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194.052.980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161.590.171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4,3</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8.079.509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182.737.576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194.052.980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169.669.680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36,5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52</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3.231.803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182.737.576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194.052.980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172.901.483</w:t>
            </w:r>
            <w:r>
              <w:rPr>
                <w:color w:val="000000"/>
                <w:sz w:val="22"/>
                <w:szCs w:val="22"/>
              </w:rPr>
            </w:r>
            <w:r>
              <w:rPr>
                <w:color w:val="000000"/>
                <w:sz w:val="22"/>
                <w:szCs w:val="22"/>
              </w:rPr>
            </w:r>
          </w:p>
        </w:tc>
      </w:tr>
      <w:tr>
        <w:trPr>
          <w:trHeight w:val="196"/>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3,65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3,8</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3,9</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182.737.576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194.052.980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172.901.483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-14.619.006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-15.524.238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168.118.570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178.528.742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172.901.483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168.118.570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178.528.742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172.901.483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173.182.932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14.619.006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15.524.238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11.311.312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14.619.006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15.524.238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11.311.312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0,16</w:t>
      </w:r>
      <w:r>
        <w:t xml:space="preserve">% đến</w:t>
      </w:r>
      <w:r>
        <w:t xml:space="preserve"> </w:t>
      </w:r>
      <w:r>
        <w:t xml:space="preserve"> </w:t>
      </w:r>
      <w:r>
        <w:t xml:space="preserve">3,09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pPr>
        <w:pBdr/>
        <w:spacing w:after="120" w:before="120" w:line="276" w:lineRule="auto"/>
        <w:ind/>
        <w:rPr>
          <w:b/>
          <w:bCs/>
          <w:i/>
          <w:u w:val="single"/>
        </w:rPr>
      </w:pPr>
      <w:r>
        <w:rPr>
          <w:b/>
          <w:bCs/>
          <w:i/>
          <w:iCs/>
          <w:highlight w:val="none"/>
          <w:u w:val="single"/>
        </w:rPr>
      </w:r>
      <w:r>
        <w:rPr>
          <w:b/>
          <w:bCs/>
          <w:i/>
          <w:u w:val="single"/>
        </w:rPr>
      </w:r>
      <w:r>
        <w:rPr>
          <w:b/>
          <w:bCs/>
          <w:i/>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168.118.570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56.050.731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178.528.742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59.503.630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172.901.483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57.628.064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173.182.425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173.000.000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173.000.000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8(2), tờ bản đồ số 28, có địa chỉ: Số 4, ngõ 265, đường Ngọc Hồi, thị trấn Văn Điển, huyện Thanh Trì, thành phố Hà Nội (nay là</w:t>
            </w:r>
            <w:r>
              <w:rPr>
                <w:color w:val="000000"/>
              </w:rPr>
              <w:t xml:space="preserve"> xã Thanh Trì, thành phố Hà Nội), theo Giấy chứng nhận quyền sử dụng đất quyền sở hữu nhà ở và tài sản khác gắn liền với đất số: DL 398749, số vào sổ cấp GCN: CH 00631 do sở Ủy ban nhân dân huyện Thanh Trì cấp ngày 20/7/2023; Chủ tài sản là ông: Lý Hải Nam</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90" w:type="dxa"/>
            <w:vAlign w:val="center"/>
            <w:textDirection w:val="lrTb"/>
            <w:noWrap w:val="false"/>
          </w:tcPr>
          <w:p>
            <w:pPr>
              <w:pBdr/>
              <w:spacing w:after="40" w:before="40" w:line="288" w:lineRule="auto"/>
              <w:ind/>
              <w:rPr/>
            </w:pPr>
            <w:r>
              <w:rPr>
                <w:b/>
                <w:bCs/>
              </w:rPr>
              <w:t xml:space="preserve">Đất ở tại đô thị</w:t>
            </w: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36,5</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173.000.000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6.314.500.000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229"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6.314.500.000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ba trăm mười bốn triệu năm trăm nghìn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tabs>
          <w:tab w:val="left" w:leader="none" w:pos="993"/>
        </w:tabs>
        <w:spacing w:after="120" w:before="120" w:line="288" w:lineRule="auto"/>
        <w:ind/>
        <w:jc w:val="both"/>
        <w:rPr>
          <w:lang w:val="pt-BR"/>
        </w:rPr>
      </w:pPr>
      <w:r>
        <w:rPr>
          <w:iCs/>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iCs/>
          <w:highlight w:val="none"/>
          <w:lang w:val="pt-BR" w:bidi="pt-BR"/>
        </w:rPr>
        <w:t xml:space="preserve">.</w:t>
      </w:r>
      <w:r>
        <w:rPr>
          <w:lang w:val="pt-BR"/>
        </w:rPr>
      </w:r>
      <w:r>
        <w:rPr>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op w:val="none" w:color="000000" w:sz="4" w:space="0"/>
          <w:left w:val="none" w:color="000000" w:sz="4" w:space="0"/>
          <w:bottom w:val="none" w:color="000000" w:sz="4" w:space="0"/>
          <w:right w:val="none" w:color="000000" w:sz="4" w:space="0"/>
        </w:pBdr>
        <w:spacing w:after="0"/>
        <w:ind w:right="0"/>
        <w:jc w:val="both"/>
        <w:rPr/>
      </w:pPr>
      <w:r>
        <w:rPr>
          <w:rFonts w:ascii="Times New Roman" w:hAnsi="Times New Roman" w:eastAsia="Times New Roman" w:cs="Times New Roman"/>
          <w:color w:val="000000"/>
          <w:sz w:val="24"/>
        </w:rPr>
        <w:t xml:space="preserve">Tại thời điểm khảo sát, CTXD gắn liền với đất là 01 nhà 3 tầng 1 tum, diện tích xây dựng khoảng 36,5m². CTXD tại thời điểm khảo sát chưa  được chứng nhận trên Giấy chứng nhận quyền sử dụng đất. Do vậy, theo đề nghị của Ngân hàng/Khách hàng, tổ thẩm định kh</w:t>
      </w:r>
      <w:r>
        <w:rPr>
          <w:rFonts w:ascii="Times New Roman" w:hAnsi="Times New Roman" w:eastAsia="Times New Roman" w:cs="Times New Roman"/>
          <w:color w:val="000000"/>
          <w:sz w:val="24"/>
        </w:rPr>
        <w:t xml:space="preserve">ông xác định giá trị của công trình xây dựng vào tổng giá trị, nhưng vẫn coi đó là phần không thể tách rời của tài sản thẩm định. Kính đề nghị đơn vị sử dụng kết quả lưu ý</w:t>
      </w:r>
      <w:r>
        <w:rPr>
          <w:bCs/>
          <w:spacing w:val="-2"/>
          <w:lang w:val="pt-BR"/>
        </w:rPr>
        <w:t xml:space="preserve">.</w:t>
      </w:r>
      <w:r>
        <w:rPr>
          <w:sz w:val="22"/>
        </w:rPr>
      </w: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275/2026/0984/VFI-CT.65.A</w:t>
      </w:r>
      <w:r>
        <w:rPr>
          <w:color w:val="ff0000"/>
          <w:lang w:val="vi-VN"/>
        </w:rPr>
        <w:t xml:space="preserve"> </w:t>
      </w:r>
      <w:r>
        <w:rPr>
          <w:color w:val="000000" w:themeColor="text1"/>
        </w:rPr>
        <w:t xml:space="preserve">ngày 30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275/2026/0984/VFI-BC.65.A</w:t>
      </w:r>
      <w:r>
        <w:rPr>
          <w:i/>
          <w:lang w:val="pt-BR"/>
        </w:rPr>
        <w:t xml:space="preserve"> </w:t>
      </w:r>
      <w:r>
        <w:rPr>
          <w:i/>
          <w:lang w:val="pt-BR"/>
        </w:rPr>
        <w:t xml:space="preserve">ngày 01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12850" cy="254340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151383" name=""/>
                              <pic:cNvPicPr>
                                <a:picLocks noChangeAspect="1"/>
                              </pic:cNvPicPr>
                              <pic:nvPr/>
                            </pic:nvPicPr>
                            <pic:blipFill rotWithShape="1">
                              <a:blip r:embed="rId19"/>
                              <a:stretch/>
                            </pic:blipFill>
                            <pic:spPr bwMode="auto">
                              <a:xfrm flipH="0" flipV="0">
                                <a:off x="0" y="0"/>
                                <a:ext cx="2612850" cy="25434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5.74pt;height:200.2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72133" cy="25291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03652" name=""/>
                              <pic:cNvPicPr>
                                <a:picLocks noChangeAspect="1"/>
                              </pic:cNvPicPr>
                              <pic:nvPr/>
                            </pic:nvPicPr>
                            <pic:blipFill rotWithShape="1">
                              <a:blip r:embed="rId20"/>
                              <a:stretch/>
                            </pic:blipFill>
                            <pic:spPr bwMode="auto">
                              <a:xfrm flipH="0" flipV="0">
                                <a:off x="0" y="0"/>
                                <a:ext cx="3372132" cy="2529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65.52pt;height:199.1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3060" cy="216003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67887" name=""/>
                              <pic:cNvPicPr>
                                <a:picLocks noChangeAspect="1"/>
                              </pic:cNvPicPr>
                              <pic:nvPr/>
                            </pic:nvPicPr>
                            <pic:blipFill rotWithShape="1">
                              <a:blip r:embed="rId21"/>
                              <a:stretch/>
                            </pic:blipFill>
                            <pic:spPr bwMode="auto">
                              <a:xfrm flipH="0" flipV="0">
                                <a:off x="0" y="0"/>
                                <a:ext cx="2883060" cy="21600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01pt;height:170.0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2535" cy="21544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31440" name=""/>
                              <pic:cNvPicPr>
                                <a:picLocks noChangeAspect="1"/>
                              </pic:cNvPicPr>
                              <pic:nvPr/>
                            </pic:nvPicPr>
                            <pic:blipFill rotWithShape="1">
                              <a:blip r:embed="rId22"/>
                              <a:stretch/>
                            </pic:blipFill>
                            <pic:spPr bwMode="auto">
                              <a:xfrm flipH="0" flipV="0">
                                <a:off x="0" y="0"/>
                                <a:ext cx="2872535" cy="21544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18pt;height:169.6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9230" cy="218192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1874" name=""/>
                              <pic:cNvPicPr>
                                <a:picLocks noChangeAspect="1"/>
                              </pic:cNvPicPr>
                              <pic:nvPr/>
                            </pic:nvPicPr>
                            <pic:blipFill rotWithShape="1">
                              <a:blip r:embed="rId23"/>
                              <a:stretch/>
                            </pic:blipFill>
                            <pic:spPr bwMode="auto">
                              <a:xfrm flipH="0" flipV="0">
                                <a:off x="0" y="0"/>
                                <a:ext cx="2909229" cy="21819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9.07pt;height:171.8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14375" cy="218578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40620" name=""/>
                              <pic:cNvPicPr>
                                <a:picLocks noChangeAspect="1"/>
                              </pic:cNvPicPr>
                              <pic:nvPr/>
                            </pic:nvPicPr>
                            <pic:blipFill rotWithShape="1">
                              <a:blip r:embed="rId24"/>
                              <a:stretch/>
                            </pic:blipFill>
                            <pic:spPr bwMode="auto">
                              <a:xfrm flipH="0" flipV="0">
                                <a:off x="0" y="0"/>
                                <a:ext cx="2914375" cy="21857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9.48pt;height:172.1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rPr>
          <w:highlight w:val="none"/>
        </w:rPr>
      </w:r>
      <w:r>
        <w:rPr>
          <w:highlight w:val="none"/>
        </w:rPr>
      </w:r>
      <w:r/>
    </w:p>
    <w:p>
      <w:pPr>
        <w:pBdr/>
        <w:spacing w:after="200" w:line="276" w:lineRule="auto"/>
        <w:ind/>
        <w:rPr/>
      </w:pPr>
      <w:r>
        <mc:AlternateContent>
          <mc:Choice Requires="wpg">
            <w:drawing>
              <wp:inline xmlns:wp="http://schemas.openxmlformats.org/drawingml/2006/wordprocessingDrawing" distT="0" distB="0" distL="0" distR="0">
                <wp:extent cx="6048375" cy="419133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016" name=""/>
                        <pic:cNvPicPr>
                          <a:picLocks noChangeAspect="1"/>
                        </pic:cNvPicPr>
                        <pic:nvPr/>
                      </pic:nvPicPr>
                      <pic:blipFill rotWithShape="1">
                        <a:blip r:embed="rId25"/>
                        <a:stretch/>
                      </pic:blipFill>
                      <pic:spPr bwMode="auto">
                        <a:xfrm>
                          <a:off x="0" y="0"/>
                          <a:ext cx="6048374" cy="4191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0.03pt;mso-wrap-distance-left:0.00pt;mso-wrap-distance-top:0.00pt;mso-wrap-distance-right:0.00pt;mso-wrap-distance-bottom:0.00pt;z-index:1;" stroked="false">
                <v:imagedata r:id="rId25" o:title=""/>
                <o:lock v:ext="edit" rotation="t"/>
              </v:shape>
            </w:pict>
          </mc:Fallback>
        </mc:AlternateContent>
      </w:r>
      <w:r>
        <w:rPr>
          <w:highlight w:val="none"/>
        </w:rPr>
      </w:r>
      <w:r/>
    </w:p>
    <w:p>
      <w:pPr>
        <w:pBdr/>
        <w:spacing w:after="200" w:line="276"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6048375" cy="432364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333521" name=""/>
                        <pic:cNvPicPr>
                          <a:picLocks noChangeAspect="1"/>
                        </pic:cNvPicPr>
                        <pic:nvPr/>
                      </pic:nvPicPr>
                      <pic:blipFill rotWithShape="1">
                        <a:blip r:embed="rId26"/>
                        <a:stretch/>
                      </pic:blipFill>
                      <pic:spPr bwMode="auto">
                        <a:xfrm>
                          <a:off x="0" y="0"/>
                          <a:ext cx="6048374" cy="43236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40.44pt;mso-wrap-distance-left:0.00pt;mso-wrap-distance-top:0.00pt;mso-wrap-distance-right:0.00pt;mso-wrap-distance-bottom:0.00pt;z-index:1;" stroked="false">
                <v:imagedata r:id="rId26" o:title=""/>
                <o:lock v:ext="edit" rotation="t"/>
              </v:shape>
            </w:pict>
          </mc:Fallback>
        </mc:AlternateContent>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jc w:val="center"/>
        <w:rPr>
          <w:b/>
          <w:bCs/>
          <w:color w:val="000000" w:themeColor="text1"/>
          <w:highlight w:val="none"/>
        </w:rPr>
      </w:pPr>
      <w:r>
        <w:rPr>
          <w:color w:val="000000" w:themeColor="text1"/>
          <w:highlight w:val="none"/>
        </w:rPr>
      </w:r>
      <w:r>
        <w:rPr>
          <w:b/>
          <w:bCs/>
          <w:color w:val="000000" w:themeColor="text1"/>
          <w:highlight w:val="none"/>
        </w:rPr>
        <w:t xml:space="preserve">BIÊN BẢN KHẢO SÁT</w:t>
      </w:r>
      <w:r>
        <w:rPr>
          <w:b/>
          <w:bCs/>
          <w:color w:val="000000" w:themeColor="text1"/>
          <w:highlight w:val="none"/>
        </w:rPr>
      </w:r>
    </w:p>
    <w:p>
      <w:pPr>
        <w:pBdr/>
        <w:spacing w:after="200" w:line="276" w:lineRule="auto"/>
        <w:ind/>
        <w:rPr>
          <w:color w:val="000000" w:themeColor="text1"/>
          <w:highlight w:val="none"/>
        </w:rPr>
      </w:pPr>
      <w:r>
        <w:rPr>
          <w:color w:val="000000" w:themeColor="text1"/>
        </w:rPr>
      </w:r>
      <w:r>
        <mc:AlternateContent>
          <mc:Choice Requires="wpg">
            <w:drawing>
              <wp:inline xmlns:wp="http://schemas.openxmlformats.org/drawingml/2006/wordprocessingDrawing" distT="0" distB="0" distL="0" distR="0">
                <wp:extent cx="6048375" cy="867339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37651" name=""/>
                        <pic:cNvPicPr>
                          <a:picLocks noChangeAspect="1"/>
                        </pic:cNvPicPr>
                        <pic:nvPr/>
                      </pic:nvPicPr>
                      <pic:blipFill rotWithShape="1">
                        <a:blip r:embed="rId27"/>
                        <a:stretch/>
                      </pic:blipFill>
                      <pic:spPr bwMode="auto">
                        <a:xfrm>
                          <a:off x="0" y="0"/>
                          <a:ext cx="6048374" cy="86733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82.94pt;mso-wrap-distance-left:0.00pt;mso-wrap-distance-top:0.00pt;mso-wrap-distance-right:0.00pt;mso-wrap-distance-bottom:0.00pt;z-index:1;" stroked="false">
                <v:imagedata r:id="rId27" o:title=""/>
                <o:lock v:ext="edit" rotation="t"/>
              </v:shape>
            </w:pict>
          </mc:Fallback>
        </mc:AlternateContent>
      </w:r>
      <w:r>
        <w:rPr>
          <w:color w:val="000000" w:themeColor="text1"/>
        </w:rPr>
        <w:br w:type="page" w:clear="all"/>
      </w:r>
      <w:r>
        <w:rPr>
          <w:color w:val="000000" w:themeColor="text1"/>
          <w:highlight w:val="none"/>
        </w:rPr>
      </w: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rPr>
      </w:r>
      <w:r>
        <w:rPr>
          <w:i/>
          <w:color w:val="000000" w:themeColor="text1"/>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275/2026/0984/VFI-BC.65.A</w:t>
      </w:r>
      <w:r>
        <w:rPr>
          <w:i/>
          <w:color w:val="000000" w:themeColor="text1"/>
          <w:lang w:val="pt-BR"/>
        </w:rPr>
        <w:t xml:space="preserve"> </w:t>
      </w:r>
      <w:r>
        <w:rPr>
          <w:i/>
          <w:color w:val="000000" w:themeColor="text1"/>
          <w:lang w:val="pt-BR"/>
        </w:rPr>
        <w:t xml:space="preserve">ngày 01 tháng 7 năm</w:t>
      </w:r>
      <w:r>
        <w:rPr>
          <w:i/>
          <w:color w:val="000000" w:themeColor="text1"/>
          <w:lang w:val="pt-BR"/>
        </w:rPr>
        <w:t xml:space="preserve">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https://www.facebook.com/groups/nhadatthanhtrihoangmai/permalink/26772678435733992/?rdid=NGTmTLYkpoRZOWLr#</w:t>
            </w:r>
            <w:r>
              <w:rPr>
                <w:color w:val="000000" w:themeColor="text1"/>
                <w:sz w:val="22"/>
                <w:szCs w:val="22"/>
              </w:rPr>
              <w:br/>
              <w:t xml:space="preserve">0983220824</w:t>
            </w:r>
            <w:r>
              <w:rPr>
                <w:color w:val="000000" w:themeColor="text1"/>
                <w:sz w:val="22"/>
                <w:szCs w:val="22"/>
              </w:rPr>
              <w:t xml:space="preserve"> </w:t>
            </w:r>
            <w:r>
              <w:rPr>
                <w:color w:val="000000" w:themeColor="text1"/>
                <w:sz w:val="22"/>
                <w:szCs w:val="22"/>
              </w:rPr>
              <w:t xml:space="preserve">(Việt</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9.350.000.000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8.415.000.000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Thị trấn Văn Điển, huyện Thanh Trì, thành phố Hà Nội (nay là xã Thanh Trì, thành phố Hà Nội), cách đường Ngọc Hồi khoảng 100m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2 mặt ngõ</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Bắt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00206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0020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15.12pt;height:250.00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09752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0975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22.64pt;height:250.00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b/>
          <w:bCs/>
          <w:iCs/>
          <w:color w:val="000000" w:themeColor="text1"/>
        </w:rPr>
      </w:pPr>
      <w:r>
        <w:rPr>
          <w:b/>
          <w:bCs/>
          <w:iCs/>
          <w:color w:val="000000" w:themeColor="text1"/>
          <w:lang w:val="pt-BR"/>
        </w:rPr>
      </w:r>
      <w:r>
        <w:rPr>
          <w:b/>
          <w:bCs/>
          <w:iCs/>
          <w:color w:val="000000" w:themeColor="text1"/>
        </w:rPr>
      </w:r>
      <w:r>
        <w:rPr>
          <w:b/>
          <w:bCs/>
          <w:iCs/>
          <w:color w:val="000000" w:themeColor="text1"/>
        </w:rPr>
      </w:r>
    </w:p>
    <w:p>
      <w:pPr>
        <w:pBdr/>
        <w:spacing w:after="200" w:line="276" w:lineRule="auto"/>
        <w:ind/>
        <w:rPr>
          <w:b/>
          <w:bCs/>
          <w:iCs/>
          <w:color w:val="000000" w:themeColor="text1"/>
        </w:rPr>
      </w:pPr>
      <w:r>
        <w:rPr>
          <w:b/>
          <w:bCs/>
          <w:iCs/>
          <w:color w:val="000000" w:themeColor="text1"/>
          <w:lang w:val="pt-BR"/>
        </w:rPr>
        <w:br w:type="page" w:clear="all"/>
      </w:r>
      <w:r>
        <w:rPr>
          <w:b/>
          <w:bCs/>
          <w:iCs/>
          <w:color w:val="000000" w:themeColor="text1"/>
        </w:rPr>
      </w:r>
      <w:r>
        <w:rPr>
          <w:b/>
          <w:bCs/>
          <w:iCs/>
          <w:color w:val="000000" w:themeColor="text1"/>
        </w:rPr>
      </w:r>
    </w:p>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rPr>
      </w:r>
      <w:r>
        <w:rPr>
          <w:iCs/>
          <w:color w:val="000000" w:themeColor="text1"/>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0868986646</w:t>
            </w:r>
            <w:r>
              <w:rPr>
                <w:color w:val="000000" w:themeColor="text1"/>
                <w:sz w:val="22"/>
                <w:szCs w:val="22"/>
              </w:rPr>
              <w:t xml:space="preserve"> </w:t>
            </w:r>
            <w:r>
              <w:rPr>
                <w:color w:val="000000" w:themeColor="text1"/>
                <w:sz w:val="22"/>
                <w:szCs w:val="22"/>
              </w:rPr>
              <w:t xml:space="preserve">(Quang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7.650.000.000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Thị trấn Văn Điển, huyện Thanh Trì, thành phố Hà Nội (nay là xã Thanh Trì, thành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3,8</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2 mặt ngõ</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Bắt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76058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76058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7.37pt;height:250.00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69568"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2048999489" name="" descr=""/>
                              <pic:cNvPicPr/>
                              <pic:nvPr/>
                            </pic:nvPicPr>
                            <pic:blipFill rotWithShape="1">
                              <a:blip r:embed="rId31"/>
                              <a:stretch/>
                            </pic:blipFill>
                            <pic:spPr bwMode="auto">
                              <a:xfrm rot="0" flipH="0" flipV="0">
                                <a:off x="0" y="0"/>
                                <a:ext cx="266956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0.20pt;height:250.00pt;mso-wrap-distance-left:0.00pt;mso-wrap-distance-top:0.00pt;mso-wrap-distance-right:0.00pt;mso-wrap-distance-bottom:0.00pt;rotation:0;z-index:1;" stroked="false">
                      <v:imagedata r:id="rId31"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p>
            <w:pPr>
              <w:pBdr/>
              <w:spacing/>
              <w:ind/>
              <w:rPr>
                <w:b/>
                <w:bCs/>
                <w:color w:val="000000" w:themeColor="text1"/>
                <w:sz w:val="18"/>
                <w:szCs w:val="18"/>
              </w:rPr>
            </w:pPr>
            <w:r>
              <w:rPr>
                <w:b/>
                <w:bCs/>
                <w:color w:val="000000" w:themeColor="text1"/>
                <w:sz w:val="18"/>
                <w:szCs w:val="18"/>
              </w:rPr>
            </w:r>
            <w:r>
              <w:rPr>
                <w:b/>
                <w:bCs/>
                <w:color w:val="000000" w:themeColor="text1"/>
                <w:sz w:val="18"/>
                <w:szCs w:val="18"/>
              </w:rPr>
            </w:r>
            <w:r>
              <w:rPr>
                <w:b/>
                <w:bCs/>
                <w:color w:val="000000" w:themeColor="text1"/>
                <w:sz w:val="18"/>
                <w:szCs w:val="18"/>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https://alonhadat.com.vn/ban-nha-ngo-298-duong-ngoc-hoi-gan-ben-xe-nuoc-ngam-dt-52m2-6-tang--18851748.html</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0912929280</w:t>
            </w:r>
            <w:r>
              <w:rPr>
                <w:color w:val="000000" w:themeColor="text1"/>
                <w:sz w:val="22"/>
                <w:szCs w:val="22"/>
              </w:rPr>
              <w:t xml:space="preserve"> </w:t>
            </w:r>
            <w:r>
              <w:rPr>
                <w:color w:val="000000" w:themeColor="text1"/>
                <w:sz w:val="22"/>
                <w:szCs w:val="22"/>
              </w:rPr>
              <w:br/>
              <w:t xml:space="preserve">(Bắc</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11.800.000.000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10.620.000.000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Thị trấn Văn Điển, huyện Thanh Trì, thành phố Hà Nội (nay là xã Thanh Trì, thành phố Hà Nội), cách đường Ngọc Hồi khoảng 200m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3,9</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3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Bắt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9800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0980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01.42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541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48541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95.7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41577"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244157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92.25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282</cp:revision>
  <dcterms:created xsi:type="dcterms:W3CDTF">2025-09-15T09:58:00Z</dcterms:created>
  <dcterms:modified xsi:type="dcterms:W3CDTF">2026-07-02T02:40:03Z</dcterms:modified>
</cp:coreProperties>
</file>