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02683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02683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275/2026/0992/VFI-CT.48.A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SẢN XUẤT THƯƠNG MẠI VÀ ĐẦU TƯ DŨNG ĐÔNG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2</w:t>
                            </w:r>
                            <w:r>
                              <w:rPr>
                                <w:rFonts w:ascii="Times New Roman" w:hAnsi="Times New Roman" w:eastAsia="Times New Roman" w:cs="Times New Roman"/>
                                <w:color w:val="000000"/>
                                <w:sz w:val="24"/>
                              </w:rPr>
                              <w:t xml:space="preserve">6(1), tờ bản đồ số: 09 có địa chỉ: Xã Tân Triều, huyện Thanh Trì, thành phố Hà Nội (nay là Phường Thanh Liệt, thành phố Hà Nội) theo Giấy chứng nhận quyền sử dụng đất, quyền sở hữu nhà ở và tài sản khác gắn liền với đất số: BU 734123, số vào sổ cấp giấy ch</w:t>
                            </w:r>
                            <w:r>
                              <w:rPr>
                                <w:rFonts w:ascii="Times New Roman" w:hAnsi="Times New Roman" w:eastAsia="Times New Roman" w:cs="Times New Roman"/>
                                <w:color w:val="000000"/>
                                <w:sz w:val="24"/>
                              </w:rPr>
                              <w:t xml:space="preserve">ứng nhận: 2498/2017/HĐTP/CH01962 do Uỷ ban nhân dân huyện Thanh Trì cấp ngày 14/1/2015 cho Ông Triệu Đình Chiến.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7.0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275/2026/0992/VFI-CT.48.A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SẢN XUẤT THƯƠNG MẠI VÀ ĐẦU TƯ DŨNG ĐÔNG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2</w:t>
                      </w:r>
                      <w:r>
                        <w:rPr>
                          <w:rFonts w:ascii="Times New Roman" w:hAnsi="Times New Roman" w:eastAsia="Times New Roman" w:cs="Times New Roman"/>
                          <w:color w:val="000000"/>
                          <w:sz w:val="24"/>
                        </w:rPr>
                        <w:t xml:space="preserve">6(1), tờ bản đồ số: 09 có địa chỉ: Xã Tân Triều, huyện Thanh Trì, thành phố Hà Nội (nay là Phường Thanh Liệt, thành phố Hà Nội) theo Giấy chứng nhận quyền sử dụng đất, quyền sở hữu nhà ở và tài sản khác gắn liền với đất số: BU 734123, số vào sổ cấp giấy ch</w:t>
                      </w:r>
                      <w:r>
                        <w:rPr>
                          <w:rFonts w:ascii="Times New Roman" w:hAnsi="Times New Roman" w:eastAsia="Times New Roman" w:cs="Times New Roman"/>
                          <w:color w:val="000000"/>
                          <w:sz w:val="24"/>
                        </w:rPr>
                        <w:t xml:space="preserve">ứng nhận: 2498/2017/HĐTP/CH01962 do Uỷ ban nhân dân huyện Thanh Trì cấp ngày 14/1/2015 cho Ông Triệu Đình Chiến.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23-27</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118" w:type="dxa"/>
        <w:tblBorders/>
        <w:tblLayout w:type="fixed"/>
        <w:tblLook w:val="04A0" w:firstRow="1" w:lastRow="0" w:firstColumn="1" w:lastColumn="0" w:noHBand="0" w:noVBand="1"/>
      </w:tblPr>
      <w:tblGrid>
        <w:gridCol w:w="1729"/>
        <w:gridCol w:w="3302"/>
        <w:gridCol w:w="5058"/>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8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275/2026/0992/VFI-CT.48.A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58"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 tháng 7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SẢN XUẤT THƯƠNG MẠI VÀ ĐẦU TƯ DŨNG ĐÔNG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275/2026/0991/VFI-HĐTĐ.48.A</w:t>
      </w:r>
      <w:r>
        <w:rPr>
          <w:spacing w:val="-4"/>
          <w:lang w:val="vi-VN"/>
        </w:rPr>
        <w:t xml:space="preserve"> ký ngày </w:t>
      </w:r>
      <w:r>
        <w:rPr>
          <w:color w:val="000000" w:themeColor="text1"/>
          <w:spacing w:val="-4"/>
        </w:rPr>
        <w:t xml:space="preserve">24 tháng 6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3"/>
          <w:sz w:val="24"/>
          <w:highlight w:val="white"/>
        </w:rPr>
        <w:t xml:space="preserve">Công ty TNHH Sản xuất Thương mại và Đầu tư Dũng Đông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275/2026/0992/VFI-BC.48.A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pacing w:val="3"/>
                <w:sz w:val="24"/>
                <w:highlight w:val="white"/>
              </w:rPr>
              <w:t xml:space="preserve">CÔNG TY TNHH SẢN XUẤT THƯƠNG MẠI VÀ ĐẦU TƯ DŨNG ĐÔNG</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Địa chỉ</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Lô N10-2, Cụm Sản xuất làng nghề tập trung phường Thanh Liệt, Tp. Hà Nội</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1897"/>
              </w:tabs>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0101196599</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48"/>
                <w:tab w:val="left" w:leader="none" w:pos="948"/>
              </w:tabs>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Đại diện</w:t>
            </w:r>
            <w:r>
              <w:rPr>
                <w:rFonts w:ascii="Times New Roman" w:hAnsi="Times New Roman" w:eastAsia="Times New Roman" w:cs="Times New Roman"/>
                <w:color w:val="000000"/>
                <w:sz w:val="24"/>
              </w:rPr>
              <w:tab/>
              <w:tab/>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Ông Triệu Quang Dũng    Chức vụ: Phó 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26(1), tờ bản đồ số: 09 có địa chỉ: Xã Tân Triều, huyện Thanh Trì, thành phố Hà Nội (nay là Phường Thanh Liệt, t</w:t>
      </w:r>
      <w:r>
        <w:rPr>
          <w:color w:val="000000" w:themeColor="text1"/>
        </w:rPr>
        <w:t xml:space="preserve">hành phố Hà Nội) theo Giấy chứng nhận quyền sử dụng đất, quyền sở hữu nhà ở và tài sản khác gắn liền với đất số: BU 734123, số vào sổ cấp giấy chứng nhận: 2498/2017/HĐTP/CH01962 do Uỷ ban nhân dân huyện Thanh Trì cấp ngày 14/1/2015 cho Ông Triệu Đình Chiến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26(1), tờ bản đồ số: 09 có địa chỉ: Xã Tân Triều, huyện Thanh Trì, thành phố Hà Nội (nay là Phường Thanh Liệt, t</w:t>
            </w:r>
            <w:r>
              <w:rPr>
                <w:color w:val="000000"/>
              </w:rPr>
              <w:t xml:space="preserve">hành phố Hà Nội) theo Giấy chứng nhận quyền sử dụng đất, quyền sở hữu nhà ở và tài sản khác gắn liền với đất số: BU 734123, số vào sổ cấp giấy chứng nhận: 2498/2017/HĐTP/CH01962 do Uỷ ban nhân dân huyện Thanh Trì cấp ngày 14/1/2015 cho Ông Triệu Đình Chiến</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25,4</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168.000.000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4.267.200.000</w:t>
            </w:r>
            <w:r/>
          </w:p>
        </w:tc>
      </w:tr>
      <w:tr>
        <w:trPr>
          <w:trHeight w:val="20"/>
        </w:trPr>
        <w:tc>
          <w:tcPr>
            <w:shd w:val="clear" w:color="000000" w:fill="ffffff"/>
            <w:tcBorders/>
            <w:tcW w:w="500" w:type="pct"/>
            <w:vAlign w:val="center"/>
            <w:vMerge w:val="restart"/>
            <w:textDirection w:val="lrTb"/>
            <w:noWrap w:val="false"/>
          </w:tcPr>
          <w:p>
            <w:pPr>
              <w:pBdr/>
              <w:spacing w:after="40" w:before="40" w:line="288" w:lineRule="auto"/>
              <w:ind/>
              <w:jc w:val="center"/>
              <w:rPr>
                <w:b/>
                <w:bCs/>
              </w:rPr>
            </w:pPr>
            <w:r>
              <w:rPr>
                <w:b/>
                <w:bCs/>
              </w:rPr>
              <w:t xml:space="preserve">2</w:t>
            </w:r>
            <w:r>
              <w:rPr>
                <w:b/>
                <w:bCs/>
              </w:rPr>
            </w:r>
            <w:r>
              <w:rPr>
                <w:b/>
                <w:bCs/>
              </w:rPr>
            </w:r>
          </w:p>
        </w:tc>
        <w:tc>
          <w:tcPr>
            <w:shd w:val="clear" w:color="000000" w:fill="ffffff"/>
            <w:tcBorders/>
            <w:tcW w:w="1063" w:type="pct"/>
            <w:vAlign w:val="center"/>
            <w:vMerge w:val="restart"/>
            <w:textDirection w:val="lrTb"/>
            <w:noWrap w:val="false"/>
          </w:tcPr>
          <w:p>
            <w:pPr>
              <w:pBdr/>
              <w:spacing w:after="40" w:before="40" w:line="288" w:lineRule="auto"/>
              <w:ind/>
              <w:rPr>
                <w:b/>
                <w:bCs/>
              </w:rPr>
            </w:pPr>
            <w:r>
              <w:rPr>
                <w:b/>
                <w:bCs/>
              </w:rPr>
              <w:t xml:space="preserve">Đất ở nằm trong quy hoạch </w:t>
            </w:r>
            <w:r>
              <w:rPr>
                <w:b/>
                <w:bCs/>
              </w:rPr>
            </w:r>
            <w:r>
              <w:rPr>
                <w:b/>
                <w:bCs/>
              </w:rPr>
            </w:r>
          </w:p>
        </w:tc>
        <w:tc>
          <w:tcPr>
            <w:tcBorders/>
            <w:tcW w:w="946" w:type="pct"/>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6,3</w:t>
            </w:r>
            <w:r>
              <w:rPr>
                <w:color w:val="000000" w:themeColor="text1"/>
              </w:rPr>
            </w:r>
            <w:r>
              <w:rPr>
                <w:color w:val="000000" w:themeColor="text1"/>
              </w:rPr>
            </w:r>
          </w:p>
        </w:tc>
        <w:tc>
          <w:tcPr>
            <w:shd w:val="clear" w:color="000000" w:fill="ffffff"/>
            <w:tcBorders/>
            <w:tcW w:w="1355" w:type="pct"/>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56.004.000</w:t>
            </w:r>
            <w:r>
              <w:rPr>
                <w:color w:val="000000" w:themeColor="text1"/>
              </w:rPr>
            </w:r>
            <w:r>
              <w:rPr>
                <w:color w:val="000000" w:themeColor="text1"/>
              </w:rPr>
            </w:r>
          </w:p>
        </w:tc>
        <w:tc>
          <w:tcPr>
            <w:shd w:val="clear" w:color="000000" w:fill="ffffff"/>
            <w:tcBorders/>
            <w:tcW w:w="1136" w:type="pct"/>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352.825.200</w:t>
            </w:r>
            <w:r>
              <w:rPr>
                <w:color w:val="000000" w:themeColor="text1"/>
              </w:rPr>
            </w:r>
            <w:r>
              <w:rPr>
                <w:color w:val="000000" w:themeColor="text1"/>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4.620.025.200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4.620.000.000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sáu trăm hai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871"/>
        <w:gridCol w:w="3160"/>
        <w:gridCol w:w="5031"/>
        <w:gridCol w:w="29"/>
      </w:tblGrid>
      <w:tr>
        <w:trPr>
          <w:trHeight w:val="1843"/>
        </w:trPr>
        <w:tc>
          <w:tcPr>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031"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275/2026/0992/VFI-BC.48.A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 tháng 7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275/2026/0992/VFI-CT.48.A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pacing w:val="3"/>
                <w:sz w:val="24"/>
                <w:highlight w:val="white"/>
              </w:rPr>
              <w:t xml:space="preserve">CÔNG TY TNHH SẢN XUẤT THƯƠNG MẠI VÀ ĐẦU TƯ DŨNG ĐÔNG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Địa chỉ</w:t>
            </w: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Lô N10-2, Cụm Sản xuất làng nghề tập trung phường Thanh Liệt, Tp. Hà Nội</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1897"/>
              </w:tabs>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Mã số thuế</w:t>
            </w: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0101196599</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48"/>
                <w:tab w:val="left" w:leader="none" w:pos="948"/>
              </w:tabs>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Đại diện</w:t>
            </w:r>
            <w:r>
              <w:rPr>
                <w:rFonts w:ascii="Times New Roman" w:hAnsi="Times New Roman" w:eastAsia="Times New Roman" w:cs="Times New Roman"/>
                <w:color w:val="000000"/>
                <w:sz w:val="24"/>
              </w:rPr>
              <w:tab/>
              <w:tab/>
            </w: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Ông Triệu Quang Dũng    Chức vụ: Phó Giám đốc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26(1), tờ bản đồ số: 09 có địa chỉ: Xã Tân Triều, huyện Thanh Trì, thành phố Hà Nội (nay là Phường Thanh Liệt, t</w:t>
            </w:r>
            <w:r>
              <w:rPr>
                <w:bCs/>
                <w:color w:val="000000" w:themeColor="text1"/>
                <w:lang w:val="pt-BR"/>
              </w:rPr>
              <w:t xml:space="preserve">hành phố Hà Nội) theo Giấy chứng nhận quyền sử dụng đất, quyền sở hữu nhà ở và tài sản khác gắn liền với đất số: BU 734123, số vào sổ cấp giấy chứng nhận: 2498/2017/HĐTP/CH01962 do Uỷ ban nhân dân huyện Thanh Trì cấp ngày 14/1/2015 cho Ông Triệu Đình Chiến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Thanh Trì,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20.979388888889, 105.80447222222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24/6/2026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1"/>
        <w:numPr>
          <w:ilvl w:val="0"/>
          <w:numId w:val="1"/>
        </w:numPr>
        <w:pBdr/>
        <w:spacing w:after="120" w:before="120" w:line="276" w:lineRule="auto"/>
        <w:ind/>
        <w:jc w:val="both"/>
        <w:rPr>
          <w:spacing w:val="-4"/>
          <w:lang w:val="pt-BR"/>
        </w:rPr>
      </w:pPr>
      <w:r>
        <w:rPr>
          <w:bCs/>
          <w:spacing w:val="-4"/>
          <w:highlight w:val="none"/>
          <w:lang w:val="pt-BR" w:bidi="pt-BR"/>
        </w:rPr>
      </w:r>
      <w:r>
        <w:rPr>
          <w:rFonts w:ascii="Times New Roman" w:hAnsi="Times New Roman" w:eastAsia="Times New Roman" w:cs="Times New Roman"/>
          <w:color w:val="000000"/>
          <w:spacing w:val="-4"/>
          <w:sz w:val="24"/>
        </w:rPr>
        <w:t xml:space="preserve">Quyết định số 425/QĐ-BXD ngày 30/3/2026 của Bộ Xây dựng về việc Công bố suất vốn đầu tư xây dựng công trình và giá xây dựng tổng hợp bộ phận kết cấu công trình năm 2025</w:t>
      </w:r>
      <w:r>
        <w:rPr>
          <w:spacing w:val="-4"/>
          <w:lang w:val="pt-BR"/>
        </w:rPr>
      </w:r>
      <w:r>
        <w:rPr>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BU 734123, số vào sổ cấp giấy chứng nhận: 2498/2017/HĐTP/CH01962 do Uỷ ban nhân dân huyện Thanh Trì cấp ngày 14/1/2015 cho Ông Triệu Đình Chiến</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z w:val="24"/>
        </w:rPr>
        <w:t xml:space="preserve">Hợp đồng số </w:t>
      </w:r>
      <w:r>
        <w:rPr>
          <w:rFonts w:ascii="Times New Roman" w:hAnsi="Times New Roman" w:eastAsia="Times New Roman" w:cs="Times New Roman"/>
          <w:color w:val="081b3a"/>
          <w:spacing w:val="3"/>
          <w:sz w:val="24"/>
          <w:highlight w:val="white"/>
        </w:rPr>
        <w:t xml:space="preserve">275/2026/0991/VFI-HĐTĐ.48.A</w:t>
      </w:r>
      <w:r>
        <w:rPr>
          <w:rFonts w:ascii="Times New Roman" w:hAnsi="Times New Roman" w:eastAsia="Times New Roman" w:cs="Times New Roman"/>
          <w:color w:val="000000"/>
          <w:sz w:val="24"/>
        </w:rPr>
        <w:t xml:space="preserve">ngày 24/06/2026 giữa </w:t>
      </w:r>
      <w:r>
        <w:rPr>
          <w:rFonts w:ascii="Times New Roman" w:hAnsi="Times New Roman" w:eastAsia="Times New Roman" w:cs="Times New Roman"/>
          <w:color w:val="000000"/>
          <w:spacing w:val="3"/>
          <w:sz w:val="24"/>
          <w:highlight w:val="white"/>
        </w:rPr>
        <w:t xml:space="preserve">Công ty TNHH Sản xuất Thương mại và Đầu tư Dũng Đông</w:t>
      </w:r>
      <w:r>
        <w:rPr>
          <w:rFonts w:ascii="Times New Roman" w:hAnsi="Times New Roman" w:eastAsia="Times New Roman" w:cs="Times New Roman"/>
          <w:color w:val="000000"/>
          <w:sz w:val="24"/>
        </w:rPr>
        <w:t xml:space="preserve"> với Công ty Cổ phần Thẩm định và Đầu tư Tài chính Hoa Sen</w:t>
      </w:r>
      <w:r>
        <w:rPr>
          <w:color w:val="000000" w:themeColor="text1"/>
          <w:lang w:val="pt-BR"/>
        </w:rPr>
        <w:t xml:space="preserve">.</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line="276" w:lineRule="auto"/>
        <w:ind w:right="0" w:firstLine="0" w:left="0"/>
        <w:rPr/>
      </w:pPr>
      <w:r>
        <w:rPr>
          <w:lang w:val="pt-BR"/>
        </w:rPr>
        <w:tab/>
      </w:r>
      <w:r>
        <w:rPr>
          <w:rFonts w:ascii="Times New Roman" w:hAnsi="Times New Roman" w:eastAsia="Times New Roman" w:cs="Times New Roman"/>
          <w:color w:val="000000"/>
          <w:sz w:val="24"/>
        </w:rPr>
        <w:t xml:space="preserve">Nửa đầu năm 2025, thị trường giao dịch nhà đất thổ cư Hà Nội đã ghi nhận những dấu hiệu chững lại rõ rệt. Lượng giao dịch sụt giảm, tâm lý nhà đầu tư thận trọng và nhiều khu vực từng là điểm nóng rơi vào trạng thái trầm lắng. Tuy nhiên, theo các chuyên gia</w:t>
      </w:r>
      <w:r>
        <w:rPr>
          <w:rFonts w:ascii="Times New Roman" w:hAnsi="Times New Roman" w:eastAsia="Times New Roman" w:cs="Times New Roman"/>
          <w:color w:val="000000"/>
          <w:sz w:val="24"/>
        </w:rPr>
        <w:t xml:space="preserve">, đây chỉ là giai đoạn tạm lắng của chu kỳ thị trường. Khi nhịp hồi phục quay trở lại, những quận có tiềm năng thực sự sẽ sớm bứt phá. Vậy, đâu là những điểm sáng cần theo dõi trong thời gian tới?</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Sức mua sụt giảm đồng loạt tại nhóm quận trung tâm và vệ tinh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Theo báo cáo của OneHousing, giao dịch nhà đất thổ cư Hà Nội trong 6 tháng đầu năm 2025 tại 13 quận/huyện chỉ đạt khoảng 13.400 giao dịch, giảm 38% so với cùng kỳ năm ngoái. Nếu tính thêm huyện Đông Anh và huyện Đan Phượng thì tổng đạt 19.000 giao dịch.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5 quận dẫn đầu vẫn giảm 33–55% so với cùng kỳ năm 2024</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Tình trạng sụt giảm giao dịch thổ cư không phải là hiện tượng cục bộ mà diễn ra trên diện rộng. Số liệu từ Hội Môi giới Bất động sản Việt Nam cho thấy, trong quý I - II/2025 lượng giao dịch thành công tại Hà Nội giảm hơn 45% so với cùng kỳ năm ngoái. Nhiều</w:t>
      </w:r>
      <w:r>
        <w:rPr>
          <w:rFonts w:ascii="Times New Roman" w:hAnsi="Times New Roman" w:eastAsia="Times New Roman" w:cs="Times New Roman"/>
          <w:color w:val="000000"/>
          <w:sz w:val="24"/>
        </w:rPr>
        <w:t xml:space="preserve"> khu vực vốn là điểm nóng như: Đông Anh, Thanh Trì, Hoài Đức nay ghi nhận mức giao dịch gần như bằng 0.</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Ngay cả nhóm 5 quận dẫn đầu về lượng giao dịch cũng rơi vào tình cảnh ảm đạm. Cụ thể:</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Quận Long Biên và quận Hà Đông: 2 quận có lượng giao dịch lớn nhất nửa đầu năm 2025, lần lượt đạt 2.670 và 2.170 căn. Lượng giao dịch tại 2 quận này đều giảm so với cùng kỳ năm ngoái, trong đó quận Hà Đông có mức giảm mạnh 55% so với năm 2024. Lý do bởi nh</w:t>
      </w:r>
      <w:r>
        <w:rPr>
          <w:rFonts w:ascii="Times New Roman" w:hAnsi="Times New Roman" w:eastAsia="Times New Roman" w:cs="Times New Roman"/>
          <w:color w:val="000000"/>
          <w:sz w:val="24"/>
        </w:rPr>
        <w:t xml:space="preserve">iều phường tại Hà Đông như Dương Nội, Yên Nghĩa, Biên Giang,... đã tăng giá mạnh trong năm 2024, khiến nhu cầu mua đầu tư chững lại.</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Quận Bắc Từ Liêm, Hoàng Mai và Đống Đa: Đạt lần lượt 960; 1.280 và 1.000 giao dịch trong nửa đầu năm 2025, giảm lần lượt 33%, 36% và 34%.</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b/>
          <w:color w:val="000000"/>
          <w:sz w:val="24"/>
        </w:rPr>
        <w:t xml:space="preserve">Lý giải nguyên nhân khiến giao dịch nhà đất thổ cư Hà Nội sụt giảm</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Thị trường giao dịch nhà đất thổ cư Hà Nội trong nửa đầu năm 2025 chứng kiến sự sụt giảm rõ rệt về thanh khoản. Nguyên nhân chính bắt nguồn từ hiện tượng lệch pha cung – cầu: nguồn cung hạn chế trong khi mặt bằng giá tiếp tục neo cao, vượt xa khả năng chi</w:t>
      </w:r>
      <w:r>
        <w:rPr>
          <w:rFonts w:ascii="Times New Roman" w:hAnsi="Times New Roman" w:eastAsia="Times New Roman" w:cs="Times New Roman"/>
          <w:color w:val="000000"/>
          <w:sz w:val="24"/>
        </w:rPr>
        <w:t xml:space="preserve"> trả của nhóm mua ở thực. Điều này khiến nhiều người dù có nhu cầu thật nhưng vẫn buộc phải trì hoãn kế hoạch mua nhà, kéo theo lượng giao dịch lao dốc.</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Giá bán neo cao dù giao dịch gần như đóng băng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Một nghịch lý đang diễn ra là giá chào bán trên thị trường vẫn tiếp tục tăng bất chấp lượng giao dịch giảm mạnh.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Theo báo cáo quý I/2025 của Savills Việt Nam, giá chào bán nhà đất thổ cư tại khu vực Hà Nội tăng trung bình 3 – 5% so với cùng kỳ năm 2024 dù giao dịch giảm sâu.</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Giá nhà trong ngõ rộng, có sổ đỏ tại các quận như Thanh Xuân, Cầu Giấy, Đống Đa vẫn giữ ở mức 130 – 180 triệu đồng/m2. Tại các phường trung tâm như Kim Mã (Ba Đình), Hàng Bông (Hoàn Kiếm) giá đã vượt mốc 350 triệu đồng/m2, dù không phát sinh giao dịch tro</w:t>
      </w:r>
      <w:r>
        <w:rPr>
          <w:rFonts w:ascii="Times New Roman" w:hAnsi="Times New Roman" w:eastAsia="Times New Roman" w:cs="Times New Roman"/>
          <w:color w:val="000000"/>
          <w:sz w:val="24"/>
        </w:rPr>
        <w:t xml:space="preserve">ng nhiều tháng.</w:t>
      </w:r>
      <w:r/>
    </w:p>
    <w:p>
      <w:pPr>
        <w:pBdr>
          <w:top w:val="none" w:color="000000" w:sz="4" w:space="0"/>
          <w:left w:val="none" w:color="000000" w:sz="4" w:space="0"/>
          <w:bottom w:val="none" w:color="000000" w:sz="4" w:space="0"/>
          <w:right w:val="none" w:color="000000" w:sz="4" w:space="0"/>
        </w:pBdr>
        <w:spacing w:line="276" w:lineRule="auto"/>
        <w:ind w:right="0" w:firstLine="0" w:left="709"/>
        <w:rPr/>
      </w:pPr>
      <w:r>
        <w:rPr>
          <w:rFonts w:ascii="Times New Roman" w:hAnsi="Times New Roman" w:eastAsia="Times New Roman" w:cs="Times New Roman"/>
          <w:b/>
          <w:color w:val="000000"/>
          <w:sz w:val="24"/>
        </w:rPr>
        <w:t xml:space="preserve">Quỹ đất nội đô khan hiếm đẩy giá bán lên cao</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Một yếu tố quan trọng khác tác động đến thị trường là tình trạng thiếu hụt nguồn cung nhà thấp tầng. Ông Nguyễn Văn Đính - Chủ tịch Hội Môi giới Bất động sản Việt Nam cho biết: “Vài năm gần đây, nguồn cung nhà ở thấp tầng tại Hà Nội gần như không tăng. Tro</w:t>
      </w:r>
      <w:r>
        <w:rPr>
          <w:rFonts w:ascii="Times New Roman" w:hAnsi="Times New Roman" w:eastAsia="Times New Roman" w:cs="Times New Roman"/>
          <w:color w:val="000000"/>
          <w:sz w:val="24"/>
        </w:rPr>
        <w:t xml:space="preserve">ng khi đó, quy hoạch mở rộng đô thị mới chưa đi vào thực tế khiến nguồn cung khan hiếm, đẩy giá nhà đất lên cao và giữ ổn định". (Nguồn: Báo Tiền Phong)</w:t>
      </w:r>
      <w:r/>
    </w:p>
    <w:p>
      <w:pPr>
        <w:pBdr>
          <w:top w:val="none" w:color="000000" w:sz="4" w:space="0"/>
          <w:left w:val="none" w:color="000000" w:sz="4" w:space="0"/>
          <w:bottom w:val="none" w:color="000000" w:sz="4" w:space="0"/>
          <w:right w:val="none" w:color="000000" w:sz="4" w:space="0"/>
        </w:pBdr>
        <w:spacing w:line="276" w:lineRule="auto"/>
        <w:ind w:right="0" w:firstLine="0" w:left="709"/>
        <w:rPr/>
      </w:pPr>
      <w:r>
        <w:rPr>
          <w:rFonts w:ascii="Times New Roman" w:hAnsi="Times New Roman" w:eastAsia="Times New Roman" w:cs="Times New Roman"/>
          <w:b/>
          <w:color w:val="000000"/>
          <w:sz w:val="24"/>
        </w:rPr>
        <w:t xml:space="preserve">Tâm lý chờ đợi chính sách và chi phí vốn cao khiến giao dịch trì trệ</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Không chỉ lệch pha cung – cầu, giao dịch nhà đất thổ cư Hà Nội còn bị ảnh hưởng bởi tâm lý chờ đợi từ cả phía người mua lẫn nhà đầu tư. Họ đang đợi các quyết sách mới về sáp nhập hành chính, quy hoạch đô thị, cùng với việc cập nhật khung giá đất theo Luật </w:t>
      </w:r>
      <w:r>
        <w:rPr>
          <w:rFonts w:ascii="Times New Roman" w:hAnsi="Times New Roman" w:eastAsia="Times New Roman" w:cs="Times New Roman"/>
          <w:color w:val="000000"/>
          <w:sz w:val="24"/>
        </w:rPr>
        <w:t xml:space="preserve">Đất đai mới có hiệu lực từ 1/7/2025.</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Song song đó, lãi suất vay mua nhà vẫn duy trì ở mức cao, trong khi chưa có gói hỗ trợ tín dụng đủ hấp dẫn để kích cầu. Điều này càng khiến nhu cầu vay mua suy giảm, kéo theo thanh khoản thị trường tiếp tục sụt giảm sâu.</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Các huyện mới nổi chiếm sóng thị trường nhờ tiềm năng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Trong bối cảnh giao dịch tại các quận trung tâm và vệ tinh giảm sâu, giao dịch nhà đất thổ cư Hà Nội trong 6 tháng đầu năm 2025 tại các huyện ngoại thành như Đông Anh, Đan Phượng và Gia Lâm lại trở thành điểm sáng, thu hút sự quan tâm đầu tư nhờ tiềm năng </w:t>
      </w:r>
      <w:r>
        <w:rPr>
          <w:rFonts w:ascii="Times New Roman" w:hAnsi="Times New Roman" w:eastAsia="Times New Roman" w:cs="Times New Roman"/>
          <w:color w:val="000000"/>
          <w:sz w:val="24"/>
        </w:rPr>
        <w:t xml:space="preserve">tăng trưởng dài hạn.</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Huyện Đông Anh có lượng giao dịch lớn nhất, đạt 4.200 giao dịch. </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Giao dịch tại huyện Đan Phượng và huyện Gia Lâm gần tương đương nhau đạt 1.390 và 1.210 giao dịch, phản ánh xu hướng dịch chuyển dòng tiền về các khu vực giàu tiềm năng phát triển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So với các quận nội đô đã thiết lập mặt bằng giá cao và ít dư địa tăng trưởng, giá đất thổ cư tại những huyện mới nổi này vẫn còn khá “mềm”. Điều này không chỉ phù hợp với khả năng tài chính của người mua có nhu cầu ở thực mà còn tạo ra cơ hội sinh lời hấp</w:t>
      </w:r>
      <w:r>
        <w:rPr>
          <w:rFonts w:ascii="Times New Roman" w:hAnsi="Times New Roman" w:eastAsia="Times New Roman" w:cs="Times New Roman"/>
          <w:color w:val="000000"/>
          <w:sz w:val="24"/>
        </w:rPr>
        <w:t xml:space="preserve"> dẫn cho các nhà đầu tư trung và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Không chỉ có lợi thế về giá, các huyện này còn đang nằm trong lộ trình đô thị hóa, với mục tiêu trở thành quận trong giai đoạn 2020–2025. Việc nâng cấp hành chính sẽ kéo theo sự hoàn thiện đồng bộ về hạ tầng, tiện ích và hệ thống dịch vụ, thúc đẩy giá trị </w:t>
      </w:r>
      <w:r>
        <w:rPr>
          <w:rFonts w:ascii="Times New Roman" w:hAnsi="Times New Roman" w:eastAsia="Times New Roman" w:cs="Times New Roman"/>
          <w:color w:val="000000"/>
          <w:sz w:val="24"/>
        </w:rPr>
        <w:t xml:space="preserve">bất động sản tăng theo thời gian.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Đặc biệt, nhiều dự án giao thông trọng điểm đang được triển khai tại đây như vành đai 4, đại lộ Tây Thăng Long, tuyến đường sắt đô thị cùng với hệ thống cầu vượt sông Hồng mới, đã và đang cải thiện đáng kể khả năng kết nối từ các huyện này tới trung tâm th</w:t>
      </w:r>
      <w:r>
        <w:rPr>
          <w:rFonts w:ascii="Times New Roman" w:hAnsi="Times New Roman" w:eastAsia="Times New Roman" w:cs="Times New Roman"/>
          <w:color w:val="000000"/>
          <w:sz w:val="24"/>
        </w:rPr>
        <w:t xml:space="preserve">ành phố cũng như các vùng kinh tế vệ tinh.</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Sự đồng bộ này chính là đòn bẩy giúp các khu vực như Đông Anh, Đan Phượng và Gia Lâm vươn lên trở thành những “điểm nóng” tiếp theo trên bản đồ giao dịch nhà đất thổ cư Hà Nội.</w:t>
      </w:r>
      <w:r/>
    </w:p>
    <w:p>
      <w:pPr>
        <w:pBdr/>
        <w:tabs>
          <w:tab w:val="left" w:leader="none" w:pos="426"/>
        </w:tabs>
        <w:spacing w:after="120" w:before="120" w:line="276" w:lineRule="auto"/>
        <w:ind/>
        <w:jc w:val="center"/>
        <w:rPr>
          <w:bCs/>
          <w:i/>
        </w:rPr>
      </w:pPr>
      <w:r>
        <w:rPr>
          <w:rFonts w:ascii="Times New Roman" w:hAnsi="Times New Roman" w:eastAsia="Times New Roman" w:cs="Times New Roman"/>
          <w:i/>
          <w:iCs/>
          <w:color w:val="000000"/>
          <w:sz w:val="24"/>
        </w:rPr>
        <w:t xml:space="preserve">(Nguồn: https://onehousing.vn/blog/giao-dich-nha-dat-tho-cu-ha-noi-chung-lai-trong-1h2025-dau-la-quan-dang-chu-y-khi-thi-truong-phuc-hoi-n17t?utm_source=social_share&amp;utm_medium=copyurl&amp;utm_campaign=efc31d7e-04f8-4713-9ae1-5036060f4085)</w:t>
      </w:r>
      <w:r>
        <w:rPr>
          <w:bCs/>
          <w:i/>
        </w:rPr>
      </w:r>
      <w:r>
        <w:rPr>
          <w:bCs/>
          <w:i/>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26(1), tờ bản đồ số: 09 có địa chỉ: Xã Tân Triều, huyện Thanh Trì, thành phố Hà Nội (nay là Phường Thanh Liệt, t</w:t>
            </w:r>
            <w:r>
              <w:rPr>
                <w:b/>
                <w:bCs/>
                <w:color w:val="000000"/>
              </w:rPr>
              <w:t xml:space="preserve">hành phố Hà Nội) theo Giấy chứng nhận quyền sử dụng đất, quyền sở hữu nhà ở và tài sản khác gắn liền với đất số: BU 734123, số vào sổ cấp giấy chứng nhận: 2498/2017/HĐTP/CH01962 do Uỷ ban nhân dân huyện Thanh Trì cấp ngày 14/1/2015 cho Ông Triệu Đình Chiến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26(1)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9</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tabs>
                <w:tab w:val="left" w:leader="none" w:pos="4423"/>
              </w:tabs>
              <w:spacing/>
              <w:ind/>
              <w:jc w:val="both"/>
              <w:rPr>
                <w:b w:val="0"/>
                <w:bCs w:val="0"/>
                <w:color w:val="000000"/>
              </w:rPr>
            </w:pPr>
            <w:r>
              <w:rPr>
                <w:b w:val="0"/>
                <w:bCs w:val="0"/>
                <w:color w:val="000000"/>
              </w:rPr>
            </w:r>
            <w:r>
              <w:rPr>
                <w:b w:val="0"/>
                <w:bCs w:val="0"/>
                <w:color w:val="000000"/>
              </w:rPr>
              <w:t xml:space="preserve">Xã Tân Triều, huyện Thanh Trì, thành phố Hà Nội (nay là Phường Thanh Liệt,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31,7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tặng cho đất được Nhà nước giao đất không thu tiền sử dụng đát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Guland, xác định vị trí </w:t>
            </w:r>
            <w:r>
              <w:rPr>
                <w:rFonts w:ascii="Times New Roman" w:hAnsi="Times New Roman" w:eastAsia="Times New Roman" w:cs="Times New Roman"/>
                <w:color w:val="000000"/>
                <w:sz w:val="24"/>
              </w:rPr>
              <w:t xml:space="preserve">tài sản có 6,3m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thuộc quy hoạch đất giao thông</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6048375" cy="281856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92138" name=""/>
                              <pic:cNvPicPr>
                                <a:picLocks noChangeAspect="1"/>
                              </pic:cNvPicPr>
                              <pic:nvPr/>
                            </pic:nvPicPr>
                            <pic:blipFill rotWithShape="1">
                              <a:blip r:embed="rId17"/>
                              <a:stretch/>
                            </pic:blipFill>
                            <pic:spPr bwMode="auto">
                              <a:xfrm>
                                <a:off x="0" y="0"/>
                                <a:ext cx="6048374" cy="28185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21.93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cách đường Tân Triều khoảng 80m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20.979388888889</w:t>
            </w:r>
            <w:r>
              <w:rPr>
                <w:color w:val="000000"/>
              </w:rPr>
              <w:t xml:space="preserve">, </w:t>
            </w:r>
            <w:r>
              <w:rPr>
                <w:color w:val="000000"/>
              </w:rPr>
              <w:t xml:space="preserve">105.80447222222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50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31,7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8,47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Khu vực tập trung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Cao</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w:t>
            </w:r>
            <w:r>
              <w:rPr>
                <w:rFonts w:ascii="Times New Roman" w:hAnsi="Times New Roman" w:eastAsia="Times New Roman" w:cs="Times New Roman"/>
                <w:b/>
                <w:color w:val="000000"/>
                <w:sz w:val="24"/>
              </w:rPr>
              <w:t xml:space="preserve">Nhà 9 tầng 1 tum</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w:t>
            </w:r>
            <w:r>
              <w:rPr>
                <w:rFonts w:ascii="Times New Roman" w:hAnsi="Times New Roman" w:eastAsia="Times New Roman" w:cs="Times New Roman"/>
                <w:color w:val="000000"/>
                <w:sz w:val="24"/>
              </w:rPr>
              <w:t xml:space="preserve">thời điểm khảo sát, trên đất có công trình trên đất có công trình nhà 9 tầng + 1 tum, kết cấu BTCT, tường xây gạch chịu lực, sàn lát gạch men, công trình được xây dựng năm 2022, ngoại quan khá. Công trình được xây dựng trên 2 thửa đất. Côn</w:t>
            </w:r>
            <w:r>
              <w:rPr>
                <w:rFonts w:ascii="Times New Roman" w:hAnsi="Times New Roman" w:eastAsia="Times New Roman" w:cs="Times New Roman"/>
                <w:color w:val="000000"/>
                <w:sz w:val="24"/>
              </w:rPr>
              <w:t xml:space="preserve">g trình này chưa được chứng nhận trên GCN.</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Tại </w:t>
      </w:r>
      <w:r>
        <w:rPr>
          <w:rFonts w:ascii="Times New Roman" w:hAnsi="Times New Roman" w:eastAsia="Times New Roman" w:cs="Times New Roman"/>
          <w:color w:val="000000"/>
          <w:sz w:val="24"/>
        </w:rPr>
        <w:t xml:space="preserve">thời điểm khảo sát, trên đất có công trình trên đất có công trình nhà 9 tầng + 1 tum, kết cấu BTCT, tường xây gạch chịu lực, sàn lát gạch men, công trình được xây dựng năm 2022, ngoại quan khá. Công trình được xây dựng trên 2 thửa đất cùng chủ sử dụng. Côn</w:t>
      </w:r>
      <w:r>
        <w:rPr>
          <w:rFonts w:ascii="Times New Roman" w:hAnsi="Times New Roman" w:eastAsia="Times New Roman" w:cs="Times New Roman"/>
          <w:color w:val="000000"/>
          <w:sz w:val="24"/>
        </w:rPr>
        <w:t xml:space="preserve">g trình này chưa được chứng nhận trên GCN. Đồng thời tổ thẩm định cũng không nhận được bất kỳ hồ sơ pháp lý nào liên quan tới CTXD hiện có này. Do đó, theo đề nghị của ngân hàng/khách hàng, tổ thẩm định chỉ xác định giá trị quyền sử</w:t>
      </w:r>
      <w:r>
        <w:rPr>
          <w:rFonts w:ascii="Times New Roman" w:hAnsi="Times New Roman" w:eastAsia="Times New Roman" w:cs="Times New Roman"/>
          <w:color w:val="000000"/>
          <w:sz w:val="24"/>
        </w:rPr>
        <w:t xml:space="preserve"> dụng đất, không xác định giá trị của công trình xây dựng hiện có vào tổng giá trị nhưng vẫn coi công trình xây dựng là phần không thể tách rời của tài sản thẩm định. Kính đề nghị đơn vị sử dụng kết quả lưu ý</w:t>
      </w:r>
      <w:r/>
    </w:p>
    <w:p>
      <w:pPr>
        <w:pStyle w:val="1031"/>
        <w:numPr>
          <w:ilvl w:val="0"/>
          <w:numId w:val="3"/>
        </w:numPr>
        <w:pBdr/>
        <w:tabs>
          <w:tab w:val="left" w:leader="none" w:pos="993"/>
        </w:tabs>
        <w:spacing w:after="120" w:before="120" w:line="264" w:lineRule="auto"/>
        <w:ind/>
        <w:jc w:val="both"/>
        <w:rPr>
          <w:spacing w:val="-2"/>
          <w:lang w:val="pt-BR"/>
        </w:rPr>
      </w:pP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Guland, xác định vị trí </w:t>
      </w:r>
      <w:r>
        <w:rPr>
          <w:rFonts w:ascii="Times New Roman" w:hAnsi="Times New Roman" w:eastAsia="Times New Roman" w:cs="Times New Roman"/>
          <w:color w:val="000000"/>
          <w:sz w:val="24"/>
        </w:rPr>
        <w:t xml:space="preserve">tài sản có 6,3m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thuộc quy hoạch đất giao thông.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 nhận </w:t>
      </w:r>
      <w:r>
        <w:rPr>
          <w:rFonts w:ascii="Times New Roman" w:hAnsi="Times New Roman" w:eastAsia="Times New Roman" w:cs="Times New Roman"/>
          <w:color w:val="000000"/>
          <w:sz w:val="24"/>
        </w:rPr>
        <w:t xml:space="preserve">rõ tình trạng quy hoạch thì kết quả thẩm định giá cần được xem xét, điều chỉnh phù hợp, đồng thời chúng tôi bảo lưu quyền xem xét lại kết quả thẩm định giá</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ở nằm ngoài quy hoạch</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gridCol w:w="9522"/>
      </w:tblGrid>
      <w:tr>
        <w:trPr>
          <w:gridAfter w:val="1"/>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Thanh Liệt,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Thanh Liệt,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Thanh Liệt,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Thanh Liệt, Thành phố Hà Nội</w:t>
            </w: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https://alonhadat.com.vn/ban-dat-tai-yen-xa-9-3-ty-70m2-mat-tien-4m-phap-ly-day-du-xay-ccmn-xuat-sac-18281992.html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https://alonhadat.com.vn/ban-dat-tai-yen-xa-9-3-ty-70m2-mat-tien-4m-phap-ly-day-du-xay-ccmn-xuat-sac-18281992.html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https://www.nhatot.com/mua-ban-nha-dat-huyen-thanh-tri-ha-noi/132068138.htm</w:t>
            </w:r>
            <w:r>
              <w:rPr>
                <w:sz w:val="22"/>
                <w:szCs w:val="22"/>
              </w:rPr>
            </w:r>
            <w:r>
              <w:rPr>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0948.787.939</w:t>
            </w:r>
            <w:r>
              <w:rPr>
                <w:sz w:val="22"/>
                <w:szCs w:val="22"/>
              </w:rPr>
              <w:t xml:space="preserve"> </w:t>
            </w:r>
            <w:r>
              <w:rPr>
                <w:sz w:val="22"/>
                <w:szCs w:val="22"/>
              </w:rPr>
              <w:br/>
              <w:t xml:space="preserve">(</w:t>
            </w:r>
            <w:r>
              <w:rPr>
                <w:sz w:val="22"/>
                <w:szCs w:val="22"/>
              </w:rPr>
              <w:t xml:space="preserve">Nguyễn Thanh Tùng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0948.787.939</w:t>
            </w:r>
            <w:r>
              <w:rPr>
                <w:sz w:val="22"/>
                <w:szCs w:val="22"/>
              </w:rPr>
              <w:br/>
            </w:r>
            <w:r>
              <w:rPr>
                <w:sz w:val="22"/>
                <w:szCs w:val="22"/>
              </w:rPr>
              <w:t xml:space="preserve">(</w:t>
            </w:r>
            <w:r>
              <w:rPr>
                <w:sz w:val="22"/>
                <w:szCs w:val="22"/>
              </w:rPr>
              <w:t xml:space="preserve">Nguyễn Thanh Tùng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0982089522</w:t>
            </w:r>
            <w:r>
              <w:rPr>
                <w:sz w:val="22"/>
                <w:szCs w:val="22"/>
              </w:rPr>
              <w:br/>
            </w:r>
            <w:r>
              <w:rPr>
                <w:sz w:val="22"/>
                <w:szCs w:val="22"/>
              </w:rPr>
              <w:t xml:space="preserve">(</w:t>
            </w:r>
            <w:r>
              <w:rPr>
                <w:sz w:val="22"/>
                <w:szCs w:val="22"/>
              </w:rPr>
              <w:t xml:space="preserve">Nguyễn Văn Tam</w:t>
            </w:r>
            <w:r>
              <w:rPr>
                <w:sz w:val="22"/>
                <w:szCs w:val="22"/>
              </w:rPr>
              <w:t xml:space="preserve">)</w:t>
            </w:r>
            <w:r>
              <w:rPr>
                <w:sz w:val="22"/>
                <w:szCs w:val="22"/>
              </w:rPr>
            </w:r>
            <w:r>
              <w:rPr>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Tân Triều khoảng 80m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Yên Xá 100m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Yên Xá 120m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Yên Xá khoảng 100m</w:t>
            </w: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57,0</w:t>
            </w: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Mặt tiền bị che chắn, Đường đâm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Mặt tiền bị che chắn, Đường đâm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Mặt tiền bị che chắn, Đường đâm</w:t>
            </w:r>
            <w:r/>
          </w:p>
        </w:tc>
      </w:tr>
      <w:tr>
        <w:trPr>
          <w:gridAfter w:val="1"/>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1 tầng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3 tầng</w:t>
            </w:r>
            <w:r/>
          </w:p>
        </w:tc>
      </w:tr>
      <w:tr>
        <w:trPr>
          <w:gridAfter w:val="1"/>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r>
      <w:tr>
        <w:trPr>
          <w:gridAfter w:val="1"/>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171,0</w:t>
            </w: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10.000.000.000</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9.000.000.000</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245.585.187</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1.158.183.684</w:t>
            </w:r>
            <w:r/>
          </w:p>
        </w:tc>
        <w:tc>
          <w:tcPr>
            <w:tcBorders/>
            <w:tcMar>
              <w:left w:w="0" w:type="dxa"/>
              <w:top w:w="0" w:type="dxa"/>
              <w:right w:w="0" w:type="dxa"/>
              <w:bottom w:w="0" w:type="dxa"/>
            </w:tcMar>
            <w:tcW w:w="9522" w:type="dxa"/>
            <w:vAlign w:val="center"/>
            <w:textDirection w:val="lrTb"/>
            <w:noWrap w:val="false"/>
          </w:tcPr>
          <w:p>
            <w:pPr>
              <w:pBdr/>
              <w:spacing w:after="0" w:before="0" w:line="240" w:lineRule="auto"/>
              <w:ind/>
              <w:rPr/>
            </w:pPr>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highlight w:val="white"/>
              </w:rPr>
              <w:t xml:space="preserve">Đơn giá xây dựng theo Quyết định số 425/QĐ-BXD ngày 30/3/2026 của Bộ Xây Dựng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5.947.144</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7.968.240</w:t>
            </w:r>
            <w:r/>
          </w:p>
        </w:tc>
        <w:tc>
          <w:tcPr>
            <w:tcBorders/>
            <w:tcMar>
              <w:left w:w="0" w:type="dxa"/>
              <w:top w:w="0" w:type="dxa"/>
              <w:right w:w="0" w:type="dxa"/>
              <w:bottom w:w="0" w:type="dxa"/>
            </w:tcMar>
            <w:tcW w:w="9522" w:type="dxa"/>
            <w:vAlign w:val="center"/>
            <w:textDirection w:val="lrTb"/>
            <w:noWrap w:val="false"/>
          </w:tcPr>
          <w:p>
            <w:pPr>
              <w:pBdr/>
              <w:spacing w:after="0" w:before="0" w:line="240" w:lineRule="auto"/>
              <w:ind/>
              <w:rPr/>
            </w:pPr>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 CLCL</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w:t>
            </w:r>
            <w:r/>
          </w:p>
        </w:tc>
        <w:tc>
          <w:tcPr>
            <w:tcBorders/>
            <w:tcMar>
              <w:left w:w="0" w:type="dxa"/>
              <w:top w:w="0" w:type="dxa"/>
              <w:right w:w="0" w:type="dxa"/>
              <w:bottom w:w="0" w:type="dxa"/>
            </w:tcMar>
            <w:tcW w:w="9522" w:type="dxa"/>
            <w:vAlign w:val="center"/>
            <w:textDirection w:val="lrTb"/>
            <w:noWrap w:val="false"/>
          </w:tcPr>
          <w:p>
            <w:pPr>
              <w:pBdr/>
              <w:spacing w:after="0" w:before="0" w:line="240" w:lineRule="auto"/>
              <w:ind/>
              <w:rPr/>
            </w:pPr>
            <w: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9.000.000.000</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119.571.429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139.088.296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137.575.725</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8.370.000.000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6.954.414.813</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7.841.816.316</w:t>
            </w:r>
            <w:r>
              <w:rPr>
                <w:color w:val="000000"/>
                <w:sz w:val="20"/>
                <w:szCs w:val="20"/>
              </w:rPr>
            </w:r>
            <w:r>
              <w:rPr>
                <w:color w:val="000000"/>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119.571.429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139.088.296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137.575.725</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119.571.429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139.088.296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137.575.725</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Tân Triều khoảng 80m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Yên Xá 100m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Yên Xá 120m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Yên Xá khoảng 100m</w:t>
            </w: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119.571.429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139.088.296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137.575.725</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3.587.143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-4.172.649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123.158.572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134.915.647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137.575.725</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57,0</w:t>
            </w: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5.978.571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6.954.415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6.878.786</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129.137.143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141.870.062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144.454.511</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1,86</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11.957.143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13.757.573</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141.094.286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141.870.062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158.212.084</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141.094.286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141.870.062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158.212.084</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11.957.143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153.051.429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141.870.062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158.212.084</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Mặt tiền bị che chắn, Đường đâm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Mặt tiền bị che chắn, Đường đâm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Mặt tiền bị che chắn, Đường đâm</w:t>
            </w: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15.544.286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18.081.478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17.884.844</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168.595.715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159.951.540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176.096.928</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168.595.715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159.951.540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176.096.928</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168.214.728</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4,69%</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49.024.286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29.208.542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38.521.203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- 13%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- 13%</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49.024.286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20.863.244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38.521.203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0,23% đến</w:t>
      </w:r>
      <w:r>
        <w:t xml:space="preserve"> </w:t>
      </w:r>
      <w:r>
        <w:t xml:space="preserve">4,91%,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168.595.715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56.209.811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159.951.540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53.311.848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176.096.928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58.693.106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168.214.765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168.000.000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168.000.000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bCs/>
        </w:rPr>
      </w:pPr>
      <w:r>
        <w:rPr>
          <w:b/>
          <w:bCs/>
        </w:rPr>
        <w:t xml:space="preserve">Xác định đơn giá đất ở nằm trong quy hoạch</w:t>
      </w:r>
      <w:r>
        <w:rPr>
          <w:b/>
          <w:bCs/>
        </w:rPr>
      </w:r>
      <w:r>
        <w:rPr>
          <w:b/>
          <w:bCs/>
        </w:rPr>
      </w:r>
    </w:p>
    <w:p>
      <w:pPr>
        <w:pBdr>
          <w:top w:val="none" w:color="000000" w:sz="4" w:space="0"/>
          <w:left w:val="none" w:color="000000" w:sz="4" w:space="0"/>
          <w:bottom w:val="none" w:color="000000" w:sz="4" w:space="0"/>
          <w:right w:val="none" w:color="000000" w:sz="4" w:space="0"/>
        </w:pBdr>
        <w:spacing w:after="120" w:before="120" w:line="348" w:lineRule="auto"/>
        <w:ind w:right="0" w:firstLine="360" w:left="0"/>
        <w:jc w:val="both"/>
        <w:rPr/>
      </w:pPr>
      <w:r>
        <w:rPr>
          <w:rFonts w:ascii="Times New Roman" w:hAnsi="Times New Roman" w:eastAsia="Times New Roman" w:cs="Times New Roman"/>
          <w:color w:val="000000"/>
          <w:sz w:val="24"/>
        </w:rPr>
        <w:t xml:space="preserve">Dưới sự thống nhất với Ngân hàng/Khách hàng, cho mục đích thẩm định giá tại báo cáo này, Tổ thẩm định xác định đơn giá quyền sử dụng đất ở vào quy hoạch theo khung giá UBND tỉnh.</w:t>
      </w:r>
      <w:r/>
    </w:p>
    <w:p>
      <w:pPr>
        <w:pStyle w:val="1031"/>
        <w:pBdr/>
        <w:spacing w:after="120" w:before="120" w:line="276" w:lineRule="auto"/>
        <w:ind w:firstLine="0" w:left="0"/>
        <w:jc w:val="both"/>
        <w:rPr>
          <w:b/>
          <w:lang w:val="pt-BR"/>
        </w:rPr>
      </w:pPr>
      <w:r>
        <w:rPr>
          <w:rFonts w:ascii="Times New Roman" w:hAnsi="Times New Roman" w:eastAsia="Times New Roman" w:cs="Times New Roman"/>
          <w:color w:val="000000"/>
          <w:sz w:val="24"/>
        </w:rPr>
        <w:t xml:space="preserve">Theo Nghị quyết số 52/2025/NQ-HĐND ngày 26 tháng 11 năm 2025 của Hội đồng nhân dân thành phố Hà Nội về việc quy định về bảng giá đất lần đầu để công bố và áp dụng  từ ngày 01 tháng 01 năm 2026 trên địa bàn thành phố Hà Nội, Phụ lục 5: Áp dụng đối với các t</w:t>
      </w:r>
      <w:r>
        <w:rPr>
          <w:rFonts w:ascii="Times New Roman" w:hAnsi="Times New Roman" w:eastAsia="Times New Roman" w:cs="Times New Roman"/>
          <w:color w:val="000000"/>
          <w:sz w:val="24"/>
        </w:rPr>
        <w:t xml:space="preserve">hửa đất (khu đất) thuộc địa giới hành chính các phường: Tây Mỗ, Đại Mỗ, Dương Nội, Hà Đông, Thanh Liệt, Hoàng Liệt, Yên Sở, Hà Đông, Kiến Hưng, Yên Nghĩa, Phú Lương: VT3 đường Nguyễn Xiển có đơn giá là 56.004.000 đồng/m². Do đó, Tổ thẩm định xác định Đơn g</w:t>
      </w:r>
      <w:r>
        <w:rPr>
          <w:rFonts w:ascii="Times New Roman" w:hAnsi="Times New Roman" w:eastAsia="Times New Roman" w:cs="Times New Roman"/>
          <w:color w:val="000000"/>
          <w:sz w:val="24"/>
        </w:rPr>
        <w:t xml:space="preserve">iá quyền sử dụng đất ở nằm trong quy hoạch là : </w:t>
      </w:r>
      <w:r>
        <w:rPr>
          <w:rFonts w:ascii="Times New Roman" w:hAnsi="Times New Roman" w:eastAsia="Times New Roman" w:cs="Times New Roman"/>
          <w:b/>
          <w:color w:val="000000"/>
          <w:sz w:val="24"/>
        </w:rPr>
        <w:t xml:space="preserve">56.004.000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w:t>
      </w:r>
      <w:r>
        <w:rPr>
          <w:b/>
          <w:lang w:val="pt-BR"/>
        </w:rPr>
      </w:r>
      <w:r>
        <w:rPr>
          <w:b/>
          <w:lang w:val="pt-BR"/>
        </w:rP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0"/>
        <w:gridCol w:w="2112"/>
        <w:gridCol w:w="1559"/>
        <w:gridCol w:w="2075"/>
        <w:gridCol w:w="3028"/>
      </w:tblGrid>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112"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7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3028"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5747"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26(1), tờ bản đồ số: 09 có địa chỉ: Xã Tân Triều, huyện Thanh Trì, thành phố Hà Nội (nay là Phường Thanh Liệt, t</w:t>
            </w:r>
            <w:r>
              <w:rPr>
                <w:color w:val="000000"/>
              </w:rPr>
              <w:t xml:space="preserve">hành phố Hà Nội) theo Giấy chứng nhận quyền sử dụng đất, quyền sở hữu nhà ở và tài sản khác gắn liền với đất số: BU 734123, số vào sổ cấp giấy chứng nhận: 2498/2017/HĐTP/CH01962 do Uỷ ban nhân dân huyện Thanh Trì cấp ngày 14/1/2015 cho Ông Triệu Đình Chiến</w:t>
            </w:r>
            <w:r>
              <w:rPr>
                <w:b/>
                <w:bCs/>
              </w:rPr>
            </w:r>
            <w:r>
              <w:rPr>
                <w:b/>
                <w:bCs/>
              </w:rPr>
            </w:r>
          </w:p>
        </w:tc>
        <w:tc>
          <w:tcPr>
            <w:shd w:val="clear" w:color="000000" w:fill="ffffff"/>
            <w:tcBorders/>
            <w:tcW w:w="3028"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50"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112" w:type="dxa"/>
            <w:vAlign w:val="center"/>
            <w:textDirection w:val="lrTb"/>
            <w:noWrap w:val="false"/>
          </w:tcPr>
          <w:p>
            <w:pPr>
              <w:pBdr/>
              <w:spacing w:after="40" w:before="40" w:line="288" w:lineRule="auto"/>
              <w:ind/>
              <w:rPr/>
            </w:pPr>
            <w:r>
              <w:rPr>
                <w:b/>
                <w:bCs/>
              </w:rPr>
              <w:t xml:space="preserve">Đất ở nông thôn</w:t>
            </w: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25,4</w:t>
            </w:r>
            <w:r>
              <w:rPr>
                <w:color w:val="000000"/>
              </w:rPr>
            </w:r>
            <w:r>
              <w:rPr>
                <w:color w:val="000000"/>
              </w:rPr>
            </w:r>
          </w:p>
        </w:tc>
        <w:tc>
          <w:tcPr>
            <w:shd w:val="clear" w:color="000000" w:fill="ffffff"/>
            <w:tcBorders/>
            <w:tcW w:w="2075" w:type="dxa"/>
            <w:vAlign w:val="center"/>
            <w:textDirection w:val="lrTb"/>
            <w:noWrap w:val="false"/>
          </w:tcPr>
          <w:p>
            <w:pPr>
              <w:pBdr/>
              <w:spacing w:after="40" w:before="40" w:line="288" w:lineRule="auto"/>
              <w:ind/>
              <w:jc w:val="center"/>
              <w:rPr/>
            </w:pPr>
            <w:r>
              <w:rPr>
                <w:color w:val="000000" w:themeColor="text1"/>
              </w:rPr>
              <w:t xml:space="preserve">168.000.000</w:t>
            </w:r>
            <w:r/>
          </w:p>
        </w:tc>
        <w:tc>
          <w:tcPr>
            <w:shd w:val="clear" w:color="000000" w:fill="ffffff"/>
            <w:tcBorders/>
            <w:tcW w:w="3028" w:type="dxa"/>
            <w:vAlign w:val="center"/>
            <w:textDirection w:val="lrTb"/>
            <w:noWrap w:val="false"/>
          </w:tcPr>
          <w:p>
            <w:pPr>
              <w:pBdr/>
              <w:spacing w:after="40" w:before="40" w:line="288" w:lineRule="auto"/>
              <w:ind/>
              <w:jc w:val="center"/>
              <w:rPr/>
            </w:pPr>
            <w:r>
              <w:rPr>
                <w:color w:val="000000" w:themeColor="text1"/>
              </w:rPr>
              <w:t xml:space="preserve">4.267.200.000</w:t>
            </w:r>
            <w:r/>
          </w:p>
        </w:tc>
      </w:tr>
      <w:tr>
        <w:trPr>
          <w:trHeight w:val="20"/>
        </w:trPr>
        <w:tc>
          <w:tcPr>
            <w:shd w:val="clear" w:color="000000" w:fill="ffffff"/>
            <w:tcBorders/>
            <w:tcW w:w="750" w:type="dxa"/>
            <w:vAlign w:val="center"/>
            <w:vMerge w:val="restart"/>
            <w:textDirection w:val="lrTb"/>
            <w:noWrap w:val="false"/>
          </w:tcPr>
          <w:p>
            <w:pPr>
              <w:pBdr/>
              <w:spacing w:after="40" w:before="40" w:line="288" w:lineRule="auto"/>
              <w:ind/>
              <w:jc w:val="center"/>
              <w:rPr>
                <w:b/>
                <w:bCs/>
              </w:rPr>
            </w:pPr>
            <w:r>
              <w:rPr>
                <w:b/>
                <w:bCs/>
              </w:rPr>
              <w:t xml:space="preserve">2</w:t>
            </w:r>
            <w:r>
              <w:rPr>
                <w:b/>
                <w:bCs/>
              </w:rPr>
            </w:r>
            <w:r>
              <w:rPr>
                <w:b/>
                <w:bCs/>
              </w:rPr>
            </w:r>
          </w:p>
        </w:tc>
        <w:tc>
          <w:tcPr>
            <w:shd w:val="clear" w:color="000000" w:fill="ffffff"/>
            <w:tcBorders/>
            <w:tcW w:w="2112" w:type="dxa"/>
            <w:vAlign w:val="center"/>
            <w:vMerge w:val="restart"/>
            <w:textDirection w:val="lrTb"/>
            <w:noWrap w:val="false"/>
          </w:tcPr>
          <w:p>
            <w:pPr>
              <w:pBdr/>
              <w:spacing w:after="40" w:before="40" w:line="288" w:lineRule="auto"/>
              <w:ind/>
              <w:rPr>
                <w:b/>
                <w:bCs/>
              </w:rPr>
            </w:pPr>
            <w:r>
              <w:rPr>
                <w:b/>
                <w:bCs/>
              </w:rPr>
              <w:t xml:space="preserve">Đất ở nằm trong quy hoạch </w:t>
            </w:r>
            <w:r>
              <w:rPr>
                <w:b/>
                <w:bCs/>
              </w:rPr>
            </w:r>
            <w:r>
              <w:rPr>
                <w:b/>
                <w:bCs/>
              </w:rPr>
            </w:r>
          </w:p>
        </w:tc>
        <w:tc>
          <w:tcPr>
            <w:tcBorders/>
            <w:tcW w:w="1559"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6,3</w:t>
            </w:r>
            <w:r>
              <w:rPr>
                <w:color w:val="000000" w:themeColor="text1"/>
              </w:rPr>
            </w:r>
            <w:r>
              <w:rPr>
                <w:color w:val="000000" w:themeColor="text1"/>
              </w:rPr>
            </w:r>
          </w:p>
        </w:tc>
        <w:tc>
          <w:tcPr>
            <w:shd w:val="clear" w:color="000000" w:fill="ffffff"/>
            <w:tcBorders/>
            <w:tcW w:w="2075"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56.004.000</w:t>
            </w:r>
            <w:r>
              <w:rPr>
                <w:color w:val="000000" w:themeColor="text1"/>
              </w:rPr>
            </w:r>
            <w:r>
              <w:rPr>
                <w:color w:val="000000" w:themeColor="text1"/>
              </w:rPr>
            </w:r>
          </w:p>
        </w:tc>
        <w:tc>
          <w:tcPr>
            <w:shd w:val="clear" w:color="000000" w:fill="ffffff"/>
            <w:tcBorders/>
            <w:tcW w:w="3028"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352.825.200</w:t>
            </w:r>
            <w:r>
              <w:rPr>
                <w:color w:val="000000" w:themeColor="text1"/>
              </w:rPr>
            </w:r>
            <w:r>
              <w:rPr>
                <w:color w:val="000000" w:themeColor="text1"/>
              </w:rPr>
            </w:r>
          </w:p>
        </w:tc>
      </w:tr>
      <w:tr>
        <w:trPr>
          <w:trHeight w:val="20"/>
        </w:trPr>
        <w:tc>
          <w:tcPr>
            <w:gridSpan w:val="4"/>
            <w:tcBorders/>
            <w:tcW w:w="6497"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3028" w:type="dxa"/>
            <w:vAlign w:val="center"/>
            <w:textDirection w:val="lrTb"/>
            <w:noWrap/>
          </w:tcPr>
          <w:p>
            <w:pPr>
              <w:pBdr/>
              <w:spacing w:after="40" w:before="40" w:line="288" w:lineRule="auto"/>
              <w:ind/>
              <w:jc w:val="center"/>
              <w:rPr>
                <w:b/>
                <w:bCs/>
                <w:color w:val="000000"/>
              </w:rPr>
            </w:pPr>
            <w:r>
              <w:t xml:space="preserve">4.620.025.200</w:t>
            </w:r>
            <w:r>
              <w:rPr>
                <w:b/>
                <w:bCs/>
                <w:color w:val="000000"/>
              </w:rPr>
            </w:r>
            <w:r>
              <w:rPr>
                <w:b/>
                <w:bCs/>
                <w:color w:val="000000"/>
              </w:rPr>
            </w:r>
          </w:p>
        </w:tc>
      </w:tr>
      <w:tr>
        <w:trPr>
          <w:trHeight w:val="20"/>
        </w:trPr>
        <w:tc>
          <w:tcPr>
            <w:gridSpan w:val="4"/>
            <w:tcBorders/>
            <w:tcW w:w="6497"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3028" w:type="dxa"/>
            <w:vAlign w:val="center"/>
            <w:textDirection w:val="lrTb"/>
            <w:noWrap/>
          </w:tcPr>
          <w:p>
            <w:pPr>
              <w:pBdr/>
              <w:spacing w:after="40" w:before="40" w:line="288" w:lineRule="auto"/>
              <w:ind/>
              <w:jc w:val="center"/>
              <w:rPr>
                <w:b/>
                <w:bCs/>
                <w:color w:val="000000"/>
              </w:rPr>
            </w:pPr>
            <w:r>
              <w:rPr>
                <w:b/>
                <w:bCs/>
                <w:color w:val="000000"/>
              </w:rPr>
              <w:t xml:space="preserve">4.620.000.000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sáu trăm hai mươi triệu đồng</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Tại </w:t>
      </w:r>
      <w:r>
        <w:rPr>
          <w:rFonts w:ascii="Times New Roman" w:hAnsi="Times New Roman" w:eastAsia="Times New Roman" w:cs="Times New Roman"/>
          <w:color w:val="000000"/>
          <w:sz w:val="24"/>
        </w:rPr>
        <w:t xml:space="preserve">thời điểm khảo sát, trên đất có công trình trên đất có công trình nhà 9 tầng + 1 tum, kết cấu BTCT, tường xây gạch chịu lực, sàn lát gạch men, công trình được xây dựng năm 2022, ngoại quan khá. Công trình được xây dựng trên 2 thửa đất cùng chủ sử dụng. Côn</w:t>
      </w:r>
      <w:r>
        <w:rPr>
          <w:rFonts w:ascii="Times New Roman" w:hAnsi="Times New Roman" w:eastAsia="Times New Roman" w:cs="Times New Roman"/>
          <w:color w:val="000000"/>
          <w:sz w:val="24"/>
        </w:rPr>
        <w:t xml:space="preserve">g trình này chưa được chứng nhận trên GCN. Đồng thời tổ thẩm định cũng không nhận được bất kỳ hồ sơ pháp lý nào liên quan tới CTXD hiện có này. Do đó, theo đề nghị của ngân hàng/khách hàng, tổ thẩm định chỉ xác định giá trị quyền sử</w:t>
      </w:r>
      <w:r>
        <w:rPr>
          <w:rFonts w:ascii="Times New Roman" w:hAnsi="Times New Roman" w:eastAsia="Times New Roman" w:cs="Times New Roman"/>
          <w:color w:val="000000"/>
          <w:sz w:val="24"/>
        </w:rPr>
        <w:t xml:space="preserve"> dụng đất, không xác định giá trị của công trình xây dựng hiện có vào tổng giá trị nhưng vẫn coi công trình xây dựng là phần không thể tách rời của tài sản thẩm định. Kính đề nghị đơn vị sử dụng kết quả lưu ý</w:t>
      </w:r>
      <w:r>
        <w:rPr>
          <w:rFonts w:ascii="Times New Roman" w:hAnsi="Times New Roman" w:eastAsia="Times New Roman" w:cs="Times New Roman"/>
          <w:sz w:val="24"/>
        </w:rPr>
      </w:r>
      <w:r>
        <w:rPr>
          <w:rFonts w:ascii="Times New Roman" w:hAnsi="Times New Roman" w:eastAsia="Times New Roman" w:cs="Times New Roman"/>
          <w:sz w:val="24"/>
        </w:rPr>
      </w:r>
    </w:p>
    <w:p>
      <w:pPr>
        <w:pStyle w:val="1031"/>
        <w:numPr>
          <w:ilvl w:val="0"/>
          <w:numId w:val="5"/>
        </w:numPr>
        <w:pBdr/>
        <w:tabs>
          <w:tab w:val="left" w:leader="none" w:pos="993"/>
        </w:tabs>
        <w:spacing w:after="120" w:before="120" w:line="288" w:lineRule="auto"/>
        <w:ind w:hanging="357" w:left="357"/>
        <w:jc w:val="both"/>
        <w:rPr>
          <w:lang w:val="pt-BR"/>
        </w:rPr>
      </w:pP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Guland, xác định vị trí </w:t>
      </w:r>
      <w:r>
        <w:rPr>
          <w:rFonts w:ascii="Times New Roman" w:hAnsi="Times New Roman" w:eastAsia="Times New Roman" w:cs="Times New Roman"/>
          <w:color w:val="000000"/>
          <w:sz w:val="24"/>
        </w:rPr>
        <w:t xml:space="preserve">tài sản có 6,3m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thuộc quy hoạch đất giao thông.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 nhận </w:t>
      </w:r>
      <w:r>
        <w:rPr>
          <w:rFonts w:ascii="Times New Roman" w:hAnsi="Times New Roman" w:eastAsia="Times New Roman" w:cs="Times New Roman"/>
          <w:color w:val="000000"/>
          <w:sz w:val="24"/>
        </w:rPr>
        <w:t xml:space="preserve">rõ tình trạng quy hoạch thì kết quả thẩm định giá cần được xem xét, điều chỉnh phù hợp, đồng thời chúng tôi bảo lưu quyền xem xét lại kết quả thẩm định giá</w:t>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275/2026/0992/VFI-CT.48.A</w:t>
      </w:r>
      <w:r>
        <w:rPr>
          <w:color w:val="ff0000"/>
          <w:lang w:val="vi-VN"/>
        </w:rPr>
        <w:t xml:space="preserve"> </w:t>
      </w:r>
      <w:r>
        <w:rPr>
          <w:color w:val="000000" w:themeColor="text1"/>
        </w:rPr>
        <w:t xml:space="preserve">ngày 1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275/2026/0992/VFI-BC.48.A</w:t>
      </w:r>
      <w:r>
        <w:rPr>
          <w:i/>
          <w:lang w:val="pt-BR"/>
        </w:rPr>
        <w:t xml:space="preserve"> </w:t>
      </w:r>
      <w:r>
        <w:rPr>
          <w:i/>
          <w:lang w:val="pt-BR"/>
        </w:rPr>
        <w:t xml:space="preserve">1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72757" cy="208119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68451" name=""/>
                              <pic:cNvPicPr>
                                <a:picLocks noChangeAspect="1"/>
                              </pic:cNvPicPr>
                              <pic:nvPr/>
                            </pic:nvPicPr>
                            <pic:blipFill rotWithShape="1">
                              <a:blip r:embed="rId22"/>
                              <a:stretch/>
                            </pic:blipFill>
                            <pic:spPr bwMode="auto">
                              <a:xfrm flipH="0" flipV="0">
                                <a:off x="0" y="0"/>
                                <a:ext cx="2772756" cy="20811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8.33pt;height:163.8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00pt;height:150.0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275/2026/0992/VFI-BC.48.A</w:t>
      </w:r>
      <w:r>
        <w:rPr>
          <w:i/>
          <w:lang w:val="pt-BR"/>
        </w:rPr>
        <w:t xml:space="preserve"> </w:t>
      </w:r>
      <w:r>
        <w:rPr>
          <w:i/>
          <w:lang w:val="pt-BR"/>
        </w:rPr>
        <w:t xml:space="preserve">1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https://alonhadat.com.vn/ban-dat-tai-yen-xa-9-3-ty-70m2-mat-tien-4m-phap-ly-day-du-xay-ccmn-xuat-sac-18281992.html</w:t>
            </w:r>
            <w:r>
              <w:rPr>
                <w:color w:val="000000" w:themeColor="text1"/>
                <w:sz w:val="22"/>
                <w:szCs w:val="22"/>
              </w:rPr>
              <w:br/>
              <w:t xml:space="preserve">0948.787.939</w:t>
            </w:r>
            <w:r>
              <w:rPr>
                <w:sz w:val="22"/>
                <w:szCs w:val="22"/>
              </w:rPr>
              <w:t xml:space="preserve"> </w:t>
            </w:r>
            <w:r>
              <w:rPr>
                <w:sz w:val="22"/>
                <w:szCs w:val="22"/>
              </w:rPr>
              <w:br/>
              <w:t xml:space="preserve">(Nguyễn Thanh Tùng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Thanh Liệt, Thành phố Hà Nội, khoảng cách ra đường chính Tài sản cách đường Yên Xá 100mm, độ rộng đường trước mặt tài sản 2m, mặt tiền 1.86m, 20.972012021776315, 105.79490390919388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57297" cy="1593405"/>
                      <wp:effectExtent l="0" t="0" r="0" b="0"/>
                      <wp:docPr id="13" name=""/>
                      <wp:cNvGraphicFramePr/>
                      <a:graphic xmlns:a="http://schemas.openxmlformats.org/drawingml/2006/main">
                        <a:graphicData uri="http://schemas.openxmlformats.org/drawingml/2006/picture">
                          <pic:pic xmlns:pic="http://schemas.openxmlformats.org/drawingml/2006/picture">
                            <pic:nvPicPr>
                              <pic:cNvPr id="1978937966" name="" descr=""/>
                              <pic:cNvPicPr/>
                              <pic:nvPr/>
                            </pic:nvPicPr>
                            <pic:blipFill rotWithShape="1">
                              <a:blip r:embed="rId25"/>
                              <a:stretch/>
                            </pic:blipFill>
                            <pic:spPr bwMode="auto">
                              <a:xfrm flipH="0" flipV="0">
                                <a:off x="0" y="0"/>
                                <a:ext cx="2357297" cy="15934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5.61pt;height:125.46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77951" cy="1950593"/>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1377951" cy="195059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08.50pt;height:153.59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18028" cy="1873435"/>
                      <wp:effectExtent l="0" t="0" r="0" b="0"/>
                      <wp:docPr id="15" name=""/>
                      <wp:cNvGraphicFramePr/>
                      <a:graphic xmlns:a="http://schemas.openxmlformats.org/drawingml/2006/main">
                        <a:graphicData uri="http://schemas.openxmlformats.org/drawingml/2006/picture">
                          <pic:pic xmlns:pic="http://schemas.openxmlformats.org/drawingml/2006/picture">
                            <pic:nvPicPr>
                              <pic:cNvPr id="231264937" name="" descr=""/>
                              <pic:cNvPicPr/>
                              <pic:nvPr/>
                            </pic:nvPicPr>
                            <pic:blipFill rotWithShape="1">
                              <a:blip r:embed="rId27"/>
                              <a:stretch/>
                            </pic:blipFill>
                            <pic:spPr bwMode="auto">
                              <a:xfrm flipH="0" flipV="0">
                                <a:off x="0" y="0"/>
                                <a:ext cx="1718027" cy="18734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35.28pt;height:147.51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https://alonhadat.com.vn/ban-dat-tai-yen-xa-9-3-ty-70m2-mat-tien-4m-phap-ly-day-du-xay-ccmn-xuat-sac-18281992.html</w:t>
            </w:r>
            <w:r>
              <w:rPr>
                <w:color w:val="000000" w:themeColor="text1"/>
                <w:sz w:val="22"/>
                <w:szCs w:val="22"/>
              </w:rPr>
              <w:br/>
              <w:t xml:space="preserve">0948.787.939</w:t>
            </w:r>
            <w:r>
              <w:rPr>
                <w:sz w:val="22"/>
                <w:szCs w:val="22"/>
              </w:rPr>
              <w:t xml:space="preserve"> </w:t>
            </w:r>
            <w:r>
              <w:rPr>
                <w:sz w:val="22"/>
                <w:szCs w:val="22"/>
              </w:rPr>
              <w:br/>
              <w:t xml:space="preserve">(Nguyễn Thanh Tùng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Thanh Liệt, Thành phố Hà Nội, độ rộng đường trước mặt tài sản 3m, 20.971698296087215, 105.79490109666068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093769" cy="2151247"/>
                      <wp:effectExtent l="0" t="0" r="0" b="0"/>
                      <wp:docPr id="16" name=""/>
                      <wp:cNvGraphicFramePr/>
                      <a:graphic xmlns:a="http://schemas.openxmlformats.org/drawingml/2006/main">
                        <a:graphicData uri="http://schemas.openxmlformats.org/drawingml/2006/picture">
                          <pic:pic xmlns:pic="http://schemas.openxmlformats.org/drawingml/2006/picture">
                            <pic:nvPicPr>
                              <pic:cNvPr id="720116553" name="" descr=""/>
                              <pic:cNvPicPr/>
                              <pic:nvPr/>
                            </pic:nvPicPr>
                            <pic:blipFill rotWithShape="1">
                              <a:blip r:embed="rId28"/>
                              <a:stretch/>
                            </pic:blipFill>
                            <pic:spPr bwMode="auto">
                              <a:xfrm flipH="0" flipV="0">
                                <a:off x="0" y="0"/>
                                <a:ext cx="2093769" cy="21512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64.86pt;height:169.39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16090" cy="2128302"/>
                      <wp:effectExtent l="0" t="0" r="0" b="0"/>
                      <wp:docPr id="17" name=""/>
                      <wp:cNvGraphicFramePr/>
                      <a:graphic xmlns:a="http://schemas.openxmlformats.org/drawingml/2006/main">
                        <a:graphicData uri="http://schemas.openxmlformats.org/drawingml/2006/picture">
                          <pic:pic xmlns:pic="http://schemas.openxmlformats.org/drawingml/2006/picture">
                            <pic:nvPicPr>
                              <pic:cNvPr id="1182621593" name="" descr=""/>
                              <pic:cNvPicPr/>
                              <pic:nvPr/>
                            </pic:nvPicPr>
                            <pic:blipFill rotWithShape="1">
                              <a:blip r:embed="rId29"/>
                              <a:stretch/>
                            </pic:blipFill>
                            <pic:spPr bwMode="auto">
                              <a:xfrm flipH="0" flipV="0">
                                <a:off x="0" y="0"/>
                                <a:ext cx="1716090" cy="21283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35.13pt;height:167.58pt;mso-wrap-distance-left:0.00pt;mso-wrap-distance-top:0.00pt;mso-wrap-distance-right:0.00pt;mso-wrap-distance-bottom:0.00pt;z-index:1;" stroked="false">
                      <v:imagedata r:id="rId29"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068654" cy="2042479"/>
                      <wp:effectExtent l="0" t="0" r="0" b="0"/>
                      <wp:docPr id="18" name=""/>
                      <wp:cNvGraphicFramePr/>
                      <a:graphic xmlns:a="http://schemas.openxmlformats.org/drawingml/2006/main">
                        <a:graphicData uri="http://schemas.openxmlformats.org/drawingml/2006/picture">
                          <pic:pic xmlns:pic="http://schemas.openxmlformats.org/drawingml/2006/picture">
                            <pic:nvPicPr>
                              <pic:cNvPr id="272935224" name="" descr=""/>
                              <pic:cNvPicPr/>
                              <pic:nvPr/>
                            </pic:nvPicPr>
                            <pic:blipFill rotWithShape="1">
                              <a:blip r:embed="rId30"/>
                              <a:stretch/>
                            </pic:blipFill>
                            <pic:spPr bwMode="auto">
                              <a:xfrm flipH="0" flipV="0">
                                <a:off x="0" y="0"/>
                                <a:ext cx="2068653" cy="20424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62.89pt;height:160.83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https://www.nhatot.com/mua-ban-nha-dat-huyen-thanh-tri-ha-noi/132068138.htm</w:t>
            </w:r>
            <w:r>
              <w:rPr>
                <w:color w:val="000000" w:themeColor="text1"/>
                <w:sz w:val="22"/>
                <w:szCs w:val="22"/>
              </w:rPr>
              <w:br/>
            </w:r>
            <w:r>
              <w:rPr>
                <w:sz w:val="22"/>
                <w:szCs w:val="22"/>
              </w:rPr>
              <w:t xml:space="preserve">SĐT: </w:t>
            </w:r>
            <w:r>
              <w:rPr>
                <w:color w:val="000000" w:themeColor="text1"/>
                <w:sz w:val="22"/>
                <w:szCs w:val="22"/>
              </w:rPr>
              <w:t xml:space="preserve">0982089522</w:t>
            </w:r>
            <w:r>
              <w:rPr>
                <w:sz w:val="22"/>
                <w:szCs w:val="22"/>
              </w:rPr>
              <w:t xml:space="preserve"> </w:t>
            </w:r>
            <w:r>
              <w:rPr>
                <w:sz w:val="22"/>
                <w:szCs w:val="22"/>
              </w:rPr>
              <w:br/>
              <w:t xml:space="preserve">(Nguyễn Văn Tam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Thanh Liệt, Thành phố Hà Nội, khoảng cách ra đường chính Tài sản cách đường  Yên Xá khoảng 100mm, độ rộng đường trước mặt tài sản 2.5m, Tài sản cách đường  Yên Xá khoảng 100m, mặt tiền 1.5m, 20.969074132792915, 105.79650646857024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669"/>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25547" cy="1700040"/>
                      <wp:effectExtent l="0" t="0" r="0" b="0"/>
                      <wp:docPr id="19" name=""/>
                      <wp:cNvGraphicFramePr/>
                      <a:graphic xmlns:a="http://schemas.openxmlformats.org/drawingml/2006/main">
                        <a:graphicData uri="http://schemas.openxmlformats.org/drawingml/2006/picture">
                          <pic:pic xmlns:pic="http://schemas.openxmlformats.org/drawingml/2006/picture">
                            <pic:nvPicPr>
                              <pic:cNvPr id="484829924" name="" descr=""/>
                              <pic:cNvPicPr/>
                              <pic:nvPr/>
                            </pic:nvPicPr>
                            <pic:blipFill rotWithShape="1">
                              <a:blip r:embed="rId31"/>
                              <a:stretch/>
                            </pic:blipFill>
                            <pic:spPr bwMode="auto">
                              <a:xfrm flipH="0" flipV="0">
                                <a:off x="0" y="0"/>
                                <a:ext cx="2325547" cy="17000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3.11pt;height:133.86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79576" cy="1626904"/>
                      <wp:effectExtent l="0" t="0" r="0" b="0"/>
                      <wp:docPr id="20" name=""/>
                      <wp:cNvGraphicFramePr/>
                      <a:graphic xmlns:a="http://schemas.openxmlformats.org/drawingml/2006/main">
                        <a:graphicData uri="http://schemas.openxmlformats.org/drawingml/2006/picture">
                          <pic:pic xmlns:pic="http://schemas.openxmlformats.org/drawingml/2006/picture">
                            <pic:nvPicPr>
                              <pic:cNvPr id="2108138047" name="" descr=""/>
                              <pic:cNvPicPr/>
                              <pic:nvPr/>
                            </pic:nvPicPr>
                            <pic:blipFill rotWithShape="1">
                              <a:blip r:embed="rId32"/>
                              <a:stretch/>
                            </pic:blipFill>
                            <pic:spPr bwMode="auto">
                              <a:xfrm flipH="0" flipV="0">
                                <a:off x="0" y="0"/>
                                <a:ext cx="1679576" cy="16269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32.25pt;height:128.10pt;mso-wrap-distance-left:0.00pt;mso-wrap-distance-top:0.00pt;mso-wrap-distance-right:0.00pt;mso-wrap-distance-bottom:0.00pt;z-index:1;" stroked="false">
                      <v:imagedata r:id="rId32"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785797" cy="1706562"/>
                      <wp:effectExtent l="0" t="0" r="0" b="0"/>
                      <wp:docPr id="21" name=""/>
                      <wp:cNvGraphicFramePr/>
                      <a:graphic xmlns:a="http://schemas.openxmlformats.org/drawingml/2006/main">
                        <a:graphicData uri="http://schemas.openxmlformats.org/drawingml/2006/picture">
                          <pic:pic xmlns:pic="http://schemas.openxmlformats.org/drawingml/2006/picture">
                            <pic:nvPicPr>
                              <pic:cNvPr id="1841517150" name="" descr=""/>
                              <pic:cNvPicPr/>
                              <pic:nvPr/>
                            </pic:nvPicPr>
                            <pic:blipFill rotWithShape="1">
                              <a:blip r:embed="rId33"/>
                              <a:stretch/>
                            </pic:blipFill>
                            <pic:spPr bwMode="auto">
                              <a:xfrm flipH="0" flipV="0">
                                <a:off x="0" y="0"/>
                                <a:ext cx="1785797" cy="170656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40.61pt;height:134.37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rPr>
      </w:pPr>
      <w:r>
        <w:rPr>
          <w:b/>
          <w:bCs/>
          <w:iCs/>
          <w:lang w:val="pt-BR"/>
        </w:rPr>
        <w:t xml:space="preserve">GIẤY CHỨNG NHẬN QSDĐ</w:t>
      </w:r>
      <w:r>
        <w:rPr>
          <w:b/>
          <w:bCs/>
          <w:iCs/>
          <w:highlight w:val="none"/>
        </w:rPr>
      </w:r>
      <w:r>
        <w:rPr>
          <w:b/>
          <w:bCs/>
          <w:iCs/>
          <w:highlight w:val="none"/>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414580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613345" name=""/>
                        <pic:cNvPicPr>
                          <a:picLocks noChangeAspect="1"/>
                        </pic:cNvPicPr>
                        <pic:nvPr/>
                      </pic:nvPicPr>
                      <pic:blipFill rotWithShape="1">
                        <a:blip r:embed="rId34"/>
                        <a:srcRect l="0" t="8607" r="0" b="0"/>
                        <a:stretch/>
                      </pic:blipFill>
                      <pic:spPr bwMode="auto">
                        <a:xfrm flipH="0" flipV="0">
                          <a:off x="0" y="0"/>
                          <a:ext cx="6048374" cy="41458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326.44pt;mso-wrap-distance-left:0.00pt;mso-wrap-distance-top:0.00pt;mso-wrap-distance-right:0.00pt;mso-wrap-distance-bottom:0.00pt;z-index:1;" stroked="false">
                <v:imagedata r:id="rId34" o:title="" croptop="5641f" cropleft="0f" cropbottom="0f" cropright="0f"/>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rPr>
      </w:pPr>
      <w:r>
        <w:rPr>
          <w:iCs/>
          <w:highlight w:val="none"/>
          <w:lang w:val="pt-BR" w:bidi="pt-BR"/>
        </w:rPr>
      </w:r>
      <w:r>
        <mc:AlternateContent>
          <mc:Choice Requires="wpg">
            <w:drawing>
              <wp:inline xmlns:wp="http://schemas.openxmlformats.org/drawingml/2006/wordprocessingDrawing" distT="0" distB="0" distL="0" distR="0">
                <wp:extent cx="6048375" cy="4536281"/>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603551" name=""/>
                        <pic:cNvPicPr>
                          <a:picLocks noChangeAspect="1"/>
                        </pic:cNvPicPr>
                        <pic:nvPr/>
                      </pic:nvPicPr>
                      <pic:blipFill rotWithShape="1">
                        <a:blip r:embed="rId35"/>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357.19pt;mso-wrap-distance-left:0.00pt;mso-wrap-distance-top:0.00pt;mso-wrap-distance-right:0.00pt;mso-wrap-distance-bottom:0.00pt;z-index:1;" stroked="false">
                <v:imagedata r:id="rId35" o:title=""/>
                <o:lock v:ext="edit" rotation="t"/>
              </v:shape>
            </w:pict>
          </mc:Fallback>
        </mc:AlternateContent>
      </w:r>
      <w:r>
        <w:rPr>
          <w:lang w:val="pt-BR"/>
        </w:rPr>
      </w:r>
      <w:r>
        <w:rPr>
          <w:lang w:val="pt-BR"/>
        </w:rPr>
      </w:r>
    </w:p>
    <w:p>
      <w:pPr>
        <w:pBdr/>
        <w:spacing w:after="200" w:line="276" w:lineRule="auto"/>
        <w:ind/>
        <w:rPr>
          <w:lang w:val="pt-BR"/>
        </w:rPr>
      </w:pPr>
      <w:r>
        <w:rPr>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733523"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6" o:title=""/>
                <o:lock v:ext="edit" rotation="t"/>
              </v:shape>
            </w:pict>
          </mc:Fallback>
        </mc:AlternateContent>
      </w:r>
      <w:r>
        <w:rPr>
          <w:highlight w:val="none"/>
          <w:lang w:val="pt-BR" w:bidi="pt-BR"/>
        </w:rPr>
      </w:r>
      <w:r>
        <w:rPr>
          <w:highlight w:val="none"/>
          <w:lang w:val="pt-BR" w:bidi="pt-BR"/>
        </w:rPr>
      </w:r>
      <w:r>
        <w:rPr>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B8BDF9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5B8BDF9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pn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283</cp:revision>
  <dcterms:created xsi:type="dcterms:W3CDTF">2025-09-15T09:58:00Z</dcterms:created>
  <dcterms:modified xsi:type="dcterms:W3CDTF">2026-07-03T09:46:44Z</dcterms:modified>
</cp:coreProperties>
</file>