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397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397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275/2026/1161/VFI-CT.C01.A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TNHH TTS Ph</w:t>
                            </w:r>
                            <w:r>
                              <w:rPr>
                                <w:rFonts w:ascii="Times New Roman Bold" w:hAnsi="Times New Roman Bold"/>
                                <w:b/>
                                <w:color w:val="000000" w:themeColor="text1"/>
                                <w:lang w:val="pt-BR"/>
                              </w:rPr>
                              <w:t xml:space="preserve">ú Thọ</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gắn với công trình trên đất tại thửa đất số 160, tờ bản đồ số 109, địa chỉ: Tổ dân phố số 3, phường Sa Pa, thị xã Sa Pa, tỉnh Lào Cai </w:t>
                            </w:r>
                            <w:r>
                              <w:rPr>
                                <w:i/>
                                <w:iCs/>
                                <w:color w:val="000000"/>
                              </w:rPr>
                              <w:t xml:space="preserve">(nay là phư</w:t>
                            </w:r>
                            <w:r>
                              <w:rPr>
                                <w:i/>
                                <w:iCs/>
                                <w:color w:val="000000"/>
                              </w:rPr>
                              <w:t xml:space="preserve">ờng Sa Pa, tỉnh Lào Cai)</w:t>
                            </w:r>
                            <w:r>
                              <w:rPr>
                                <w:color w:val="000000"/>
                              </w:rPr>
                              <w:t xml:space="preserve"> theo giấy chứng nhận quyền sử dụng đất, quyền sở hữu nhà ở và tài sản gắn liền với đất số CP 091720; Số vào sổ cấp GCN CS 00729 do Sở tài nguyên và môi trường tỉnh Lào Cai cấp ngày 25/12/2019. Chủ sử dụng đất là bà Dư Thị Kim Loan.</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5.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275/2026/1161/VFI-CT.C01.A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TNHH TTS Ph</w:t>
                      </w:r>
                      <w:r>
                        <w:rPr>
                          <w:rFonts w:ascii="Times New Roman Bold" w:hAnsi="Times New Roman Bold"/>
                          <w:b/>
                          <w:color w:val="000000" w:themeColor="text1"/>
                          <w:lang w:val="pt-BR"/>
                        </w:rPr>
                        <w:t xml:space="preserve">ú Thọ</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gắn với công trình trên đất tại thửa đất số 160, tờ bản đồ số 109, địa chỉ: Tổ dân phố số 3, phường Sa Pa, thị xã Sa Pa, tỉnh Lào Cai </w:t>
                      </w:r>
                      <w:r>
                        <w:rPr>
                          <w:i/>
                          <w:iCs/>
                          <w:color w:val="000000"/>
                        </w:rPr>
                        <w:t xml:space="preserve">(nay là phư</w:t>
                      </w:r>
                      <w:r>
                        <w:rPr>
                          <w:i/>
                          <w:iCs/>
                          <w:color w:val="000000"/>
                        </w:rPr>
                        <w:t xml:space="preserve">ờng Sa Pa, tỉnh Lào Cai)</w:t>
                      </w:r>
                      <w:r>
                        <w:rPr>
                          <w:color w:val="000000"/>
                        </w:rPr>
                        <w:t xml:space="preserve"> theo giấy chứng nhận quyền sử dụng đất, quyền sở hữu nhà ở và tài sản gắn liền với đất số CP 091720; Số vào sổ cấp GCN CS 00729 do Sở tài nguyên và môi trường tỉnh Lào Cai cấp ngày 25/12/2019. Chủ sử dụng đất là bà Dư Thị Kim Loan.</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4-24</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25-28</w:t>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29-39</w:t>
            </w:r>
            <w:r>
              <w:rPr>
                <w:b/>
                <w:bCs/>
              </w:rPr>
            </w:r>
            <w:r>
              <w:rPr>
                <w:b/>
                <w:bCs/>
              </w:rPr>
            </w:r>
          </w:p>
        </w:tc>
      </w:tr>
    </w:tbl>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29"/>
        <w:gridCol w:w="1843"/>
        <w:gridCol w:w="12543"/>
      </w:tblGrid>
      <w:tr>
        <w:trPr>
          <w:trHeight w:val="1152"/>
        </w:trPr>
        <w:tc>
          <w:tcPr>
            <w:gridSpan w:val="2"/>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543"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4385"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 </w:t>
            </w:r>
            <w:r>
              <w:rPr>
                <w:rStyle w:val="1029"/>
                <w:rFonts w:ascii="Times New Roman" w:hAnsi="Times New Roman"/>
                <w:color w:val="000000" w:themeColor="text1"/>
                <w:lang w:val="pt-BR"/>
              </w:rPr>
              <w:t xml:space="preserve">275/2026/1161/VFI-CT.C01.A                                            </w:t>
            </w: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29 tháng 7 năm 2026</w:t>
            </w:r>
            <w:r>
              <w:rPr>
                <w:color w:val="000000" w:themeColor="text1"/>
                <w:sz w:val="24"/>
                <w:szCs w:val="24"/>
              </w:rPr>
            </w:r>
            <w:r>
              <w:rPr>
                <w:color w:val="000000" w:themeColor="text1"/>
                <w:sz w:val="24"/>
                <w:szCs w:val="24"/>
              </w:rPr>
            </w:r>
          </w:p>
        </w:tc>
      </w:tr>
    </w:tbl>
    <w:p>
      <w:pPr>
        <w:pStyle w:val="1030"/>
        <w:pBdr/>
        <w:spacing w:after="120" w:before="200" w:line="288" w:lineRule="auto"/>
        <w:ind/>
        <w:jc w:val="center"/>
        <w:rPr>
          <w:rStyle w:val="1029"/>
          <w:rFonts w:ascii="Times New Roman" w:hAnsi="Times New Roman"/>
          <w:b/>
          <w:bCs/>
          <w:color w:val="auto"/>
          <w:sz w:val="30"/>
          <w:szCs w:val="30"/>
          <w:lang w:val="vi-VN"/>
        </w:rPr>
      </w:pPr>
      <w:r>
        <w:rPr>
          <w:rStyle w:val="1029"/>
          <w:rFonts w:ascii="Times New Roman" w:hAnsi="Times New Roman"/>
          <w:b/>
          <w:bCs/>
          <w:color w:val="auto"/>
          <w:sz w:val="30"/>
          <w:szCs w:val="30"/>
          <w:lang w:val="vi-VN"/>
        </w:rPr>
        <w:t xml:space="preserve">CHỨNG THƯ THẨM ĐỊNH GIÁ</w:t>
      </w:r>
      <w:r>
        <w:rPr>
          <w:rStyle w:val="1029"/>
          <w:rFonts w:ascii="Times New Roman" w:hAnsi="Times New Roman"/>
          <w:b/>
          <w:bCs/>
          <w:color w:val="auto"/>
          <w:sz w:val="30"/>
          <w:szCs w:val="30"/>
          <w:lang w:val="vi-VN"/>
        </w:rPr>
      </w:r>
      <w:r>
        <w:rPr>
          <w:rStyle w:val="1029"/>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TTS Phú Thọ</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275/2026/1161/VFI-HĐTĐ.C01.A</w:t>
      </w:r>
      <w:r>
        <w:rPr>
          <w:spacing w:val="-4"/>
          <w:lang w:val="vi-VN"/>
        </w:rPr>
        <w:t xml:space="preserve"> ký ngày </w:t>
      </w:r>
      <w:r>
        <w:rPr>
          <w:color w:val="000000" w:themeColor="text1"/>
          <w:spacing w:val="-4"/>
        </w:rPr>
        <w:t xml:space="preserve">24 tháng 7 năm 2026</w:t>
      </w:r>
      <w:r>
        <w:rPr>
          <w:spacing w:val="-4"/>
          <w:lang w:val="vi-VN"/>
        </w:rPr>
        <w:t xml:space="preserve"> </w:t>
      </w:r>
      <w:r>
        <w:rPr>
          <w:spacing w:val="-4"/>
          <w:lang w:val="vi-VN"/>
        </w:rPr>
        <w:t xml:space="preserve">giữa </w:t>
      </w:r>
      <w:r>
        <w:rPr>
          <w:color w:val="000000" w:themeColor="text1"/>
          <w:spacing w:val="-4"/>
        </w:rPr>
        <w:t xml:space="preserve">Công ty TNHH TTS Phú Thọ</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275/2026/1161/VFI-BC.C01.A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29 tháng 7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CÔNG TY TNHH TTS PHÚ THỌ</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2500222300</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Ông Trương Trọng Sửu</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Chức vụ</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Giám đốc</w:t>
            </w:r>
            <w:r>
              <w:rPr>
                <w:color w:val="ff0000"/>
                <w:lang w:val="pt-BR"/>
              </w:rPr>
            </w:r>
            <w:r>
              <w:rPr>
                <w:color w:val="ff0000"/>
                <w:lang w:val="pt-BR"/>
              </w:rPr>
            </w:r>
          </w:p>
        </w:tc>
      </w:tr>
      <w:tr>
        <w:trPr>
          <w:trHeight w:val="20"/>
        </w:trPr>
        <w:tc>
          <w:tcPr>
            <w:shd w:val="clear" w:color="ffffff" w:fill="ffffff"/>
            <w:tcBorders/>
            <w:tcW w:w="1109" w:type="pct"/>
            <w:vAlign w:val="center"/>
            <w:vMerge w:val="restart"/>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ffffff" w:fill="ffffff"/>
            <w:tcBorders/>
            <w:tcW w:w="248" w:type="pct"/>
            <w:vAlign w:val="center"/>
            <w:vMerge w:val="restart"/>
            <w:textDirection w:val="lrTb"/>
            <w:noWrap w:val="false"/>
          </w:tcPr>
          <w:p>
            <w:pPr>
              <w:pBdr/>
              <w:spacing w:after="40" w:before="40" w:line="276" w:lineRule="auto"/>
              <w:ind/>
              <w:jc w:val="center"/>
              <w:rPr>
                <w:bCs/>
                <w:color w:val="000000"/>
                <w:lang w:val="pt-BR"/>
              </w:rPr>
            </w:pPr>
            <w:r>
              <w:rPr>
                <w:bCs/>
                <w:color w:val="000000"/>
                <w:lang w:val="pt-BR"/>
              </w:rPr>
              <w:t xml:space="preserve">:</w:t>
            </w:r>
            <w:r>
              <w:rPr>
                <w:bCs/>
                <w:color w:val="000000"/>
                <w:lang w:val="pt-BR"/>
              </w:rPr>
            </w:r>
            <w:r>
              <w:rPr>
                <w:bCs/>
                <w:color w:val="000000"/>
                <w:lang w:val="pt-BR"/>
              </w:rPr>
            </w:r>
          </w:p>
        </w:tc>
        <w:tc>
          <w:tcPr>
            <w:tcBorders/>
            <w:tcW w:w="3643" w:type="pct"/>
            <w:vAlign w:val="center"/>
            <w:vMerge w:val="restart"/>
            <w:textDirection w:val="lrTb"/>
            <w:noWrap w:val="false"/>
          </w:tcPr>
          <w:p>
            <w:pPr>
              <w:pBdr/>
              <w:spacing w:after="40" w:before="40" w:line="276" w:lineRule="auto"/>
              <w:ind/>
              <w:jc w:val="both"/>
              <w:rPr>
                <w:color w:val="000000" w:themeColor="text1"/>
                <w:lang w:val="vi-VN"/>
              </w:rPr>
            </w:pPr>
            <w:r>
              <w:rPr>
                <w:color w:val="000000" w:themeColor="text1"/>
                <w:lang w:val="vi-VN"/>
              </w:rPr>
              <w:t xml:space="preserve">Hồ Xuân Hương, xã Vĩnh Tường, tỉnh Phú Thọ</w:t>
            </w:r>
            <w:r>
              <w:rPr>
                <w:color w:val="000000" w:themeColor="text1"/>
                <w:lang w:val="vi-VN"/>
              </w:rPr>
            </w:r>
            <w:r>
              <w:rPr>
                <w:color w:val="000000" w:themeColor="text1"/>
                <w:lang w:val="vi-VN"/>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gắn với công trình trên đất tại thửa đất số 160, tờ bản đồ số 109, địa chỉ: Tổ dân phố số 3, phường Sa Pa, thị xã Sa Pa, tỉnh Lào Cai </w:t>
      </w:r>
      <w:r>
        <w:rPr>
          <w:i/>
          <w:iCs/>
          <w:color w:val="000000" w:themeColor="text1"/>
        </w:rPr>
        <w:t xml:space="preserve">(nay là phư</w:t>
      </w:r>
      <w:r>
        <w:rPr>
          <w:i/>
          <w:iCs/>
          <w:color w:val="000000" w:themeColor="text1"/>
        </w:rPr>
        <w:t xml:space="preserve">ờng Sa Pa, tỉnh Lào Cai)</w:t>
      </w:r>
      <w:r>
        <w:rPr>
          <w:color w:val="000000" w:themeColor="text1"/>
        </w:rPr>
        <w:t xml:space="preserve"> theo giấy chứng nhận quyền sử dụng đất, quyền sở hữu nhà ở và tài sản gắn liền với đất số CP 091720; Số vào sổ cấp GCN CS 00729 do Sở tài nguyên và môi trường tỉnh Lào Cai cấp ngày 25/12/2019. Chủ sử dụng đất là bà Dư Thị Kim Loan.</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07/2026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07/2026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gắn với công trình trên đất tại thửa đất số 160, tờ bản đồ số 109, địa chỉ: Tổ dân phố số 3, phường Sa Pa, thị xã Sa Pa, tỉnh Lào Cai</w:t>
            </w:r>
            <w:r>
              <w:rPr>
                <w:i/>
                <w:iCs/>
                <w:color w:val="000000"/>
              </w:rPr>
              <w:t xml:space="preserve"> (nay là phư</w:t>
            </w:r>
            <w:r>
              <w:rPr>
                <w:i/>
                <w:iCs/>
                <w:color w:val="000000"/>
              </w:rPr>
              <w:t xml:space="preserve">ờng Sa Pa, tỉnh Lào Cai) </w:t>
            </w:r>
            <w:r>
              <w:rPr>
                <w:color w:val="000000"/>
              </w:rPr>
              <w:t xml:space="preserve">theo giấy chứng nhận quyền sử dụng đất, quyền sở hữu nhà ở và tài sản gắn liền với đất số CP 091720; Số vào sổ cấp GCN CS 00729 do Sở tài nguyên và môi trường tỉnh Lào Cai cấp ngày 25/12/2019. Chủ sử dụng đất là bà Dư Thị Kim Loan.</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100</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155.000.000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15.500.000.000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15.500.000.000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lăm tỷ năm trăm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rPr>
          <w:lang w:val="pt-BR"/>
        </w:rPr>
      </w:pPr>
      <w:r>
        <w:rPr>
          <w:b/>
          <w:bCs/>
          <w:lang w:val="vi-VN" w:bidi="vi-VN"/>
        </w:rPr>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highlight w:val="none"/>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highlight w:val="none"/>
          <w:lang w:val="vi-VN"/>
        </w:rPr>
      </w:r>
      <w:r>
        <w:rPr>
          <w:spacing w:val="-6"/>
          <w:highlight w:val="none"/>
          <w:lang w:val="vi-VN"/>
        </w:rPr>
      </w:r>
    </w:p>
    <w:p>
      <w:pPr>
        <w:pBdr/>
        <w:tabs>
          <w:tab w:val="left" w:leader="none" w:pos="5202"/>
        </w:tabs>
        <w:spacing w:after="120" w:before="120" w:line="276" w:lineRule="auto"/>
        <w:ind w:firstLine="431"/>
        <w:jc w:val="both"/>
        <w:rPr>
          <w:spacing w:val="-6"/>
          <w:lang w:val="vi-VN"/>
        </w:rPr>
      </w:pPr>
      <w:r>
        <w:rPr>
          <w:spacing w:val="-6"/>
          <w:highlight w:val="none"/>
          <w:lang w:val="vi-VN" w:bidi="vi-VN"/>
        </w:rPr>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29"/>
        <w:gridCol w:w="1843"/>
        <w:gridCol w:w="567"/>
        <w:gridCol w:w="11979"/>
      </w:tblGrid>
      <w:tr>
        <w:trPr>
          <w:trHeight w:val="1843"/>
        </w:trPr>
        <w:tc>
          <w:tcPr>
            <w:gridSpan w:val="2"/>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1254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3"/>
            <w:shd w:val="clear" w:color="auto" w:fill="auto"/>
            <w:tcBorders/>
            <w:tcMar>
              <w:left w:w="108" w:type="dxa"/>
              <w:top w:w="0" w:type="dxa"/>
              <w:right w:w="108" w:type="dxa"/>
              <w:bottom w:w="0" w:type="dxa"/>
            </w:tcMar>
            <w:tcW w:w="14389"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 </w:t>
            </w:r>
            <w:r>
              <w:rPr>
                <w:rStyle w:val="1029"/>
                <w:rFonts w:ascii="Times New Roman" w:hAnsi="Times New Roman"/>
                <w:color w:val="000000" w:themeColor="text1"/>
                <w:lang w:val="pt-BR"/>
              </w:rPr>
              <w:t xml:space="preserve">275/2026/1161/VFI-BC.C01.A                                              </w:t>
            </w: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29 tháng 7 năm 2026</w:t>
            </w:r>
            <w:r>
              <w:rPr>
                <w:color w:val="000000" w:themeColor="text1"/>
                <w:sz w:val="24"/>
                <w:szCs w:val="24"/>
              </w:rPr>
            </w:r>
            <w:r>
              <w:rPr>
                <w:color w:val="000000" w:themeColor="text1"/>
                <w:sz w:val="24"/>
                <w:szCs w:val="24"/>
              </w:rPr>
            </w:r>
          </w:p>
        </w:tc>
      </w:tr>
      <w:tr>
        <w:trPr>
          <w:gridBefore w:val="1"/>
          <w:trHeight w:val="84"/>
        </w:trPr>
        <w:tc>
          <w:tcPr>
            <w:gridSpan w:val="2"/>
            <w:shd w:val="clear" w:color="auto" w:fill="auto"/>
            <w:tcBorders/>
            <w:tcMar>
              <w:left w:w="108" w:type="dxa"/>
              <w:top w:w="0" w:type="dxa"/>
              <w:right w:w="108" w:type="dxa"/>
              <w:bottom w:w="0" w:type="dxa"/>
            </w:tcMar>
            <w:tcW w:w="2409" w:type="dxa"/>
            <w:textDirection w:val="lrTb"/>
            <w:noWrap w:val="false"/>
          </w:tcPr>
          <w:p>
            <w:pPr>
              <w:pStyle w:val="1030"/>
              <w:pBdr/>
              <w:spacing w:after="60"/>
              <w:ind/>
              <w:rPr>
                <w:rStyle w:val="1029"/>
                <w:rFonts w:ascii="Times New Roman" w:hAnsi="Times New Roman"/>
                <w:color w:val="000000" w:themeColor="text1"/>
                <w:lang w:val="pt-BR"/>
              </w:rPr>
            </w:pPr>
            <w:r>
              <w:rPr>
                <w:rStyle w:val="1029"/>
                <w:rFonts w:ascii="Times New Roman" w:hAnsi="Times New Roman"/>
                <w:color w:val="000000" w:themeColor="text1"/>
                <w:lang w:val="pt-BR"/>
              </w:rPr>
            </w:r>
            <w:r>
              <w:rPr>
                <w:rStyle w:val="1029"/>
                <w:rFonts w:ascii="Times New Roman" w:hAnsi="Times New Roman"/>
                <w:color w:val="000000" w:themeColor="text1"/>
                <w:lang w:val="pt-BR"/>
              </w:rPr>
            </w:r>
            <w:r>
              <w:rPr>
                <w:rStyle w:val="1029"/>
                <w:rFonts w:ascii="Times New Roman" w:hAnsi="Times New Roman"/>
                <w:color w:val="000000" w:themeColor="text1"/>
                <w:lang w:val="pt-BR"/>
              </w:rPr>
            </w:r>
          </w:p>
        </w:tc>
        <w:tc>
          <w:tcPr>
            <w:shd w:val="clear" w:color="auto" w:fill="auto"/>
            <w:tcBorders/>
            <w:tcMar>
              <w:left w:w="108" w:type="dxa"/>
              <w:top w:w="0" w:type="dxa"/>
              <w:right w:w="108" w:type="dxa"/>
              <w:bottom w:w="0" w:type="dxa"/>
            </w:tcMar>
            <w:tcW w:w="11979" w:type="dxa"/>
            <w:textDirection w:val="lrTb"/>
            <w:noWrap w:val="false"/>
          </w:tcPr>
          <w:p>
            <w:pPr>
              <w:pStyle w:val="1030"/>
              <w:pBdr/>
              <w:spacing w:after="60"/>
              <w:ind w:right="-56"/>
              <w:rPr>
                <w:rStyle w:val="1029"/>
                <w:rFonts w:ascii="Times New Roman" w:hAnsi="Times New Roman"/>
                <w:i/>
                <w:color w:val="auto"/>
              </w:rPr>
            </w:pPr>
            <w:r>
              <w:rPr>
                <w:rFonts w:ascii="Times New Roman" w:hAnsi="Times New Roman"/>
                <w:i/>
                <w:color w:val="auto"/>
              </w:rPr>
            </w:r>
            <w:r>
              <w:rPr>
                <w:rStyle w:val="1029"/>
                <w:rFonts w:ascii="Times New Roman" w:hAnsi="Times New Roman"/>
                <w:i/>
                <w:color w:val="auto"/>
              </w:rPr>
            </w:r>
            <w:r>
              <w:rPr>
                <w:rStyle w:val="1029"/>
                <w:rFonts w:ascii="Times New Roman" w:hAnsi="Times New Roman"/>
                <w:i/>
                <w:color w:val="auto"/>
              </w:rPr>
            </w:r>
          </w:p>
        </w:tc>
      </w:tr>
    </w:tbl>
    <w:p>
      <w:pPr>
        <w:pStyle w:val="1030"/>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275/2026/1161/VFI-CT.C01.A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29 tháng 7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CÔNG TY TNHH TTS PHÚ THỌ</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2500222300</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Đại diện</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val="0"/>
                <w:bCs w:val="0"/>
              </w:rPr>
            </w:pPr>
            <w:r>
              <w:rPr>
                <w:color w:val="000000" w:themeColor="text1"/>
                <w:lang w:val="vi-VN"/>
              </w:rPr>
              <w:t xml:space="preserve">Ông Trương Trọng Sửu</w:t>
            </w:r>
            <w:r>
              <w:rPr>
                <w:b/>
                <w:bCs/>
              </w:rPr>
              <w:t xml:space="preserve">            </w:t>
            </w:r>
            <w:r>
              <w:rPr>
                <w:b w:val="0"/>
                <w:bCs w:val="0"/>
              </w:rPr>
              <w:t xml:space="preserve">Chức vụ: Giám đốc</w:t>
            </w:r>
            <w:r>
              <w:rPr>
                <w:b w:val="0"/>
                <w:bCs w:val="0"/>
              </w:rPr>
            </w:r>
            <w:r>
              <w:rPr>
                <w:b w:val="0"/>
                <w:bCs w:val="0"/>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000000" w:themeColor="text1"/>
                <w:lang w:val="vi-VN"/>
              </w:rPr>
            </w:pPr>
            <w:r>
              <w:rPr>
                <w:color w:val="000000" w:themeColor="text1"/>
                <w:lang w:val="vi-VN"/>
              </w:rPr>
              <w:t xml:space="preserve">Hồ Xuân Hương, xã Vĩnh Tường, tỉnh Phú Thọ</w:t>
            </w:r>
            <w:r>
              <w:rPr>
                <w:color w:val="000000" w:themeColor="text1"/>
                <w:lang w:val="vi-VN"/>
              </w:rPr>
            </w:r>
            <w:r>
              <w:rPr>
                <w:color w:val="000000" w:themeColor="text1"/>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gắn với công trình trên đất tại thửa đất số 160, tờ bản đồ số 109, địa chỉ: Tổ dân phố số 3, phường Sa Pa, thị xã Sa Pa, tỉnh Lào Cai </w:t>
            </w:r>
            <w:r>
              <w:rPr>
                <w:bCs/>
                <w:i/>
                <w:iCs/>
                <w:color w:val="000000" w:themeColor="text1"/>
                <w:lang w:val="pt-BR"/>
              </w:rPr>
              <w:t xml:space="preserve">(nay là phư</w:t>
            </w:r>
            <w:r>
              <w:rPr>
                <w:bCs/>
                <w:i/>
                <w:iCs/>
                <w:color w:val="000000" w:themeColor="text1"/>
                <w:lang w:val="pt-BR"/>
              </w:rPr>
              <w:t xml:space="preserve">ờng Sa Pa, tỉnh Lào Cai)</w:t>
            </w:r>
            <w:r>
              <w:rPr>
                <w:bCs/>
                <w:color w:val="000000" w:themeColor="text1"/>
                <w:lang w:val="pt-BR"/>
              </w:rPr>
              <w:t xml:space="preserve"> theo giấy chứng nhận quyền sử dụng đất, quyền sở hữu nhà ở và tài sản gắn liền với đất số CP 091720; Số vào sổ cấp GCN CS 00729 do Sở tài nguyên và môi trường tỉnh Lào Cai cấp ngày 25/12/2019. Chủ sử dụng đất là bà Dư Thị Kim Loan.</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07/2026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Sa Pa, Tỉnh Lào Cai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22.336888888889, 103.84638888889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24/07/2026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1"/>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1"/>
        <w:numPr>
          <w:ilvl w:val="0"/>
          <w:numId w:val="1"/>
        </w:numPr>
        <w:pBdr/>
        <w:spacing w:after="120" w:before="120" w:line="276" w:lineRule="auto"/>
        <w:ind/>
        <w:jc w:val="both"/>
        <w:rPr>
          <w:spacing w:val="-4"/>
          <w:lang w:val="pt-BR"/>
        </w:rPr>
      </w:pPr>
      <w:r>
        <w:rPr>
          <w:bCs/>
          <w:spacing w:val="-4"/>
          <w:highlight w:val="none"/>
          <w:lang w:val="pt-BR" w:bidi="pt-BR"/>
        </w:rPr>
      </w:r>
      <w:r>
        <w:rPr>
          <w:rFonts w:ascii="Times New Roman" w:hAnsi="Times New Roman" w:eastAsia="Times New Roman" w:cs="Times New Roman"/>
          <w:color w:val="000000"/>
          <w:sz w:val="24"/>
        </w:rPr>
        <w:t xml:space="preserve">Quyết định số 425/QĐ-BXD ngày 30/3/2026 của Bộ Xây dựng về việc công bố suất vốn đầu tư xây dựng công trình và giá xây dựng tổng hợp bộ phận kết cấu công trình năm 2025</w:t>
      </w:r>
      <w:r>
        <w:rPr>
          <w:spacing w:val="-4"/>
          <w:lang w:val="pt-BR"/>
        </w:rPr>
      </w:r>
      <w:r>
        <w:rPr>
          <w:spacing w:val="-4"/>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1"/>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gắn liền với đất số CP 091720; Số vào sổ cấp GCN CS 00729 do Sở tài nguyên và môi trường tỉnh Lào Cai cấp ngày 25/12/2019. Chủ sử dụng đất là bà Dư Thị Kim Loan</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275/2026/1161/VFI-HĐTĐ.C01.A ngày 24/07/2026 giữa Công ty TNHH TTS Phú Thọ với Công ty Cổ phần Thẩm định và Đầu tư Tài chính Hoa Sen.</w:t>
      </w:r>
      <w:r>
        <w:rPr>
          <w:b/>
          <w:lang w:val="pt-BR"/>
        </w:rPr>
      </w:r>
      <w:r>
        <w:rPr>
          <w:b/>
          <w:lang w:val="pt-BR"/>
        </w:rPr>
      </w:r>
    </w:p>
    <w:p>
      <w:pPr>
        <w:pStyle w:val="103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Cs/>
        </w:rPr>
      </w:pPr>
      <w:r>
        <w:rPr>
          <w:lang w:val="pt-BR"/>
        </w:rPr>
        <w:tab/>
      </w:r>
      <w:r>
        <w:rPr>
          <w:b/>
          <w:bCs/>
          <w:shd w:val="clear" w:color="auto" w:fill="ffffff"/>
        </w:rPr>
        <w:t xml:space="preserve">Tổng quan thị trường bất động sản Lào Cai năm 2026</w:t>
        <w:br/>
      </w:r>
      <w:r>
        <w:rPr>
          <w:shd w:val="clear" w:color="auto" w:fill="ffffff"/>
        </w:rPr>
        <w:t xml:space="preserve">Bất động sản Lào Cai </w:t>
      </w:r>
      <w:r>
        <w:rPr>
          <w:shd w:val="clear" w:color="auto" w:fill="ffffff"/>
        </w:rPr>
        <w:t xml:space="preserve">năm 2026 không vận động theo một mặt bằng chung: Sa Pa phụ thuộc sức khỏe du lịch, khu vực Lào Cai - Kim Thành gắn với thương mại biên giới, còn các địa bàn mới sau sáp nhập có nhịp đô thị hóa và nhu cầu ở thực riêng. Bài viết này phân tích từng khu vực, c</w:t>
      </w:r>
      <w:r>
        <w:rPr>
          <w:shd w:val="clear" w:color="auto" w:fill="ffffff"/>
        </w:rPr>
        <w:t xml:space="preserve">hỉ rõ cơ hội, giới hạn và những việc phải kiểm tra trước khi giao dịch.</w:t>
        <w:br/>
      </w:r>
      <w:r>
        <w:rPr>
          <w:iCs/>
        </w:rPr>
      </w:r>
      <w:r>
        <w:rPr>
          <w:iCs/>
        </w:rPr>
      </w:r>
    </w:p>
    <w:p>
      <w:pPr>
        <w:pBdr/>
        <w:tabs>
          <w:tab w:val="left" w:leader="none" w:pos="426"/>
        </w:tabs>
        <w:spacing w:after="120" w:before="120" w:line="276" w:lineRule="auto"/>
        <w:ind/>
        <w:rPr>
          <w:bCs/>
          <w:i/>
          <w:lang w:val="pt-BR"/>
        </w:rPr>
      </w:pPr>
      <w:r>
        <w:rPr>
          <w:shd w:val="clear" w:color="auto" w:fill="ffffff"/>
        </w:rPr>
        <w:t xml:space="preserve">Cập nhật tháng 6/2026. Nếu chỉ nhìn các tin rao, người đọc rất dễ có cảm giác thị trường đang tăng đồng loạt. Thực tế tại Lào Cai lại khác: có nơi một căn nhà phố được hỏi mua vì kinh</w:t>
      </w:r>
      <w:r>
        <w:rPr>
          <w:shd w:val="clear" w:color="auto" w:fill="ffffff"/>
        </w:rPr>
        <w:t xml:space="preserve"> doanh được ngay, nhưng cách đó vài kilômét một thửa đất có tầm nhìn đẹp vẫn nằm lâu vì đường vào, mục đích sử dụng đất hoặc khả năng khai thác chưa rõ. Bởi vậy, bài viết này không dùng giá chào bán để kết luận “sốt” hay “đóng băng”, mà nhìn thị trường từ </w:t>
      </w:r>
      <w:r>
        <w:rPr>
          <w:shd w:val="clear" w:color="auto" w:fill="ffffff"/>
        </w:rPr>
        <w:t xml:space="preserve">nhu cầu sử dụng thật, khả năng tạo dòng tiền, hạ tầng đã hiện hữu và hồ sơ pháp lý của từng tài sản.</w:t>
        <w:br/>
        <w:br/>
        <w:t xml:space="preserve">Năm 2026 cũng là năm cần đổi cách đọc địa danh. Sau khi toàn bộ tỉnh Yên Bái và tỉnh Lào Cai cũ được sắp xếp thành tỉnh Lào Cai mới theo Nghị quyết 202/20</w:t>
      </w:r>
      <w:r>
        <w:rPr>
          <w:shd w:val="clear" w:color="auto" w:fill="ffffff"/>
        </w:rPr>
        <w:t xml:space="preserve">25/QH15, phạm vi thị trường rộng hơn đáng kể. Trong bài, các tên quen thuộc như “thành phố Lào Cai”, “huyện Bát Xát” hay “Yên Bái cũ” vẫn được dùng để người mua dễ hình dung vị trí; khi kiểm tra giấy tờ, phải đối chiếu tên đơn vị hành chính hiện hành trên </w:t>
      </w:r>
      <w:r>
        <w:rPr>
          <w:shd w:val="clear" w:color="auto" w:fill="ffffff"/>
        </w:rPr>
        <w:t xml:space="preserve">hồ sơ và cơ sở dữ liệu đất đai.</w:t>
        <w:br/>
        <w:br/>
      </w:r>
      <w:r>
        <w:rPr>
          <w:b/>
          <w:bCs/>
          <w:shd w:val="clear" w:color="auto" w:fill="ffffff"/>
        </w:rPr>
        <w:t xml:space="preserve">Bất động sản Lào Cai năm 2026 đang ở trạng thái nào?</w:t>
        <w:br/>
      </w:r>
      <w:r>
        <w:rPr>
          <w:shd w:val="clear" w:color="auto" w:fill="ffffff"/>
        </w:rPr>
        <w:t xml:space="preserve">Nhận định ngắn gọn là: thị trường có giao dịch nhưng phân hóa sâu. Nhà ở phục vụ cư dân đô thị, mặt bằng có khách thuê thật, cơ sở lưu trú đang vận hành và tài sản pháp l</w:t>
      </w:r>
      <w:r>
        <w:rPr>
          <w:shd w:val="clear" w:color="auto" w:fill="ffffff"/>
        </w:rPr>
        <w:t xml:space="preserve">ý rõ vẫn có nhóm người mua riêng. Ngược lại, đất diện tích lớn ở vùng cao, đất nông nghiệp được quảng cáo theo câu chuyện chuyển đổi hoặc những lô chỉ tăng giá nhờ tin dự án thường có thời gian bán dài hơn.</w:t>
        <w:br/>
        <w:br/>
        <w:t xml:space="preserve">Có thể chia thị trường nhà đất Lào Cai thành bốn</w:t>
      </w:r>
      <w:r>
        <w:rPr>
          <w:shd w:val="clear" w:color="auto" w:fill="ffffff"/>
        </w:rPr>
        <w:t xml:space="preserve"> lớp nhu cầu:</w:t>
        <w:br/>
        <w:br/>
        <w:t xml:space="preserve">Ở thực và tích lũy dài hạn: nhà, đất ở tại các khu dân cư có trường học, chợ, y tế, giao thông và hạ tầng kỹ thuật ổn định.</w:t>
        <w:br/>
        <w:t xml:space="preserve">Kinh doanh đô thị và biên mậu: nhà phố, mặt bằng, kho bãi, nơi lưu trú cho lái xe, chuyên gia hoặc lao động quanh khu</w:t>
      </w:r>
      <w:r>
        <w:rPr>
          <w:shd w:val="clear" w:color="auto" w:fill="ffffff"/>
        </w:rPr>
        <w:t xml:space="preserve"> cửa khẩu và các trục thương mại.</w:t>
        <w:br/>
        <w:t xml:space="preserve">Du lịch và lưu trú: khách sạn, homestay, villa, quỹ đất có thể phát triển sản phẩm trải nghiệm tại Sa Pa, Bắc Hà, Y Tý, Nghĩa Lộ, Mù Cang Chải và một số vùng cảnh quan.</w:t>
        <w:br/>
        <w:t xml:space="preserve">Đầu tư theo hạ tầng: đất quanh cao tốc, đường kết nối</w:t>
      </w:r>
      <w:r>
        <w:rPr>
          <w:shd w:val="clear" w:color="auto" w:fill="ffffff"/>
        </w:rPr>
        <w:t xml:space="preserve">, ga đường sắt, khu công nghiệp hoặc dự án sân bay. Đây là nhóm cần kỷ luật nhất vì khoảng cách giữa quy hoạch, khởi công, hoàn thành và khai thác thực tế có thể kéo dài.</w:t>
        <w:br/>
        <w:t xml:space="preserve">Không có một “giá Lào Cai” dùng chung. Ngay trong một xã hoặc phường, hai tài sản cùn</w:t>
      </w:r>
      <w:r>
        <w:rPr>
          <w:shd w:val="clear" w:color="auto" w:fill="ffffff"/>
        </w:rPr>
        <w:t xml:space="preserve">g diện tích có thể chênh đáng kể vì mục đích sử dụng đất, chiều rộng đường, độ dốc, khả năng đỗ ô tô, hệ thống thoát nước, mặt tiền, tầm nhìn và khả năng xây dựng. Người mua nên xem giá theo từng vi vị trí và ưu tiên bằng chứng giao dịch có thể kiểm tra th</w:t>
      </w:r>
      <w:r>
        <w:rPr>
          <w:shd w:val="clear" w:color="auto" w:fill="ffffff"/>
        </w:rPr>
        <w:t xml:space="preserve">ay vì bảng giá truyền miệng.</w:t>
        <w:br/>
        <w:br/>
      </w:r>
      <w:r>
        <w:rPr>
          <w:b/>
          <w:bCs/>
          <w:shd w:val="clear" w:color="auto" w:fill="ffffff"/>
        </w:rPr>
        <w:t xml:space="preserve">Năm động lực chính đang định hình thị trường</w:t>
        <w:br/>
      </w:r>
      <w:r>
        <w:rPr>
          <w:shd w:val="clear" w:color="auto" w:fill="ffffff"/>
        </w:rPr>
        <w:t xml:space="preserve">1. Du lịch tạo nhu cầu thật, nhưng dòng tiền có tính mùa vụ</w:t>
        <w:br/>
        <w:t xml:space="preserve">Du lịch vẫn là động lực dễ thấy nhất của bất động sản Sa Pa và các điểm đến vùng cao. Theo thông tin công bố của tỉnh, Là</w:t>
      </w:r>
      <w:r>
        <w:rPr>
          <w:shd w:val="clear" w:color="auto" w:fill="ffffff"/>
        </w:rPr>
        <w:t xml:space="preserve">o Cai mới đón khoảng 10,5 triệu lượt khách trong năm 2025. Quy mô khách lớn tạo việc làm, nhu cầu phòng nghỉ, ăn uống, vận chuyển, bán lẻ và thuê mặt bằng. Tuy nhiên, lượng khách toàn tỉnh không đồng nghĩa mọi cơ sở lưu trú đều có công suất tốt. Khách có t</w:t>
      </w:r>
      <w:r>
        <w:rPr>
          <w:shd w:val="clear" w:color="auto" w:fill="ffffff"/>
        </w:rPr>
        <w:t xml:space="preserve">hể đi trong ngày, tập trung vào cuối tuần hoặc mùa lễ hội; phân khúc bình dân và cao cấp cũng vận động khác nhau.</w:t>
        <w:br/>
        <w:br/>
        <w:t xml:space="preserve">Với khách sạn hoặc homestay, điều cần xem không phải câu “khu này đông khách”, mà là dữ liệu vận hành tối thiểu 12 tháng: số đêm phòng bán đư</w:t>
      </w:r>
      <w:r>
        <w:rPr>
          <w:shd w:val="clear" w:color="auto" w:fill="ffffff"/>
        </w:rPr>
        <w:t xml:space="preserve">ợc, giá phòng bình quân, tỷ lệ đặt qua nền tảng, chi phí nhân sự, hoa hồng, điện nước, giặt là, bảo trì và thuế. Một tài sản đẹp nhưng không có lối tiếp cận thuận tiện, chỗ đỗ xe hoặc hệ thống xử lý nước thải phù hợp vẫn khó kinh doanh bền vững.</w:t>
        <w:br/>
        <w:br/>
        <w:t xml:space="preserve">2. Hạ tần</w:t>
      </w:r>
      <w:r>
        <w:rPr>
          <w:shd w:val="clear" w:color="auto" w:fill="ffffff"/>
        </w:rPr>
        <w:t xml:space="preserve">g rút ngắn thời gian đi lại, nhưng không nên trả tiền trước cho kỳ vọng</w:t>
        <w:br/>
        <w:t xml:space="preserve">Dự án mở rộng đoạn Yên Bái - Lào Cai thuộc cao tốc Nội Bài - Lào Cai từ 2 lên 4 làn đã được khởi công và đang thi công trong năm 2026. Khi hoàn thành, năng lực vận tải tốt hơn có lợi c</w:t>
      </w:r>
      <w:r>
        <w:rPr>
          <w:shd w:val="clear" w:color="auto" w:fill="ffffff"/>
        </w:rPr>
        <w:t xml:space="preserve">ho cả du lịch, logistics và kết nối chuỗi đô thị trong tỉnh mới. Tuy vậy, ảnh hưởng đến từng bất động sản còn phụ thuộc nút giao, đường gom, khoảng cách thực tế và khả năng kết nối từ thửa đất ra tuyến chính.</w:t>
        <w:br/>
        <w:br/>
        <w:t xml:space="preserve">Đường sắt Lào Cai - Hà Nội - Hải Phòng và Cảng</w:t>
      </w:r>
      <w:r>
        <w:rPr>
          <w:shd w:val="clear" w:color="auto" w:fill="ffffff"/>
        </w:rPr>
        <w:t xml:space="preserve"> hàng không Sa Pa cũng thường xuất hiện trong câu chuyện bán đất. Người mua cần phân biệt rõ hạng mục đã có quyết định, hạng mục đang giải phóng mặt bằng, phần đang thi công và phần mới là định hướng. Đặc biệt, sân bay mang tên Sa Pa được quy hoạch tại khu</w:t>
      </w:r>
      <w:r>
        <w:rPr>
          <w:shd w:val="clear" w:color="auto" w:fill="ffffff"/>
        </w:rPr>
        <w:t xml:space="preserve"> vực Cam Cọn, Bảo Yên cũ, không nằm cạnh trung tâm Sa Pa. Không nên suy diễn rằng mọi lô đất trên đường đi Sa Pa đều tự động hưởng lợi như nhau.</w:t>
        <w:br/>
        <w:br/>
        <w:t xml:space="preserve">3. Thương mại biên giới và logistics nâng giá trị của vị trí vận hành được</w:t>
        <w:br/>
        <w:t xml:space="preserve">Khu cửa khẩu quốc tế đường bộ số II</w:t>
      </w:r>
      <w:r>
        <w:rPr>
          <w:shd w:val="clear" w:color="auto" w:fill="ffffff"/>
        </w:rPr>
        <w:t xml:space="preserve"> Kim Thành là đầu mối quan trọng trong luồng hàng Việt Nam - Trung Quốc và đang được định hướng phát triển cửa khẩu thông minh. Nhu cầu liên quan có thể gồm kho, bãi, văn phòng giao nhận, nơi nghỉ ngắn ngày, ăn uống, sửa chữa phương tiện và nhà ở cho người</w:t>
      </w:r>
      <w:r>
        <w:rPr>
          <w:shd w:val="clear" w:color="auto" w:fill="ffffff"/>
        </w:rPr>
        <w:t xml:space="preserve"> làm việc trong chuỗi dịch vụ.</w:t>
        <w:br/>
        <w:br/>
        <w:t xml:space="preserve">Điểm mấu chốt là tính vận hành. Kho bãi phải phù hợp quy hoạch và mục đích sử dụng đất; xe tải phải ra vào, quay đầu được; nền phải chịu tải; vị trí cần đáp ứng phòng cháy, thoát nước và khoảng cách đến cửa khẩu. Một lô “gần</w:t>
      </w:r>
      <w:r>
        <w:rPr>
          <w:shd w:val="clear" w:color="auto" w:fill="ffffff"/>
        </w:rPr>
        <w:t xml:space="preserve"> Kim Thành” trên bản đồ nhưng đường dân sinh hẹp hoặc không được phép làm kho không thể định giá như đất logistics thực thụ.</w:t>
        <w:br/>
        <w:br/>
        <w:t xml:space="preserve">4. Đô thị hóa tạo nhu cầu ở thực và dịch vụ thường ngày</w:t>
        <w:br/>
        <w:t xml:space="preserve">Các khu vực Lào Cai, Cam Đường, Yên Bái và những điểm dân cư bám trục cao </w:t>
      </w:r>
      <w:r>
        <w:rPr>
          <w:shd w:val="clear" w:color="auto" w:fill="ffffff"/>
        </w:rPr>
        <w:t xml:space="preserve">tốc có nhu cầu nhà ở, trường học, y tế, bán lẻ và thuê mặt bằng ít phụ thuộc mùa du lịch hơn. Đây thường là lớp cầu bền hơn, nhưng biên độ giá cũng phụ thuộc mật độ cư dân thực tế. Một khu đô thị có đường đẹp nhưng ít nhà ở, ít cửa hàng mở cửa và hạ tầng x</w:t>
      </w:r>
      <w:r>
        <w:rPr>
          <w:shd w:val="clear" w:color="auto" w:fill="ffffff"/>
        </w:rPr>
        <w:t xml:space="preserve">ã hội chưa đủ không nên được định giá như khu phố đã hình thành.</w:t>
        <w:br/>
        <w:br/>
        <w:t xml:space="preserve">5. Nhu cầu lưu trú, việc làm và mặt bằng phản ánh sức khỏe thị trường</w:t>
        <w:br/>
        <w:t xml:space="preserve">Bất động sản chỉ bền khi có người dùng. Số cơ sở lưu trú hoạt động, nhu cầu tuyển dụng, lượng mặt bằng được thuê và thời</w:t>
      </w:r>
      <w:r>
        <w:rPr>
          <w:shd w:val="clear" w:color="auto" w:fill="ffffff"/>
        </w:rPr>
        <w:t xml:space="preserve"> gian lấp đầy là các chỉ báo thực tế hơn nhiều so với số lượng tin rao. Người khảo sát có thể đối chiếu kho lưu trú Lào Cai - Sa Pa, nhu cầu trên trang việc làm địa phương và nguồn mặt bằng kinh doanh để hiểu một khu vực đang có hoạt động kinh tế thật hay </w:t>
      </w:r>
      <w:r>
        <w:rPr>
          <w:shd w:val="clear" w:color="auto" w:fill="ffffff"/>
        </w:rPr>
        <w:t xml:space="preserve">mới dừng ở kỳ vọng.</w:t>
        <w:br/>
        <w:br/>
      </w:r>
      <w:r>
        <w:rPr>
          <w:b/>
          <w:bCs/>
          <w:shd w:val="clear" w:color="auto" w:fill="ffffff"/>
        </w:rPr>
        <w:t xml:space="preserve">Phân tích từng khu vực của thị trường nhà đất Lào Cai</w:t>
        <w:br/>
      </w:r>
      <w:r>
        <w:rPr>
          <w:b w:val="0"/>
          <w:bCs w:val="0"/>
          <w:shd w:val="clear" w:color="auto" w:fill="ffffff"/>
        </w:rPr>
        <w:t xml:space="preserve">Sa Pa</w:t>
      </w:r>
      <w:r>
        <w:rPr>
          <w:shd w:val="clear" w:color="auto" w:fill="ffffff"/>
        </w:rPr>
        <w:t xml:space="preserve">: thị trường lớn nhất về du lịch, cũng là nơi phải tính vận hành kỹ nhất</w:t>
        <w:br/>
        <w:t xml:space="preserve">Khu trung tâm Sa Pa có lợi thế về lượng khách, thương hiệu điểm đến, khả năng đi bộ và hệ sinh thái ăn </w:t>
      </w:r>
      <w:r>
        <w:rPr>
          <w:shd w:val="clear" w:color="auto" w:fill="ffffff"/>
        </w:rPr>
        <w:t xml:space="preserve">uống - mua sắm. Nhà phố, khách sạn nhỏ và mặt bằng có thể tạo dòng tiền nếu nằm đúng tuyến khách di chuyển. Đổi lại, giá đầu vào thường cao, cạnh tranh lưu trú mạnh, chi phí cải tạo và nhân sự không nhỏ. Trước khi mua một khách sạn đang hoạt động, cần kiểm</w:t>
      </w:r>
      <w:r>
        <w:rPr>
          <w:shd w:val="clear" w:color="auto" w:fill="ffffff"/>
        </w:rPr>
        <w:t xml:space="preserve"> tra doanh thu qua phần mềm hoặc tài khoản nhận tiền, đánh giá trên các nền tảng đặt phòng, giấy phép liên quan, hồ sơ phòng cháy và tình trạng công trình; không chỉ nhìn số phòng và giá chào.</w:t>
        <w:br/>
        <w:br/>
        <w:t xml:space="preserve">Các thung lũng và bản du lịch như Tả Van, Mường Hoa, Hầu Thào,</w:t>
      </w:r>
      <w:r>
        <w:rPr>
          <w:shd w:val="clear" w:color="auto" w:fill="ffffff"/>
        </w:rPr>
        <w:t xml:space="preserve"> Tả Phìn hấp dẫn nhờ cảnh quan, văn hóa bản địa và mô hình nghỉ chậm. Đây là nơi người mua thường gặp rủi ro lớn nhất về loại đất và hạ tầng. Nhiều thửa có phần lớn là đất nông nghiệp; đường vào có thể là đường dùng chung hoặc chỉ thuận lợi vào mùa khô; đi</w:t>
      </w:r>
      <w:r>
        <w:rPr>
          <w:shd w:val="clear" w:color="auto" w:fill="ffffff"/>
        </w:rPr>
        <w:t xml:space="preserve">ện, nước sạch, internet, thu gom rác và xử lý nước thải không đồng đều. Có view không có nghĩa được xây công trình lưu trú với quy mô mong muốn.</w:t>
        <w:br/>
        <w:br/>
        <w:t xml:space="preserve">Các hướng Ô Quy Hồ, Ngũ Chỉ Sơn và trục kết nối ra ngoài trung tâm có thể phù hợp với sản phẩm nghỉ dưỡng riên</w:t>
      </w:r>
      <w:r>
        <w:rPr>
          <w:shd w:val="clear" w:color="auto" w:fill="ffffff"/>
        </w:rPr>
        <w:t xml:space="preserve">g tư hoặc điểm dừng chân nếu giao thông, an toàn taluy và pháp lý đáp ứng. Người khảo sát cần đi cả lúc trời mưa, kiểm tra sương mù, bán kính cua, khả năng xe 16-29 chỗ tiếp cận, nguy cơ sạt lở và chi phí gia cố nền. Ở địa hình núi, vài trăm mét đường xấu </w:t>
      </w:r>
      <w:r>
        <w:rPr>
          <w:shd w:val="clear" w:color="auto" w:fill="ffffff"/>
        </w:rPr>
        <w:t xml:space="preserve">có thể làm thay đổi hoàn toàn hiệu quả khai thác.</w:t>
        <w:br/>
        <w:br/>
        <w:t xml:space="preserve">Nhìn chung, bất động sản Sa Pa năm 2026 phù hợp với người hiểu vận hành du lịch hoặc có đội ngũ khai thác. Nếu mục tiêu chỉ là giữ đất, nên ưu tiên tài sản có pháp lý rõ, tiếp cận bốn mùa và khả năng sử dụ</w:t>
      </w:r>
      <w:r>
        <w:rPr>
          <w:shd w:val="clear" w:color="auto" w:fill="ffffff"/>
        </w:rPr>
        <w:t xml:space="preserve">ng độc lập với tiến độ của một dự án khác. Có thể tham khảo nguồn mua bán nhà đất Lào Cai - Sa Pa trên LaoCaiView, nhưng vẫn phải kiểm tra trực tiếp từng hồ sơ.</w:t>
        <w:br/>
        <w:br/>
      </w:r>
      <w:r>
        <w:rPr>
          <w:b w:val="0"/>
          <w:bCs w:val="0"/>
          <w:shd w:val="clear" w:color="auto" w:fill="ffffff"/>
        </w:rPr>
        <w:t xml:space="preserve">Khu vực thành phố Lào Cai cũ và cửa khẩu Kim Thành:</w:t>
      </w:r>
      <w:r>
        <w:rPr>
          <w:shd w:val="clear" w:color="auto" w:fill="ffffff"/>
        </w:rPr>
        <w:t xml:space="preserve"> thiên về ở thực, thương mại và logistics</w:t>
        <w:br/>
        <w:t xml:space="preserve">K</w:t>
      </w:r>
      <w:r>
        <w:rPr>
          <w:shd w:val="clear" w:color="auto" w:fill="ffffff"/>
        </w:rPr>
        <w:t xml:space="preserve">hông gian đô thị Lào Cai cũ có lợi thế là hạ tầng và dịch vụ đã hình thành: trường học, bệnh viện, chợ, cơ quan, giao thông liên vùng và hoạt động xuất nhập khẩu. Nhà ở trong khu dân cư ổn định thường có tệp mua rộng hơn đất du lịch vì phục vụ nhu cầu thườ</w:t>
      </w:r>
      <w:r>
        <w:rPr>
          <w:shd w:val="clear" w:color="auto" w:fill="ffffff"/>
        </w:rPr>
        <w:t xml:space="preserve">ng ngày. Nhà phố chỉ có lợi thế thương mại khi tuyến đường thật sự có lưu lượng người và xe, có chỗ dừng đỗ và ngành hàng phù hợp; “mặt đường lớn” không tự động đồng nghĩa với cho thuê tốt.</w:t>
        <w:br/>
        <w:br/>
        <w:t xml:space="preserve">Quanh Kim Thành, tài sản phục vụ logistics cần được thẩm định như</w:t>
      </w:r>
      <w:r>
        <w:rPr>
          <w:shd w:val="clear" w:color="auto" w:fill="ffffff"/>
        </w:rPr>
        <w:t xml:space="preserve"> một cơ sở kinh doanh. Khoảng cách đến cửa khẩu chỉ là một biến số. Các yếu tố quan trọng hơn gồm quy hoạch kho bãi, tải trọng đường, giờ lưu thông, diện tích quay đầu, cao độ nền, thoát nước, điện ba pha, phòng cháy và khả năng tuyển lao động. Đất ở trong</w:t>
      </w:r>
      <w:r>
        <w:rPr>
          <w:shd w:val="clear" w:color="auto" w:fill="ffffff"/>
        </w:rPr>
        <w:t xml:space="preserve"> khu dân cư có thể phù hợp làm nơi lưu trú hoặc dịch vụ nhỏ, nhưng không nên mặc định được chuyển sang công năng kho xưởng.</w:t>
        <w:br/>
        <w:br/>
        <w:t xml:space="preserve">Rủi ro của khu vực này là mua theo một mùa xuất khẩu thuận lợi rồi ngoại suy doanh thu cho nhiều năm. Thương mại biên giới chịu ảnh</w:t>
      </w:r>
      <w:r>
        <w:rPr>
          <w:shd w:val="clear" w:color="auto" w:fill="ffffff"/>
        </w:rPr>
        <w:t xml:space="preserve"> hưởng của chính sách kiểm dịch, thông quan, cơ cấu hàng hóa và nhịp kinh tế hai bên. Khi định giá, nên dùng dòng tiền bình quân qua cả giai đoạn cao và thấp điểm.</w:t>
        <w:br/>
        <w:br/>
      </w:r>
      <w:r>
        <w:rPr>
          <w:b w:val="0"/>
          <w:bCs w:val="0"/>
          <w:shd w:val="clear" w:color="auto" w:fill="ffffff"/>
        </w:rPr>
        <w:t xml:space="preserve">Cam Đường, Cốc San, Bát Xát:</w:t>
      </w:r>
      <w:r>
        <w:rPr>
          <w:b w:val="0"/>
          <w:bCs w:val="0"/>
          <w:shd w:val="clear" w:color="auto" w:fill="ffffff"/>
        </w:rPr>
        <w:t xml:space="preserve"> v</w:t>
      </w:r>
      <w:r>
        <w:rPr>
          <w:shd w:val="clear" w:color="auto" w:fill="ffffff"/>
        </w:rPr>
        <w:t xml:space="preserve">ành đai mở rộng nhưng chất lượng từng vị trí rất khác nhau</w:t>
        <w:br/>
        <w:t xml:space="preserve">Ca</w:t>
      </w:r>
      <w:r>
        <w:rPr>
          <w:shd w:val="clear" w:color="auto" w:fill="ffffff"/>
        </w:rPr>
        <w:t xml:space="preserve">m Đường có đặc điểm của vùng chuyển tiếp đô thị: quỹ đất rộng hơn khu lõi, tiếp cận các trục giao thông và có khả năng đón nhu cầu nhà ở mới. Giá trị bền vững thường nằm ở nơi đã có dân cư, đường và hạ tầng kỹ thuật rõ. Với đất gần khu quy hoạch, cần kiểm </w:t>
      </w:r>
      <w:r>
        <w:rPr>
          <w:shd w:val="clear" w:color="auto" w:fill="ffffff"/>
        </w:rPr>
        <w:t xml:space="preserve">tra chỉ giới, kế hoạch sử dụng đất và tiến độ thực hiện; một nét vẽ quy hoạch không cho biết khi nào hạ tầng sẽ được làm.</w:t>
        <w:br/>
        <w:br/>
        <w:t xml:space="preserve">Cốc San nằm trên hướng kết nối Lào Cai - Sa Pa nên thường được nhắc tới trong các câu chuyện giao thông và dịch vụ dọc tuyến. Tài sản</w:t>
      </w:r>
      <w:r>
        <w:rPr>
          <w:shd w:val="clear" w:color="auto" w:fill="ffffff"/>
        </w:rPr>
        <w:t xml:space="preserve"> phù hợp có thể là nhà ở, điểm dịch vụ hoặc đất có khả năng khai thác du lịch phụ trợ. Tuy nhiên, địa hình, hành lang an toàn đường bộ, lối đấu nối và thoát nước mặt phải được kiểm tra kỹ. Đất bám đường nhưng không có đấu nối hợp pháp hoặc phải san gạt quá</w:t>
      </w:r>
      <w:r>
        <w:rPr>
          <w:shd w:val="clear" w:color="auto" w:fill="ffffff"/>
        </w:rPr>
        <w:t xml:space="preserve"> lớn sẽ phát sinh chi phí ngoài dự toán.</w:t>
        <w:br/>
        <w:br/>
      </w:r>
      <w:r>
        <w:rPr>
          <w:b w:val="0"/>
          <w:bCs w:val="0"/>
          <w:shd w:val="clear" w:color="auto" w:fill="ffffff"/>
        </w:rPr>
        <w:t xml:space="preserve">Bát Xát có nhiều lớp thị trường</w:t>
      </w:r>
      <w:r>
        <w:rPr>
          <w:b/>
          <w:bCs/>
          <w:shd w:val="clear" w:color="auto" w:fill="ffffff"/>
        </w:rPr>
        <w:t xml:space="preserve">:</w:t>
      </w:r>
      <w:r>
        <w:rPr>
          <w:shd w:val="clear" w:color="auto" w:fill="ffffff"/>
        </w:rPr>
        <w:t xml:space="preserve"> khu dân cư gần đô thị Lào Cai, khu vực biên giới, vùng sản xuất nông nghiệp và các điểm du lịch cảnh quan. Không nên dùng giá của một lô gần trung tâm để so với đất vùng cao chỉ vì </w:t>
      </w:r>
      <w:r>
        <w:rPr>
          <w:shd w:val="clear" w:color="auto" w:fill="ffffff"/>
        </w:rPr>
        <w:t xml:space="preserve">cùng địa bàn cũ. Ở khu vực sông suối và sườn dốc, cần xem bản đồ nguy cơ thiên tai, dấu vết lũ cũ, taluy và cao độ nền. Với tài sản gần biên giới, phải kiểm tra thêm quy định quản lý khu vực biên giới và điều kiện xây dựng, kinh doanh cụ thể.</w:t>
        <w:br/>
        <w:br/>
        <w:t xml:space="preserve">Bắc Hà: có t</w:t>
      </w:r>
      <w:r>
        <w:rPr>
          <w:shd w:val="clear" w:color="auto" w:fill="ffffff"/>
        </w:rPr>
        <w:t xml:space="preserve">hương hiệu điểm đến, thanh khoản vẫn phụ thuộc sản phẩm thật</w:t>
        <w:br/>
        <w:t xml:space="preserve">Bắc Hà có chợ phiên, cảnh quan cao nguyên, văn hóa bản địa và mùa hoa - cây trái. Nhu cầu phù hợp là homestay quy mô vừa, nhà ở kết hợp dịch vụ, điểm ăn uống hoặc sản phẩm nông nghiệp trải nghiệm</w:t>
      </w:r>
      <w:r>
        <w:rPr>
          <w:shd w:val="clear" w:color="auto" w:fill="ffffff"/>
        </w:rPr>
        <w:t xml:space="preserve">. Lợi thế của Bắc Hà là có câu chuyện du lịch riêng; giới hạn là lượng khách và thời gian lưu trú không đều như Sa Pa.</w:t>
        <w:br/>
        <w:br/>
        <w:t xml:space="preserve">Người mua nên khảo sát luồng khách vào ngày thường, không chỉ cuối tuần hoặc dịp lễ hội. Với homestay, cần biết khách đến bằng phương ti</w:t>
      </w:r>
      <w:r>
        <w:rPr>
          <w:shd w:val="clear" w:color="auto" w:fill="ffffff"/>
        </w:rPr>
        <w:t xml:space="preserve">ện gì, bán kính tới điểm tham quan, khả năng đón đoàn và nguồn nhân lực vận hành. Với đất vườn, phải tách giá trị sản xuất nông nghiệp hiện tại khỏi kỳ vọng chuyển thành đất ở hoặc cơ sở du lịch.</w:t>
        <w:br/>
        <w:br/>
        <w:t xml:space="preserve">Y Tý: cảnh quan đặc biệt, nhưng hạ tầng và pháp lý quyết đị</w:t>
      </w:r>
      <w:r>
        <w:rPr>
          <w:shd w:val="clear" w:color="auto" w:fill="ffffff"/>
        </w:rPr>
        <w:t xml:space="preserve">nh khả năng khai thác</w:t>
        <w:br/>
        <w:t xml:space="preserve">Y Tý thu hút người quan tâm bởi khí hậu, ruộng bậc thang, mùa mây và bản sắc Hà Nhì. Đây cũng là thị trường dễ xuất hiện giá chào dựa trên cảm xúc. Thanh khoản thực tế mỏng hơn Sa Pa, mùa du lịch ngắn hơn và thời tiết có thể làm gián </w:t>
      </w:r>
      <w:r>
        <w:rPr>
          <w:shd w:val="clear" w:color="auto" w:fill="ffffff"/>
        </w:rPr>
        <w:t xml:space="preserve">đoạn tiếp cận.</w:t>
        <w:br/>
        <w:br/>
        <w:t xml:space="preserve">Trước khi mua đất Y Tý, cần xác minh mục đích sử dụng, ranh giới, đường vào, nguồn nước mùa khô, điện, sóng viễn thông, thoát thải và chi phí vận chuyển vật liệu. Không đặt cọc chỉ vì nghe thông tin sắp có tuyến đường hoặc khu du lịch. Một </w:t>
      </w:r>
      <w:r>
        <w:rPr>
          <w:shd w:val="clear" w:color="auto" w:fill="ffffff"/>
        </w:rPr>
        <w:t xml:space="preserve">mô hình lưu trú nhỏ, vận hành phù hợp địa phương và có hồ sơ đầy đủ thường thực tế hơn phương án xây dựng quy mô lớn dựa trên lượng khách kỳ vọng.</w:t>
        <w:br/>
        <w:br/>
        <w:t xml:space="preserve">Mường Khương và Si Ma Cai: thị trường nhỏ, nên ưu tiên nhu cầu địa phương</w:t>
        <w:br/>
        <w:t xml:space="preserve">Mường Khương có lợi thế về nông ng</w:t>
      </w:r>
      <w:r>
        <w:rPr>
          <w:shd w:val="clear" w:color="auto" w:fill="ffffff"/>
        </w:rPr>
        <w:t xml:space="preserve">hiệp, kết nối biên giới và các hoạt động thương mại địa phương. Si Ma Cai có cảnh quan và văn hóa riêng nhưng quy mô dân cư, dịch vụ và lượng giao dịch còn hạn chế. Ở hai khu vực này, nhà ở trung tâm, mặt bằng phục vụ nhu cầu thiết yếu hoặc tài sản gắn với</w:t>
      </w:r>
      <w:r>
        <w:rPr>
          <w:shd w:val="clear" w:color="auto" w:fill="ffffff"/>
        </w:rPr>
        <w:t xml:space="preserve"> hoạt động sản xuất cụ thể thường dễ lý giải giá trị hơn đất mua chỉ để chờ tăng.</w:t>
        <w:br/>
        <w:br/>
        <w:t xml:space="preserve">Nhà đầu tư ngoài địa phương cần dành thời gian kiểm chứng mạng lưới đường, mùa vụ nông sản, sức mua của cư dân và tốc độ hấp thụ mặt bằng. Khi thị trường mỏng, một vài tin r</w:t>
      </w:r>
      <w:r>
        <w:rPr>
          <w:shd w:val="clear" w:color="auto" w:fill="ffffff"/>
        </w:rPr>
        <w:t xml:space="preserve">ao cao không đại diện cho mặt bằng giá và thời gian bán lại có thể kéo dài.</w:t>
        <w:br/>
        <w:br/>
        <w:t xml:space="preserve">Không gian Lào Cai mới sau sáp nhập: thêm một trục đô thị - công nghiệp - du lịch phía nam</w:t>
        <w:br/>
        <w:t xml:space="preserve">Sau sáp nhập, bất động sản Lào Cai năm 2026 không chỉ là Sa Pa, cửa khẩu và các địa bàn </w:t>
      </w:r>
      <w:r>
        <w:rPr>
          <w:shd w:val="clear" w:color="auto" w:fill="ffffff"/>
        </w:rPr>
        <w:t xml:space="preserve">của tỉnh Lào Cai cũ. Khu vực Yên Bái cũ bổ sung một cấu trúc thị trường khác: đô thị Yên Bái, các điểm công nghiệp - sản xuất bám hành lang cao tốc và đường sắt, cùng chuỗi du lịch Nghĩa Lộ - Văn Chấn - Trạm Tấu - Mù Cang Chải.</w:t>
        <w:br/>
        <w:br/>
        <w:t xml:space="preserve">Khu vực đô thị Yên Bái và v</w:t>
      </w:r>
      <w:r>
        <w:rPr>
          <w:shd w:val="clear" w:color="auto" w:fill="ffffff"/>
        </w:rPr>
        <w:t xml:space="preserve">ành đai lân cận có nhu cầu ở thực, dịch vụ hành chính, giáo dục, y tế và thương mại. Việc mở rộng cao tốc Yên Bái - Lào Cai có thể cải thiện liên kết trong tỉnh, nhưng giá trị của một lô đất vẫn phải quay về mật độ cư dân, kết nối nút giao và hạ tầng tại c</w:t>
      </w:r>
      <w:r>
        <w:rPr>
          <w:shd w:val="clear" w:color="auto" w:fill="ffffff"/>
        </w:rPr>
        <w:t xml:space="preserve">hỗ.</w:t>
        <w:br/>
        <w:br/>
        <w:t xml:space="preserve">Trấn Yên, Văn Yên, Lục Yên và các vùng sản xuất có thể hưởng lợi từ chế biến, vận tải hàng hóa, vật liệu và nông lâm sản. Đất phục vụ sản xuất hoặc kho vận chỉ có giá trị khai thác khi phù hợp quy hoạch, môi trường, tải trọng đường và nguồn lao động. </w:t>
      </w:r>
      <w:r>
        <w:rPr>
          <w:shd w:val="clear" w:color="auto" w:fill="ffffff"/>
        </w:rPr>
        <w:t xml:space="preserve">Không nên lấy câu chuyện khu công nghiệp để định giá mọi thửa đất trong bán kính rộng.</w:t>
        <w:br/>
        <w:br/>
        <w:t xml:space="preserve">Nghĩa Lộ, Văn Chấn, Trạm Tấu và Mù Cang Chải có tiềm năng lưu trú trải nghiệm, suối khoáng, văn hóa bản địa và ruộng bậc thang. Các địa bàn này có chung bài toán với vù</w:t>
      </w:r>
      <w:r>
        <w:rPr>
          <w:shd w:val="clear" w:color="auto" w:fill="ffffff"/>
        </w:rPr>
        <w:t xml:space="preserve">ng cao phía bắc: mùa vụ, đường đèo, sạt lở, đất nông nghiệp và chi phí vận hành. Mức giá của Sa Pa không phải tham chiếu phù hợp cho toàn bộ chuỗi du lịch phía tây.</w:t>
        <w:br/>
        <w:t xml:space="preserve">Nguồn: https://laocaiview.vn/tin-tuc/tong-quan-ve-thi-truong-bat-dong-san-lao-cai-nam-2026?</w:t>
      </w:r>
      <w:r>
        <w:rPr>
          <w:bCs/>
          <w:i/>
          <w:lang w:val="pt-BR"/>
        </w:rPr>
      </w:r>
      <w:r>
        <w:rPr>
          <w:bCs/>
          <w:i/>
          <w:lang w:val="pt-BR"/>
        </w:rPr>
      </w:r>
    </w:p>
    <w:p>
      <w:pPr>
        <w:pStyle w:val="103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gắn với công trình trên đất tại thửa đất số 160, tờ bản đồ số 109, địa chỉ: Tổ dân phố số 3, phường Sa Pa, thị xã Sa Pa, tỉnh Lào Cai </w:t>
            </w:r>
            <w:r>
              <w:rPr>
                <w:b/>
                <w:bCs/>
                <w:i/>
                <w:iCs/>
                <w:color w:val="000000"/>
              </w:rPr>
              <w:t xml:space="preserve">(nay là phư</w:t>
            </w:r>
            <w:r>
              <w:rPr>
                <w:b/>
                <w:bCs/>
                <w:i/>
                <w:iCs/>
                <w:color w:val="000000"/>
              </w:rPr>
              <w:t xml:space="preserve">ờng Sa Pa, tỉnh Lào Cai) </w:t>
            </w:r>
            <w:r>
              <w:rPr>
                <w:b/>
                <w:bCs/>
                <w:color w:val="000000"/>
              </w:rPr>
              <w:t xml:space="preserve">theo giấy chứng nhận quyền sử dụng đất, quyền sở hữu nhà ở và tài sản gắn liền với đất số CP 091720; Số vào sổ cấp GCN CS 00729 do Sở tài nguyên và môi trường tỉnh Lào Cai cấp ngày 25/12/2019. Chủ sử dụng đất là bà Dư Thị Kim Loan.</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160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109</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Phường Sa Pa, Tỉnh Lào Cai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100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chuyển nhượng đất được Nhà nước giao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vị trí tài sản thuộc quy hoạch đất ở.</w:t>
            </w:r>
            <w:r/>
          </w:p>
          <w:p>
            <w:pPr>
              <w:pBdr/>
              <w:spacing/>
              <w:ind/>
              <w:jc w:val="both"/>
              <w:rPr>
                <w:color w:val="000000"/>
              </w:rPr>
            </w:pPr>
            <w:r>
              <w:rPr>
                <w:color w:val="000000"/>
              </w:rPr>
            </w:r>
            <w:r>
              <mc:AlternateContent>
                <mc:Choice Requires="wpg">
                  <w:drawing>
                    <wp:inline xmlns:wp="http://schemas.openxmlformats.org/drawingml/2006/wordprocessingDrawing" distT="0" distB="0" distL="0" distR="0">
                      <wp:extent cx="3922100" cy="221032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042472" name=""/>
                              <pic:cNvPicPr>
                                <a:picLocks noChangeAspect="1"/>
                              </pic:cNvPicPr>
                              <pic:nvPr/>
                            </pic:nvPicPr>
                            <pic:blipFill rotWithShape="1">
                              <a:blip r:embed="rId17"/>
                              <a:stretch/>
                            </pic:blipFill>
                            <pic:spPr bwMode="auto">
                              <a:xfrm flipH="0" flipV="0">
                                <a:off x="0" y="0"/>
                                <a:ext cx="3922099" cy="22103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8.83pt;height:174.04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Tiếp giáp đường nhựa Lê Văn Tám rộng 15m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15</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tiếp giáp trục chính đường Lê Văn Tám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Hướng: Tây Bắc tiếp giáp đường nhựa Lê Văn Tám.  </w:t>
            </w:r>
            <w:r>
              <w:rPr>
                <w:color w:val="000000" w:themeColor="text1"/>
              </w:rPr>
            </w:r>
            <w:r>
              <w:rPr>
                <w:color w:val="000000" w:themeColor="text1"/>
              </w:rPr>
            </w:r>
          </w:p>
          <w:p>
            <w:pPr>
              <w:pBdr/>
              <w:spacing/>
              <w:ind/>
              <w:rPr>
                <w:color w:val="000000" w:themeColor="text1"/>
              </w:rPr>
            </w:pPr>
            <w:r>
              <w:rPr>
                <w:color w:val="000000" w:themeColor="text1"/>
              </w:rPr>
              <w:t xml:space="preserve">Các hướng khác: Tiếp giáp các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22.336888888889</w:t>
            </w:r>
            <w:r>
              <w:rPr>
                <w:color w:val="000000"/>
              </w:rPr>
              <w:t xml:space="preserve">, </w:t>
            </w:r>
            <w:r>
              <w:rPr>
                <w:color w:val="000000"/>
              </w:rPr>
              <w:t xml:space="preserve">103.84638888889</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50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vMerge w:val="restart"/>
            <w:textDirection w:val="lrTb"/>
            <w:noWrap w:val="false"/>
          </w:tcPr>
          <w:p>
            <w:pPr>
              <w:pBdr/>
              <w:spacing/>
              <w:ind/>
              <w:jc w:val="center"/>
              <w:rPr>
                <w:color w:val="000000"/>
              </w:rPr>
            </w:pPr>
            <w:r>
              <w:rPr>
                <w:color w:val="000000" w:themeColor="text1"/>
              </w:rPr>
              <w:t xml:space="preserve">5,63</w:t>
            </w:r>
            <w:r>
              <w:rPr>
                <w:color w:val="000000"/>
              </w:rPr>
            </w:r>
            <w:r>
              <w:rPr>
                <w:color w:val="000000"/>
              </w:rPr>
            </w:r>
          </w:p>
        </w:tc>
        <w:tc>
          <w:tcPr>
            <w:tcBorders/>
            <w:tcW w:w="2126" w:type="dxa"/>
            <w:vAlign w:val="center"/>
            <w:vMerge w:val="restart"/>
            <w:textDirection w:val="lrTb"/>
            <w:noWrap w:val="false"/>
          </w:tcPr>
          <w:p>
            <w:pPr>
              <w:pBdr/>
              <w:spacing/>
              <w:ind/>
              <w:rPr/>
            </w:pPr>
            <w:r>
              <w:t xml:space="preserve">Chiều sâu (m): </w:t>
            </w:r>
            <w:r/>
          </w:p>
        </w:tc>
        <w:tc>
          <w:tcPr>
            <w:tcBorders/>
            <w:tcW w:w="2007" w:type="dxa"/>
            <w:vAlign w:val="center"/>
            <w:vMerge w:val="restart"/>
            <w:textDirection w:val="lrTb"/>
            <w:noWrap w:val="false"/>
          </w:tcPr>
          <w:p>
            <w:pPr>
              <w:pBdr/>
              <w:spacing/>
              <w:ind/>
              <w:jc w:val="center"/>
              <w:rPr>
                <w:color w:val="000000" w:themeColor="text1"/>
              </w:rPr>
            </w:pPr>
            <w:r>
              <w:rPr>
                <w:color w:val="000000" w:themeColor="text1"/>
              </w:rPr>
              <w:t xml:space="preserve">~16,45</w:t>
            </w:r>
            <w:r>
              <w:rPr>
                <w:color w:val="000000" w:themeColor="text1"/>
              </w:rPr>
            </w:r>
            <w:r>
              <w:rPr>
                <w:color w:val="000000" w:themeColor="text1"/>
              </w:rPr>
            </w:r>
          </w:p>
        </w:tc>
      </w:tr>
      <w:tr>
        <w:trPr>
          <w:trHeight w:val="20"/>
        </w:trPr>
        <w:tc>
          <w:tcPr>
            <w:tcBorders/>
            <w:tcW w:w="734" w:type="dxa"/>
            <w:vAlign w:val="center"/>
            <w:vMerge w:val="continue"/>
            <w:textDirection w:val="lrTb"/>
            <w:noWrap w:val="false"/>
          </w:tcPr>
          <w:p>
            <w:pPr>
              <w:pBdr/>
              <w:spacing/>
              <w:ind/>
              <w:jc w:val="center"/>
              <w:rPr>
                <w:color w:val="000000"/>
              </w:rPr>
            </w:pPr>
            <w:r>
              <w:rPr>
                <w:color w:val="000000"/>
              </w:rPr>
            </w:r>
            <w:r>
              <w:rPr>
                <w:color w:val="000000"/>
              </w:rPr>
            </w:r>
            <w:r>
              <w:rPr>
                <w:color w:val="000000"/>
              </w:rPr>
            </w:r>
          </w:p>
        </w:tc>
        <w:tc>
          <w:tcPr>
            <w:tcBorders/>
            <w:tcW w:w="2522" w:type="dxa"/>
            <w:vAlign w:val="center"/>
            <w:textDirection w:val="lrTb"/>
            <w:noWrap w:val="false"/>
          </w:tcPr>
          <w:p>
            <w:pPr>
              <w:pBdr/>
              <w:spacing/>
              <w:ind/>
              <w:rPr>
                <w:color w:val="ff0000"/>
              </w:rPr>
            </w:pPr>
            <w:r>
              <w:rPr>
                <w:color w:val="ff0000"/>
              </w:rPr>
              <w:t xml:space="preserve">Mặt hậu (m)</w:t>
            </w:r>
            <w:r>
              <w:rPr>
                <w:color w:val="ff0000"/>
              </w:rPr>
            </w:r>
            <w:r>
              <w:rPr>
                <w:color w:val="ff0000"/>
              </w:rPr>
            </w:r>
          </w:p>
        </w:tc>
        <w:tc>
          <w:tcPr>
            <w:tcBorders/>
            <w:tcW w:w="2126" w:type="dxa"/>
            <w:vAlign w:val="center"/>
            <w:vMerge w:val="restart"/>
            <w:textDirection w:val="lrTb"/>
            <w:noWrap w:val="false"/>
          </w:tcPr>
          <w:p>
            <w:pPr>
              <w:pBdr/>
              <w:spacing/>
              <w:ind/>
              <w:jc w:val="center"/>
              <w:rPr>
                <w:color w:val="ff0000"/>
              </w:rPr>
            </w:pPr>
            <w:r>
              <w:rPr>
                <w:color w:val="ff0000"/>
              </w:rPr>
              <w:t xml:space="preserve">6,38</w:t>
            </w:r>
            <w:r>
              <w:rPr>
                <w:color w:val="ff0000"/>
              </w:rPr>
            </w:r>
            <w:r>
              <w:rPr>
                <w:color w:val="ff0000"/>
              </w:rPr>
            </w:r>
          </w:p>
        </w:tc>
        <w:tc>
          <w:tcPr>
            <w:tcBorders/>
            <w:tcW w:w="2126" w:type="dxa"/>
            <w:vAlign w:val="center"/>
            <w:vMerge w:val="continue"/>
            <w:textDirection w:val="lrTb"/>
            <w:noWrap w:val="false"/>
          </w:tcPr>
          <w:p>
            <w:pPr>
              <w:pBdr/>
              <w:spacing/>
              <w:ind/>
              <w:rPr/>
            </w:pPr>
            <w:r/>
            <w:r/>
          </w:p>
        </w:tc>
        <w:tc>
          <w:tcPr>
            <w:tcBorders/>
            <w:tcW w:w="2007" w:type="dxa"/>
            <w:vAlign w:val="center"/>
            <w:vMerge w:val="continue"/>
            <w:textDirection w:val="lrTb"/>
            <w:noWrap w:val="false"/>
          </w:tcPr>
          <w:p>
            <w:pPr>
              <w:pBdr/>
              <w:spacing/>
              <w:ind/>
              <w:jc w:val="center"/>
              <w:rPr>
                <w:color w:val="000000" w:themeColor="text1"/>
              </w:rPr>
            </w:pPr>
            <w:r>
              <w:rPr>
                <w:color w:val="000000" w:themeColor="text1"/>
              </w:rPr>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ff0000"/>
              </w:rPr>
            </w:pPr>
            <w:r>
              <w:rPr>
                <w:color w:val="ff0000"/>
              </w:rPr>
              <w:t xml:space="preserve">Nở hậu</w:t>
            </w:r>
            <w:r>
              <w:rPr>
                <w:color w:val="ff0000"/>
              </w:rPr>
            </w:r>
            <w:r>
              <w:rPr>
                <w:color w:val="ff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Khu vực tập trung dân cư</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nhà 5 tầng</w:t>
            </w:r>
            <w:r>
              <w:rPr>
                <w:b/>
                <w:bCs/>
                <w:color w:val="000000"/>
              </w:rPr>
            </w:r>
            <w:r>
              <w:rPr>
                <w:b/>
                <w:bCs/>
                <w:color w:val="000000"/>
              </w:rPr>
            </w:r>
          </w:p>
        </w:tc>
      </w:tr>
      <w:tr>
        <w:trPr>
          <w:trHeight w:val="1141"/>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tabs>
                <w:tab w:val="left" w:leader="none" w:pos="720"/>
              </w:tabs>
              <w:spacing w:line="299" w:lineRule="atLeast"/>
              <w:ind w:firstLine="0" w:left="0"/>
              <w:rPr>
                <w:color w:val="ff0000"/>
              </w:rPr>
            </w:pPr>
            <w:r>
              <w:rPr>
                <w:rFonts w:ascii="Times New Roman" w:hAnsi="Times New Roman" w:eastAsia="Times New Roman" w:cs="Times New Roman"/>
                <w:color w:val="000000"/>
                <w:sz w:val="24"/>
              </w:rPr>
              <w:t xml:space="preserve">+ Tại thời điểm thẩm định, trên bất động sản là ngôi nhà 5 tầng. Kết cấu: Móng BTCT, tường gạch xây, nền gạch men, mái tole. </w:t>
            </w:r>
            <w:r>
              <w:rPr>
                <w:rFonts w:ascii="Times New Roman" w:hAnsi="Times New Roman" w:eastAsia="Times New Roman" w:cs="Times New Roman"/>
                <w:color w:val="ff0000"/>
                <w:sz w:val="24"/>
              </w:rPr>
              <w:t xml:space="preserve">Hiện đang sử dụng kinh doanh dịch vụ lưu trú, nhà nghỉ.</w:t>
            </w:r>
            <w:r>
              <w:rPr>
                <w:color w:val="ff0000"/>
              </w:rPr>
            </w:r>
            <w:r>
              <w:rPr>
                <w:color w:val="ff0000"/>
              </w:rPr>
            </w:r>
          </w:p>
          <w:p>
            <w:pPr>
              <w:pBdr/>
              <w:spacing/>
              <w:ind/>
              <w:jc w:val="both"/>
              <w:rPr>
                <w:color w:val="000000"/>
              </w:rPr>
            </w:pPr>
            <w:r>
              <w:rPr>
                <w:rFonts w:ascii="Times New Roman" w:hAnsi="Times New Roman" w:eastAsia="Times New Roman" w:cs="Times New Roman"/>
                <w:color w:val="000000"/>
                <w:sz w:val="24"/>
              </w:rPr>
              <w:t xml:space="preserve">+ CTXD trên chưa được cập nhật đăng bộ trên GCN số: CP 091720</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5"/>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Tổ dân phố số 3, phường Sa Pa, thị xã Sa Pa, tỉnh Lào Cai</w:t>
            </w:r>
            <w:r/>
          </w:p>
        </w:tc>
        <w:tc>
          <w:tcPr>
            <w:tcBorders/>
            <w:tcW w:w="1605" w:type="dxa"/>
            <w:vAlign w:val="center"/>
            <w:textDirection w:val="lrTb"/>
            <w:noWrap w:val="false"/>
          </w:tcPr>
          <w:p>
            <w:pPr>
              <w:pBdr/>
              <w:spacing/>
              <w:ind/>
              <w:jc w:val="center"/>
              <w:rPr/>
            </w:pPr>
            <w:r>
              <w:t xml:space="preserve">Phường Sa Pa, Tỉnh Lào Cai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color w:val="ff0000"/>
              </w:rPr>
            </w:pPr>
            <w:r>
              <w:rPr>
                <w:color w:val="ff0000"/>
              </w:rPr>
              <w:t xml:space="preserve">Sáp nhập đơn vị hành chính</w:t>
            </w:r>
            <w:r>
              <w:rPr>
                <w:color w:val="ff0000"/>
              </w:rPr>
            </w:r>
            <w:r>
              <w:rPr>
                <w:color w:val="ff0000"/>
              </w:rP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p>
            <w:pPr>
              <w:pBdr/>
              <w:spacing/>
              <w:ind/>
              <w:jc w:val="center"/>
              <w:rPr/>
            </w:pPr>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100</w:t>
            </w:r>
            <w:r/>
          </w:p>
        </w:tc>
        <w:tc>
          <w:tcPr>
            <w:tcBorders/>
            <w:tcW w:w="1605" w:type="dxa"/>
            <w:vAlign w:val="center"/>
            <w:textDirection w:val="lrTb"/>
            <w:noWrap w:val="false"/>
          </w:tcPr>
          <w:p>
            <w:pPr>
              <w:pBdr/>
              <w:spacing/>
              <w:ind/>
              <w:jc w:val="center"/>
              <w:rPr/>
            </w:pPr>
            <w:r>
              <w:t xml:space="preserve">100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5,63</w:t>
            </w:r>
            <w:r/>
          </w:p>
        </w:tc>
        <w:tc>
          <w:tcPr>
            <w:tcBorders/>
            <w:tcW w:w="1605" w:type="dxa"/>
            <w:vAlign w:val="center"/>
            <w:textDirection w:val="lrTb"/>
            <w:noWrap w:val="false"/>
          </w:tcPr>
          <w:p>
            <w:pPr>
              <w:pBdr/>
              <w:spacing/>
              <w:ind/>
              <w:jc w:val="center"/>
              <w:rPr/>
            </w:pPr>
            <w:r>
              <w:t xml:space="preserve">5,63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Mặt hậu</w:t>
            </w:r>
            <w:r/>
          </w:p>
        </w:tc>
        <w:tc>
          <w:tcPr>
            <w:tcBorders/>
            <w:tcW w:w="1560" w:type="dxa"/>
            <w:vAlign w:val="center"/>
            <w:textDirection w:val="lrTb"/>
            <w:noWrap w:val="false"/>
          </w:tcPr>
          <w:p>
            <w:pPr>
              <w:pBdr/>
              <w:spacing/>
              <w:ind/>
              <w:jc w:val="center"/>
              <w:rPr>
                <w:color w:val="ff0000"/>
              </w:rPr>
            </w:pPr>
            <w:r>
              <w:rPr>
                <w:color w:val="ff0000"/>
              </w:rPr>
              <w:t xml:space="preserve">6,38</w:t>
            </w:r>
            <w:r>
              <w:rPr>
                <w:color w:val="ff0000"/>
              </w:rPr>
            </w:r>
            <w:r>
              <w:rPr>
                <w:color w:val="ff0000"/>
              </w:rPr>
            </w:r>
          </w:p>
        </w:tc>
        <w:tc>
          <w:tcPr>
            <w:tcBorders/>
            <w:tcW w:w="1605" w:type="dxa"/>
            <w:vAlign w:val="center"/>
            <w:textDirection w:val="lrTb"/>
            <w:noWrap w:val="false"/>
          </w:tcPr>
          <w:p>
            <w:pPr>
              <w:pBdr/>
              <w:spacing/>
              <w:ind/>
              <w:jc w:val="center"/>
              <w:rPr>
                <w:color w:val="ff0000"/>
              </w:rPr>
            </w:pPr>
            <w:r>
              <w:rPr>
                <w:color w:val="ff0000"/>
              </w:rPr>
              <w:t xml:space="preserve">6,38</w:t>
            </w:r>
            <w:r>
              <w:t xml:space="preserve">✔</w:t>
            </w:r>
            <w:r>
              <w:rPr>
                <w:color w:val="ff0000"/>
              </w:rPr>
            </w:r>
            <w:r>
              <w:rPr>
                <w:color w:val="ff0000"/>
              </w:rP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rPr>
      </w:pPr>
      <w:r>
        <w:rPr>
          <w:highlight w:val="none"/>
          <w:lang w:val="pt-BR" w:bidi="pt-BR"/>
        </w:rPr>
      </w:r>
      <w:r>
        <w:rPr>
          <w:rFonts w:ascii="Times New Roman" w:hAnsi="Times New Roman" w:eastAsia="Times New Roman" w:cs="Times New Roman"/>
          <w:color w:val="000000"/>
          <w:sz w:val="24"/>
        </w:rPr>
        <w:t xml:space="preserve">Tại thời điểm thẩm định giá, Tổ thẩm định xác định trên đất có CTXD là ngôi nhà 5 tầng, xây dựng đã lâu, hiện đang sử dụng bình thường. CTXD chưa được công nhận trên GCN QSDĐ. Tổ thẩm định không nhận được các hồ sơ pháp lý khác liên quan đến các côn</w:t>
      </w:r>
      <w:r>
        <w:rPr>
          <w:rFonts w:ascii="Times New Roman" w:hAnsi="Times New Roman" w:eastAsia="Times New Roman" w:cs="Times New Roman"/>
          <w:color w:val="000000"/>
          <w:sz w:val="24"/>
        </w:rPr>
        <w:t xml:space="preserve">g trình xây dựng. Do vậy, theo yêu cầu của Ngân hàng/khách hàng, Tổ thẩm định không xác định giá trị công trình vào tổng giá trị tài sản nhưng vẫn coi đó là phần không thể tách rời của tài sản thẩm định</w:t>
      </w:r>
      <w:r>
        <w:rPr>
          <w:highlight w:val="none"/>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Sa Pa, Tỉnh Lào Cai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Hoàng Văn Thụ, Phường Lào Cai, Tỉnh Lào Cai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Sa Pa, Tỉnh Lào Cai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Thạch Sơn, Phường Sa Pa, Tỉnh Lào Cai</w:t>
            </w:r>
            <w:r>
              <w:rPr>
                <w:sz w:val="22"/>
                <w:szCs w:val="22"/>
              </w:rPr>
            </w:r>
            <w:r>
              <w:rPr>
                <w:sz w:val="22"/>
                <w:szCs w:val="22"/>
              </w:rPr>
            </w:r>
          </w:p>
        </w:tc>
      </w:tr>
      <w:tr>
        <w:trPr>
          <w:trHeight w:val="6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0969633968</w:t>
            </w:r>
            <w:r>
              <w:rPr>
                <w:sz w:val="22"/>
                <w:szCs w:val="22"/>
              </w:rPr>
              <w:t xml:space="preserve"> </w:t>
            </w:r>
            <w:r>
              <w:rPr>
                <w:sz w:val="22"/>
                <w:szCs w:val="22"/>
              </w:rPr>
              <w:br/>
              <w:t xml:space="preserve">(</w:t>
            </w:r>
            <w:r>
              <w:rPr>
                <w:sz w:val="22"/>
                <w:szCs w:val="22"/>
              </w:rPr>
              <w:t xml:space="preserve">Vũ</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0989917968</w:t>
            </w:r>
            <w:r>
              <w:rPr>
                <w:sz w:val="22"/>
                <w:szCs w:val="22"/>
              </w:rPr>
              <w:br/>
            </w:r>
            <w:r>
              <w:rPr>
                <w:sz w:val="22"/>
                <w:szCs w:val="22"/>
              </w:rPr>
              <w:t xml:space="preserve">(</w:t>
            </w:r>
            <w:r>
              <w:rPr>
                <w:sz w:val="22"/>
                <w:szCs w:val="22"/>
              </w:rPr>
              <w:t xml:space="preserve">Học</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0913798993</w:t>
            </w:r>
            <w:r>
              <w:rPr>
                <w:sz w:val="22"/>
                <w:szCs w:val="22"/>
              </w:rPr>
              <w:br/>
            </w:r>
            <w:r>
              <w:rPr>
                <w:sz w:val="22"/>
                <w:szCs w:val="22"/>
              </w:rPr>
              <w:t xml:space="preserve">(</w:t>
            </w:r>
            <w:r>
              <w:rPr>
                <w:sz w:val="22"/>
                <w:szCs w:val="22"/>
              </w:rPr>
              <w:t xml:space="preserve">Lâm</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 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 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Sa Pa, Tỉnh Lào Cai. Tài sản tiếp giáp đường Lê Văn Tám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Sa Pa, Tỉnh Lào Cai. Tài sản tiếp giáp đường Hoàng Văn Thụ</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Sa Pa, Tỉnh Lào Cai. Tài sản tiếp giáp đường Ngũ Chỉ Sơn</w:t>
            </w:r>
            <w:r>
              <w:rPr>
                <w:color w:val="000000"/>
                <w:sz w:val="22"/>
                <w:szCs w:val="22"/>
              </w:rPr>
            </w:r>
            <w:r>
              <w:rPr>
                <w:color w:val="000000"/>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Sa Pa, Tỉnh Lào Cai. Tài sản tiếp giáp đường Thạch Sơn</w:t>
            </w:r>
            <w:r>
              <w:rPr>
                <w:color w:val="000000"/>
                <w:sz w:val="22"/>
                <w:szCs w:val="22"/>
              </w:rPr>
            </w:r>
            <w:r>
              <w:rPr>
                <w:color w:val="000000"/>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5,63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Nở hậu</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Công trình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Style w:val="1031"/>
              <w:numPr>
                <w:ilvl w:val="0"/>
                <w:numId w:val="40"/>
              </w:num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Số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3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Nhà 3 tầng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Nhà 4 tầng</w:t>
            </w:r>
            <w:r>
              <w:rPr>
                <w:color w:val="000000" w:themeColor="text1"/>
                <w:sz w:val="22"/>
                <w:szCs w:val="22"/>
              </w:r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Style w:val="1031"/>
              <w:numPr>
                <w:ilvl w:val="0"/>
                <w:numId w:val="41"/>
              </w:num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Diện tích sàn</w:t>
            </w:r>
            <w:r>
              <w:rPr>
                <w:color w:val="000000"/>
                <w:sz w:val="22"/>
                <w:szCs w:val="22"/>
              </w:rPr>
              <w:t xml:space="preserve"> sử dụng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204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315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240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11.500.000.000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12.150.000.000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19.350.000.000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10.925.000.000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B</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Chi tiết tính toán</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1</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Giá </w:t>
            </w:r>
            <w:r>
              <w:rPr>
                <w:b/>
                <w:bCs/>
                <w:color w:val="000000"/>
                <w:sz w:val="22"/>
                <w:szCs w:val="22"/>
                <w:highlight w:val="none"/>
              </w:rPr>
              <w:t xml:space="preserve">trị</w:t>
            </w:r>
            <w:r>
              <w:rPr>
                <w:b/>
                <w:bCs/>
                <w:color w:val="000000"/>
                <w:sz w:val="22"/>
                <w:szCs w:val="22"/>
                <w:highlight w:val="none"/>
              </w:rPr>
              <w:t xml:space="preserve"> tài sản trên đất (đồng)</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4"/>
                <w:szCs w:val="24"/>
                <w:highlight w:val="yellow"/>
              </w:rPr>
            </w:pPr>
            <w:r>
              <w:rPr>
                <w:color w:val="000000"/>
                <w:sz w:val="22"/>
                <w:szCs w:val="22"/>
                <w:highlight w:val="yellow"/>
              </w:rPr>
            </w:r>
            <w:r>
              <w:rPr>
                <w:rFonts w:ascii="Times New Roman" w:hAnsi="Times New Roman" w:eastAsia="Times New Roman" w:cs="Times New Roman"/>
                <w:color w:val="000000" w:themeColor="text1"/>
                <w:sz w:val="24"/>
                <w:szCs w:val="24"/>
                <w:highlight w:val="white"/>
              </w:rPr>
              <w:t xml:space="preserve">1.132.059.240</w:t>
            </w:r>
            <w:r>
              <w:rPr>
                <w:rFonts w:ascii="Times New Roman" w:hAnsi="Times New Roman" w:cs="Times New Roman"/>
                <w:color w:val="000000" w:themeColor="text1"/>
                <w:sz w:val="24"/>
                <w:szCs w:val="24"/>
                <w:highlight w:val="yellow"/>
              </w:rPr>
            </w:r>
            <w:r>
              <w:rPr>
                <w:rFonts w:ascii="Times New Roman" w:hAnsi="Times New Roman" w:cs="Times New Roman"/>
                <w:color w:val="000000" w:themeColor="text1"/>
                <w:sz w:val="24"/>
                <w:szCs w:val="24"/>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sz w:val="22"/>
                <w:szCs w:val="22"/>
                <w:highlight w:val="none"/>
              </w:rPr>
              <w:t xml:space="preserve">1.748.032.650</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sz w:val="22"/>
                <w:szCs w:val="22"/>
                <w:highlight w:val="none"/>
              </w:rPr>
              <w:t xml:space="preserve">1.414.584.960</w:t>
            </w:r>
            <w:r>
              <w:rPr>
                <w:color w:val="000000"/>
                <w:sz w:val="22"/>
                <w:szCs w:val="22"/>
                <w:highlight w:val="yellow"/>
              </w:rPr>
            </w:r>
            <w:r>
              <w:rPr>
                <w:color w:val="000000"/>
                <w:sz w:val="22"/>
                <w:szCs w:val="22"/>
                <w:highlight w:val="yellow"/>
              </w:rPr>
            </w:r>
          </w:p>
        </w:tc>
      </w:tr>
      <w:tr>
        <w:trPr>
          <w:trHeight w:val="533"/>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highlight w:val="none"/>
              </w:rPr>
            </w:pPr>
            <w:r>
              <w:rPr>
                <w:b/>
                <w:bCs/>
                <w:color w:val="000000"/>
                <w:sz w:val="22"/>
                <w:szCs w:val="22"/>
                <w:highlight w:val="none"/>
              </w:rPr>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val="0"/>
                <w:bCs w:val="0"/>
                <w:color w:val="000000"/>
                <w:sz w:val="22"/>
                <w:szCs w:val="22"/>
                <w:highlight w:val="none"/>
              </w:rPr>
            </w:pPr>
            <w:r>
              <w:rPr>
                <w:b w:val="0"/>
                <w:bCs w:val="0"/>
                <w:color w:val="000000"/>
                <w:sz w:val="22"/>
                <w:szCs w:val="22"/>
                <w:highlight w:val="none"/>
              </w:rPr>
              <w:t xml:space="preserve">Đơn giá theo suất vốn đầu tư</w:t>
            </w:r>
            <w:r>
              <w:rPr>
                <w:b w:val="0"/>
                <w:bCs w:val="0"/>
                <w:color w:val="000000"/>
                <w:sz w:val="22"/>
                <w:szCs w:val="22"/>
                <w:highlight w:val="none"/>
              </w:rPr>
            </w:r>
            <w:r>
              <w:rPr>
                <w:b w:val="0"/>
                <w:bCs w:val="0"/>
                <w:color w:val="000000"/>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7.114.500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7.114.500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7.755.400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highlight w:val="none"/>
              </w:rPr>
            </w:pPr>
            <w:r>
              <w:rPr>
                <w:b/>
                <w:bCs/>
                <w:color w:val="000000"/>
                <w:sz w:val="22"/>
                <w:szCs w:val="22"/>
                <w:highlight w:val="none"/>
              </w:rPr>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val="0"/>
                <w:bCs w:val="0"/>
                <w:color w:val="000000"/>
                <w:sz w:val="22"/>
                <w:szCs w:val="22"/>
                <w:highlight w:val="none"/>
              </w:rPr>
            </w:pPr>
            <w:r>
              <w:rPr>
                <w:b w:val="0"/>
                <w:bCs w:val="0"/>
                <w:color w:val="000000"/>
                <w:sz w:val="22"/>
                <w:szCs w:val="22"/>
                <w:highlight w:val="none"/>
              </w:rPr>
              <w:t xml:space="preserve">Tỷ lệ CLCL</w:t>
            </w:r>
            <w:r>
              <w:rPr>
                <w:b w:val="0"/>
                <w:bCs w:val="0"/>
                <w:color w:val="000000"/>
                <w:sz w:val="22"/>
                <w:szCs w:val="22"/>
                <w:highlight w:val="none"/>
              </w:rPr>
            </w:r>
            <w:r>
              <w:rPr>
                <w:b w:val="0"/>
                <w:bCs w:val="0"/>
                <w:color w:val="000000"/>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90%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90%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95%</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2</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none"/>
              </w:rPr>
            </w:pPr>
            <w:r>
              <w:rPr>
                <w:b/>
                <w:bCs/>
                <w:color w:val="000000"/>
                <w:sz w:val="22"/>
                <w:szCs w:val="22"/>
                <w:highlight w:val="none"/>
              </w:rPr>
            </w:r>
            <w:r>
              <w:rPr>
                <w:b/>
                <w:bCs/>
                <w:color w:val="000000"/>
                <w:sz w:val="22"/>
                <w:szCs w:val="22"/>
                <w:highlight w:val="none"/>
              </w:rPr>
              <w:t xml:space="preserve">Giá trị đất (đồng)</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yellow"/>
              </w:rPr>
            </w:pPr>
            <w:r>
              <w:rPr>
                <w:color w:val="000000" w:themeColor="text1"/>
                <w:sz w:val="22"/>
                <w:szCs w:val="22"/>
                <w:highlight w:val="yellow"/>
              </w:rPr>
            </w:r>
            <w:r>
              <w:rPr>
                <w:rFonts w:ascii="Arial" w:hAnsi="Arial" w:eastAsia="Arial" w:cs="Arial"/>
                <w:color w:val="000000" w:themeColor="text1"/>
                <w:sz w:val="20"/>
                <w:highlight w:val="white"/>
              </w:rPr>
              <w:t xml:space="preserve">11.017.940.760</w:t>
            </w:r>
            <w:r>
              <w:rPr>
                <w:color w:val="000000" w:themeColor="text1"/>
                <w:sz w:val="22"/>
                <w:szCs w:val="22"/>
                <w:highlight w:val="yellow"/>
              </w:rPr>
            </w:r>
            <w:r>
              <w:rPr>
                <w:color w:val="000000" w:themeColor="text1"/>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yellow"/>
              </w:rPr>
            </w:pPr>
            <w:r>
              <w:rPr>
                <w:color w:val="000000" w:themeColor="text1"/>
                <w:sz w:val="22"/>
                <w:szCs w:val="22"/>
                <w:highlight w:val="yellow"/>
              </w:rPr>
            </w:r>
            <w:r>
              <w:rPr>
                <w:rFonts w:ascii="Arial" w:hAnsi="Arial" w:eastAsia="Arial" w:cs="Arial"/>
                <w:color w:val="000000" w:themeColor="text1"/>
                <w:sz w:val="20"/>
                <w:highlight w:val="white"/>
              </w:rPr>
              <w:t xml:space="preserve">17.601.967.350</w:t>
            </w:r>
            <w:r>
              <w:rPr>
                <w:color w:val="000000" w:themeColor="text1"/>
                <w:sz w:val="22"/>
                <w:szCs w:val="22"/>
                <w:highlight w:val="yellow"/>
              </w:rPr>
            </w:r>
            <w:r>
              <w:rPr>
                <w:color w:val="000000" w:themeColor="text1"/>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yellow"/>
              </w:rPr>
            </w:pPr>
            <w:r>
              <w:rPr>
                <w:color w:val="000000" w:themeColor="text1"/>
                <w:sz w:val="22"/>
                <w:szCs w:val="22"/>
                <w:highlight w:val="yellow"/>
              </w:rPr>
            </w:r>
            <w:r>
              <w:rPr>
                <w:rFonts w:ascii="Arial" w:hAnsi="Arial" w:eastAsia="Arial" w:cs="Arial"/>
                <w:color w:val="000000" w:themeColor="text1"/>
                <w:sz w:val="20"/>
                <w:highlight w:val="white"/>
              </w:rPr>
              <w:t xml:space="preserve">9.510.415.040</w:t>
            </w:r>
            <w:r>
              <w:rPr>
                <w:color w:val="000000" w:themeColor="text1"/>
                <w:sz w:val="22"/>
                <w:szCs w:val="22"/>
                <w:highlight w:val="yellow"/>
              </w:rPr>
            </w:r>
            <w:r>
              <w:rPr>
                <w:color w:val="000000" w:themeColor="text1"/>
                <w:sz w:val="22"/>
                <w:szCs w:val="22"/>
                <w:highlight w:val="yellow"/>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162.028.541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167.637.784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158.506.917</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11.017.940.760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17.601.967.350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9.510.415.040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162.028.541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167.637.784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158.506.917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color w:val="000000" w:themeColor="text1"/>
                <w:sz w:val="22"/>
                <w:szCs w:val="22"/>
              </w:rPr>
              <w:t xml:space="preserve">Giấy chứng nhận quyền sử dụng đất.</w:t>
            </w: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themeColor="text1"/>
                <w:sz w:val="22"/>
                <w:szCs w:val="22"/>
              </w:rPr>
              <w:t xml:space="preserve">S</w:t>
            </w:r>
            <w:r>
              <w:rPr>
                <w:rFonts w:ascii="Times New Roman" w:hAnsi="Times New Roman" w:eastAsia="Times New Roman" w:cs="Times New Roman"/>
                <w:color w:val="000000" w:themeColor="text1"/>
                <w:sz w:val="22"/>
                <w:szCs w:val="22"/>
                <w:highlight w:val="white"/>
              </w:rPr>
              <w:t xml:space="preserve">ử dụng ngoài hơn 10m2. Chủ báo diện tích sử dụng khoảng 60m2, sổ sale gửi 49,56m2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3.170.138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162.028.541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167.637.784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161.677.055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162.028.541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167.637.784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161.677.055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162.028.541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167.637.784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161.677.055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Sa Pa, Tỉnh Lào Cai. Tài sản tiếp giáp đường Lê Văn Tám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Sa Pa, Tỉnh Lào Cai. Tài sản tiếp giáp đường Hoàng Văn Thụ</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Sa Pa, Tỉnh Lào Cai. Tài sản tiếp giáp đường Ngũ Chỉ Sơn</w:t>
            </w:r>
            <w:r>
              <w:rPr>
                <w:color w:val="000000"/>
                <w:sz w:val="22"/>
                <w:szCs w:val="22"/>
              </w:rPr>
            </w:r>
            <w:r>
              <w:rPr>
                <w:color w:val="000000"/>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Sa Pa, Tỉnh Lào Cai. Tài sản tiếp giáp đường Thạch Sơn</w:t>
            </w:r>
            <w:r>
              <w:rPr>
                <w:color w:val="000000"/>
                <w:sz w:val="22"/>
                <w:szCs w:val="22"/>
              </w:rPr>
            </w:r>
            <w:r>
              <w:rPr>
                <w:color w:val="000000"/>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-17.455.418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162.028.541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150.182.366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161.677.055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162.028.541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150.182.366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161.677.055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162.028.541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150.182.366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161.677.055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C.07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-11.341.998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-11.095.484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150.686.543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150.182.366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150.581.571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C.08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5,63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6.481.142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3.409.179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-5.294.675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157.167.685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153.591.545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145.286.896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157.167.685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153.591.545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145.286.896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160.408.256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153.591.545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148.457.034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b/>
                <w:bCs/>
                <w:color w:val="000000" w:themeColor="text1"/>
                <w:sz w:val="22"/>
                <w:szCs w:val="22"/>
                <w:highlight w:val="white"/>
              </w:rPr>
              <w:t xml:space="preserve">160.408.256</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153.591.545</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b/>
                <w:bCs/>
                <w:color w:val="000000" w:themeColor="text1"/>
                <w:sz w:val="22"/>
                <w:szCs w:val="22"/>
                <w:highlight w:val="white"/>
              </w:rPr>
              <w:t xml:space="preserve">148.457.034</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color w:val="000000" w:themeColor="text1"/>
                <w:sz w:val="22"/>
                <w:szCs w:val="22"/>
                <w:highlight w:val="white"/>
              </w:rPr>
              <w:t xml:space="preserve">155.269.864</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3,31%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-4,39%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21.063.711</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24.217.353</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22.730.435</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2% - 7%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2% - 10%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2% - 7%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1.620.285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10.693.483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10.049.883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-4,39</w:t>
      </w:r>
      <w:r>
        <w:t xml:space="preserve">% đến</w:t>
      </w:r>
      <w:r>
        <w:t xml:space="preserve"> </w:t>
      </w:r>
      <w:r>
        <w:t xml:space="preserve"> 3</w:t>
      </w:r>
      <w:r>
        <w:t xml:space="preserve">,31</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160.408.256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53.480.113</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sz w:val="24"/>
                <w:szCs w:val="24"/>
              </w:rPr>
            </w:pPr>
            <w:r>
              <w:rPr>
                <w:color w:val="000000"/>
                <w:sz w:val="24"/>
                <w:szCs w:val="24"/>
              </w:rPr>
              <w:t xml:space="preserve">153.591.545</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52.309.536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148.457.034</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49.480.729</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rPr>
            </w:r>
            <w:r>
              <w:rPr>
                <w:rFonts w:ascii="Times New Roman" w:hAnsi="Times New Roman" w:eastAsia="Times New Roman" w:cs="Times New Roman"/>
                <w:b/>
                <w:bCs/>
                <w:color w:val="000000" w:themeColor="text1"/>
                <w:sz w:val="24"/>
                <w:szCs w:val="24"/>
                <w:highlight w:val="white"/>
              </w:rPr>
              <w:t xml:space="preserve">155.269.864</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155.000.000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155.000.000</w:t>
      </w:r>
      <w:r>
        <w:rPr>
          <w:b/>
          <w:bCs/>
          <w:color w:val="000000" w:themeColor="text1"/>
        </w:rPr>
        <w:t xml:space="preserve"> </w:t>
      </w:r>
      <w:r>
        <w:rPr>
          <w:b/>
          <w:bCs/>
        </w:rPr>
        <w:t xml:space="preserve">đồng/m².</w:t>
      </w:r>
      <w:r>
        <w:rPr>
          <w:b/>
          <w:bCs/>
        </w:rPr>
      </w:r>
      <w:r>
        <w:rPr>
          <w:b/>
          <w:bCs/>
        </w:rPr>
      </w:r>
    </w:p>
    <w:p>
      <w:pPr>
        <w:pStyle w:val="1031"/>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1"/>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07/2026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Quyền sử dụng đất gắn với công trình trên đất tại thửa đất số 160, tờ bản đồ số 109, địa chỉ: Tổ dân phố số 3, phường Sa Pa, thị xã Sa Pa, tỉnh Lào Cai </w:t>
            </w:r>
            <w:r>
              <w:rPr>
                <w:i/>
                <w:iCs/>
                <w:color w:val="000000"/>
              </w:rPr>
              <w:t xml:space="preserve">(nay là phư</w:t>
            </w:r>
            <w:r>
              <w:rPr>
                <w:i/>
                <w:iCs/>
                <w:color w:val="000000"/>
              </w:rPr>
              <w:t xml:space="preserve">ờng Sa Pa, tỉnh Lào Cai)</w:t>
            </w:r>
            <w:r>
              <w:rPr>
                <w:color w:val="000000"/>
              </w:rPr>
              <w:t xml:space="preserve"> theo giấy chứng nhận quyền sử dụng đất, quyền sở hữu nhà ở và tài sản gắn liền với đất số CP 091720; Số vào sổ cấp GCN CS 00729 do Sở tài nguyên và môi trường tỉnh Lào Cai cấp ngày 25/12/2019. Chủ sử dụng đất là bà Dư Thị Kim Loan.</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100</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155.000.000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15.500.000.000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15.500.000.000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lăm tỷ năm trăm triệu đồng</w:t>
            </w:r>
            <w:r>
              <w:rPr>
                <w:b/>
                <w:bCs/>
                <w:i/>
                <w:iCs/>
                <w:color w:val="000000"/>
              </w:rPr>
              <w:t xml:space="preserve">./.)</w:t>
            </w:r>
            <w:r>
              <w:rPr>
                <w:b/>
                <w:bCs/>
                <w:i/>
                <w:iCs/>
                <w:color w:val="000000"/>
              </w:rPr>
            </w:r>
            <w:r>
              <w:rPr>
                <w:b/>
                <w:bCs/>
                <w:i/>
                <w:iCs/>
                <w:color w:val="000000"/>
              </w:rPr>
            </w:r>
          </w:p>
        </w:tc>
      </w:tr>
    </w:tbl>
    <w:p>
      <w:pPr>
        <w:pStyle w:val="103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1"/>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1"/>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1"/>
        <w:numPr>
          <w:ilvl w:val="0"/>
          <w:numId w:val="5"/>
        </w:numPr>
        <w:pBdr/>
        <w:tabs>
          <w:tab w:val="left" w:leader="none" w:pos="993"/>
        </w:tabs>
        <w:spacing w:after="120" w:before="120" w:line="288" w:lineRule="auto"/>
        <w:ind/>
        <w:jc w:val="both"/>
        <w:rPr>
          <w:bCs/>
          <w:spacing w:val="-2"/>
          <w:lang w:val="pt-BR"/>
        </w:rPr>
      </w:pPr>
      <w:r>
        <w:rPr>
          <w:bCs/>
          <w:spacing w:val="-2"/>
          <w:lang w:val="pt-BR"/>
        </w:rPr>
      </w:r>
      <w:r>
        <w:rPr>
          <w:rFonts w:ascii="Times New Roman" w:hAnsi="Times New Roman" w:eastAsia="Times New Roman" w:cs="Times New Roman"/>
          <w:color w:val="000000"/>
          <w:sz w:val="24"/>
        </w:rPr>
        <w:t xml:space="preserve">Tại thời điểm khảo sát, dưới sự hướng dẫn của chủ tài sản, CTXD dựng là nhà 5 tầng. Công trình chưa được công nhận trên GCN QSDĐ, đồng thời Tổ thẩm định cũng không nhận được bất kỳ giấy tờ pháp lý nào liên quan đến CTXD trên. Theo đề nghị của Khách hàng/</w:t>
      </w:r>
      <w:r>
        <w:rPr>
          <w:rFonts w:ascii="Times New Roman" w:hAnsi="Times New Roman" w:eastAsia="Times New Roman" w:cs="Times New Roman"/>
          <w:color w:val="000000"/>
          <w:sz w:val="24"/>
        </w:rPr>
        <w:t xml:space="preserve"> Ngân hàng, Tổ thẩm định không xác định giá trị CTXD nhưng vẫn coi đó là phần không thể thiếu của tài sản thẩm định</w:t>
      </w:r>
      <w:r>
        <w:rPr>
          <w:bCs/>
          <w:spacing w:val="-2"/>
          <w:lang w:val="pt-BR"/>
        </w:rPr>
      </w:r>
      <w:r>
        <w:rPr>
          <w:bCs/>
          <w:spacing w:val="-2"/>
          <w:lang w:val="pt-BR"/>
        </w:rPr>
      </w:r>
    </w:p>
    <w:p>
      <w:pPr>
        <w:pStyle w:val="1031"/>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1"/>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1"/>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1"/>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1"/>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275/2026/1161/VFI-CT.C01.A</w:t>
      </w:r>
      <w:r>
        <w:rPr>
          <w:color w:val="ff0000"/>
          <w:lang w:val="vi-VN"/>
        </w:rPr>
        <w:t xml:space="preserve"> </w:t>
      </w:r>
      <w:r>
        <w:rPr>
          <w:color w:val="000000" w:themeColor="text1"/>
        </w:rPr>
        <w:t xml:space="preserve">ngày 29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31"/>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Mạnh Tuấn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275/2026/1161/VFI-BC.C01.A ngày</w:t>
      </w:r>
      <w:r>
        <w:rPr>
          <w:i/>
          <w:lang w:val="pt-BR"/>
        </w:rPr>
        <w:t xml:space="preserve"> </w:t>
      </w:r>
      <w:r>
        <w:rPr>
          <w:i/>
          <w:lang w:val="pt-BR"/>
        </w:rPr>
        <w:t xml:space="preserve">29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40472" cy="2683179"/>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13599" name=""/>
                              <pic:cNvPicPr>
                                <a:picLocks noChangeAspect="1"/>
                              </pic:cNvPicPr>
                              <pic:nvPr/>
                            </pic:nvPicPr>
                            <pic:blipFill rotWithShape="1">
                              <a:blip r:embed="rId19"/>
                              <a:stretch/>
                            </pic:blipFill>
                            <pic:spPr bwMode="auto">
                              <a:xfrm flipH="0" flipV="0">
                                <a:off x="0" y="0"/>
                                <a:ext cx="1240471" cy="26831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7.67pt;height:211.27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944168" cy="259222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71625" name=""/>
                              <pic:cNvPicPr>
                                <a:picLocks noChangeAspect="1"/>
                              </pic:cNvPicPr>
                              <pic:nvPr/>
                            </pic:nvPicPr>
                            <pic:blipFill rotWithShape="1">
                              <a:blip r:embed="rId20"/>
                              <a:stretch/>
                            </pic:blipFill>
                            <pic:spPr bwMode="auto">
                              <a:xfrm flipH="0" flipV="0">
                                <a:off x="0" y="0"/>
                                <a:ext cx="1944168" cy="25922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53.08pt;height:204.11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708246" cy="227766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631453" name=""/>
                              <pic:cNvPicPr>
                                <a:picLocks noChangeAspect="1"/>
                              </pic:cNvPicPr>
                              <pic:nvPr/>
                            </pic:nvPicPr>
                            <pic:blipFill rotWithShape="1">
                              <a:blip r:embed="rId21"/>
                              <a:stretch/>
                            </pic:blipFill>
                            <pic:spPr bwMode="auto">
                              <a:xfrm flipH="0" flipV="0">
                                <a:off x="0" y="0"/>
                                <a:ext cx="1708245" cy="22776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34.51pt;height:179.34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16902" cy="173767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989793" name=""/>
                              <pic:cNvPicPr>
                                <a:picLocks noChangeAspect="1"/>
                              </pic:cNvPicPr>
                              <pic:nvPr/>
                            </pic:nvPicPr>
                            <pic:blipFill rotWithShape="1">
                              <a:blip r:embed="rId22"/>
                              <a:stretch/>
                            </pic:blipFill>
                            <pic:spPr bwMode="auto">
                              <a:xfrm flipH="0" flipV="0">
                                <a:off x="0" y="0"/>
                                <a:ext cx="2316901" cy="17376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82.43pt;height:136.82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85525" cy="238914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124066" name=""/>
                              <pic:cNvPicPr>
                                <a:picLocks noChangeAspect="1"/>
                              </pic:cNvPicPr>
                              <pic:nvPr/>
                            </pic:nvPicPr>
                            <pic:blipFill rotWithShape="1">
                              <a:blip r:embed="rId23"/>
                              <a:stretch/>
                            </pic:blipFill>
                            <pic:spPr bwMode="auto">
                              <a:xfrm flipH="0" flipV="0">
                                <a:off x="0" y="0"/>
                                <a:ext cx="3185524" cy="23891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50.83pt;height:188.12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083959" cy="2312969"/>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081107" name=""/>
                              <pic:cNvPicPr>
                                <a:picLocks noChangeAspect="1"/>
                              </pic:cNvPicPr>
                              <pic:nvPr/>
                            </pic:nvPicPr>
                            <pic:blipFill rotWithShape="1">
                              <a:blip r:embed="rId24"/>
                              <a:stretch/>
                            </pic:blipFill>
                            <pic:spPr bwMode="auto">
                              <a:xfrm flipH="0" flipV="0">
                                <a:off x="0" y="0"/>
                                <a:ext cx="3083959" cy="23129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42.83pt;height:182.12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tbl>
      <w:tblPr>
        <w:tblStyle w:val="1035"/>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65380" cy="207403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848391" name=""/>
                              <pic:cNvPicPr>
                                <a:picLocks noChangeAspect="1"/>
                              </pic:cNvPicPr>
                              <pic:nvPr/>
                            </pic:nvPicPr>
                            <pic:blipFill rotWithShape="1">
                              <a:blip r:embed="rId25"/>
                              <a:stretch/>
                            </pic:blipFill>
                            <pic:spPr bwMode="auto">
                              <a:xfrm flipH="0" flipV="0">
                                <a:off x="0" y="0"/>
                                <a:ext cx="2765379" cy="20740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7.75pt;height:163.31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07612" cy="2105709"/>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142853" name=""/>
                              <pic:cNvPicPr>
                                <a:picLocks noChangeAspect="1"/>
                              </pic:cNvPicPr>
                              <pic:nvPr/>
                            </pic:nvPicPr>
                            <pic:blipFill rotWithShape="1">
                              <a:blip r:embed="rId26"/>
                              <a:stretch/>
                            </pic:blipFill>
                            <pic:spPr bwMode="auto">
                              <a:xfrm flipH="0" flipV="0">
                                <a:off x="0" y="0"/>
                                <a:ext cx="2807611" cy="21057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1.07pt;height:165.80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pacing w:after="200" w:line="276" w:lineRule="auto"/>
        <w:ind/>
        <w:jc w:val="center"/>
        <w:rPr>
          <w:b/>
          <w:bCs/>
          <w:highlight w:val="none"/>
        </w:rPr>
      </w:pPr>
      <w:r>
        <w:rPr>
          <w:b/>
          <w:bCs/>
          <w:highlight w:val="none"/>
        </w:rPr>
        <w:t xml:space="preserve">PHÁP LÝ</w: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068932" name=""/>
                        <pic:cNvPicPr>
                          <a:picLocks noChangeAspect="1"/>
                        </pic:cNvPicPr>
                        <pic:nvPr/>
                      </pic:nvPicPr>
                      <pic:blipFill rotWithShape="1">
                        <a:blip r:embed="rId2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z-index:1;" stroked="false">
                <v:imagedata r:id="rId27"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048375" cy="4536281"/>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86494" name=""/>
                        <pic:cNvPicPr>
                          <a:picLocks noChangeAspect="1"/>
                        </pic:cNvPicPr>
                        <pic:nvPr/>
                      </pic:nvPicPr>
                      <pic:blipFill rotWithShape="1">
                        <a:blip r:embed="rId28"/>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357.19pt;mso-wrap-distance-left:0.00pt;mso-wrap-distance-top:0.00pt;mso-wrap-distance-right:0.00pt;mso-wrap-distance-bottom:0.00pt;z-index:1;" stroked="false">
                <v:imagedata r:id="rId28" o:title=""/>
                <o:lock v:ext="edit" rotation="t"/>
              </v:shape>
            </w:pict>
          </mc:Fallback>
        </mc:AlternateContent>
      </w:r>
      <w:r>
        <w:rPr>
          <w:b/>
          <w:bCs/>
          <w:highlight w:val="none"/>
        </w:rPr>
      </w:r>
      <w:r>
        <w:rPr>
          <w:b/>
          <w:bCs/>
          <w:highlight w:val="none"/>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w:t>
      </w:r>
      <w:r>
        <w:rPr>
          <w:b/>
          <w:lang w:val="vi-VN"/>
        </w:rPr>
        <w:t xml:space="preserve">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275/2026/1161/VFI-BC.C01.A</w:t>
      </w:r>
      <w:r>
        <w:rPr>
          <w:i/>
          <w:lang w:val="pt-BR"/>
        </w:rPr>
        <w:t xml:space="preserve"> ngày </w:t>
      </w:r>
      <w:r>
        <w:rPr>
          <w:i/>
          <w:lang w:val="pt-BR"/>
        </w:rPr>
        <w:t xml:space="preserve">29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0969633968</w:t>
            </w:r>
            <w:r>
              <w:rPr>
                <w:sz w:val="22"/>
                <w:szCs w:val="22"/>
              </w:rPr>
              <w:t xml:space="preserve"> </w:t>
            </w:r>
            <w:r>
              <w:rPr>
                <w:sz w:val="22"/>
                <w:szCs w:val="22"/>
              </w:rPr>
              <w:br/>
              <w:t xml:space="preserve">(Vũ</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12.150.000.000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(68m²)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Sa Pa, Tỉnh Lào Cai. Tài sản tiếp giáp đường Hoàng Văn Thụ</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Công trình xây dựng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3 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30466"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93046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30.75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7.5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Mạnh Tuấn</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0989917968</w:t>
            </w:r>
            <w:r>
              <w:rPr>
                <w:sz w:val="22"/>
                <w:szCs w:val="22"/>
              </w:rPr>
              <w:t xml:space="preserve"> </w:t>
            </w:r>
            <w:r>
              <w:rPr>
                <w:sz w:val="22"/>
                <w:szCs w:val="22"/>
              </w:rPr>
              <w:br/>
              <w:t xml:space="preserve">(Học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19.350.000.000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(105m²)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Sa Pa, Tỉnh Lào Cai. Tài sản tiếp giáp đường Ngũ Chỉ Sơn</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Công trình xây dựng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3 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684083"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468408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68.83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631121"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463112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64.66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33.33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33.33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33.33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33.33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Mạnh Tuấn</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0913798993</w:t>
            </w:r>
            <w:r>
              <w:rPr>
                <w:sz w:val="22"/>
                <w:szCs w:val="22"/>
              </w:rPr>
              <w:t xml:space="preserve"> </w:t>
            </w:r>
            <w:r>
              <w:rPr>
                <w:sz w:val="22"/>
                <w:szCs w:val="22"/>
              </w:rPr>
              <w:br/>
              <w:t xml:space="preserve">(Lâm</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10.925.000.000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(60m²)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Sa Pa, Tỉnh Lào Cai. Tài sản tiếp giáp đường Thạch Sơn</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Công trình xây dựng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Nhà 4 tầng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483745"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348374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74.31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55146"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445514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350.80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579554"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457955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360.59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82528"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a:off x="0" y="0"/>
                                <a:ext cx="448252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352.95pt;height:250.00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187.50pt;height:250.00pt;mso-wrap-distance-left:0.00pt;mso-wrap-distance-top:0.00pt;mso-wrap-distance-right:0.00pt;mso-wrap-distance-bottom:0.00pt;z-index:1;" stroked="false">
                      <v:imagedata r:id="rId4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333.33pt;height:250.00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3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4"/>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187.50pt;height:250.00pt;mso-wrap-distance-left:0.00pt;mso-wrap-distance-top:0.00pt;mso-wrap-distance-right:0.00pt;mso-wrap-distance-bottom:0.00pt;z-index:1;" stroked="false">
                      <v:imagedata r:id="rId4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Mạnh Tuấn</w:t>
            </w:r>
            <w:r>
              <w:rPr>
                <w:highlight w:val="none"/>
              </w:rPr>
            </w:r>
            <w:r>
              <w:rPr>
                <w:highlight w:val="none"/>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BIÊN BẢN KHẢO SÁT</w:t>
      </w:r>
      <w:r>
        <w:rPr>
          <w:b/>
          <w:bCs/>
          <w:iCs/>
          <w:highlight w:val="none"/>
          <w:lang w:val="pt-BR"/>
        </w:rPr>
      </w:r>
      <w:r>
        <w:rPr>
          <w:b/>
          <w:bCs/>
          <w:i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405374" name=""/>
                        <pic:cNvPicPr>
                          <a:picLocks noChangeAspect="1"/>
                        </pic:cNvPicPr>
                        <pic:nvPr/>
                      </pic:nvPicPr>
                      <pic:blipFill rotWithShape="1">
                        <a:blip r:embed="rId4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476.25pt;height:635.00pt;mso-wrap-distance-left:0.00pt;mso-wrap-distance-top:0.00pt;mso-wrap-distance-right:0.00pt;mso-wrap-distance-bottom:0.00pt;z-index:1;" stroked="false">
                <v:imagedata r:id="rId45"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E3498C0"/>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Wingdings" w:hAnsi="Wingdings" w:eastAsia="Wingdings" w:cs="Wingdings"/>
      </w:rPr>
      <w:start w:val="1"/>
      <w:suff w:val="tab"/>
    </w:lvl>
    <w:lvl w:ilvl="4">
      <w:isLgl w:val="false"/>
      <w:lvlJc w:val="left"/>
      <w:lvlText w:val=""/>
      <w:numFmt w:val="bullet"/>
      <w:pPr>
        <w:pBdr/>
        <w:spacing/>
        <w:ind w:hanging="360" w:left="3600"/>
      </w:pPr>
      <w:rPr>
        <w:rFonts w:hint="default" w:ascii="Wingdings" w:hAnsi="Wingdings" w:eastAsia="Wingdings" w:cs="Wingdings"/>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Wingdings" w:hAnsi="Wingdings" w:eastAsia="Wingdings" w:cs="Wingdings"/>
      </w:rPr>
      <w:start w:val="1"/>
      <w:suff w:val="tab"/>
    </w:lvl>
    <w:lvl w:ilvl="7">
      <w:isLgl w:val="false"/>
      <w:lvlJc w:val="left"/>
      <w:lvlText w:val=""/>
      <w:numFmt w:val="bullet"/>
      <w:pPr>
        <w:pBdr/>
        <w:spacing/>
        <w:ind w:hanging="360" w:left="5760"/>
      </w:pPr>
      <w:rPr>
        <w:rFonts w:hint="default" w:ascii="Wingdings" w:hAnsi="Wingdings" w:eastAsia="Wingdings" w:cs="Wingdings"/>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8">
    <w:nsid w:val="1E6D3B96"/>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23C774FE"/>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pn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jpg"/><Relationship Id="rId43" Type="http://schemas.openxmlformats.org/officeDocument/2006/relationships/image" Target="media/image29.jpg"/><Relationship Id="rId44" Type="http://schemas.openxmlformats.org/officeDocument/2006/relationships/image" Target="media/image30.jpg"/><Relationship Id="rId45" Type="http://schemas.openxmlformats.org/officeDocument/2006/relationships/image" Target="media/image3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287</cp:revision>
  <dcterms:created xsi:type="dcterms:W3CDTF">2025-09-15T09:58:00Z</dcterms:created>
  <dcterms:modified xsi:type="dcterms:W3CDTF">2026-08-08T07:32:25Z</dcterms:modified>
</cp:coreProperties>
</file>