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bCs/>
          <w:sz w:val="28"/>
          <w:szCs w:val="28"/>
          <w:lang w:val="vi-VN"/>
        </w:rPr>
      </w:pPr>
      <w:r>
        <w:rPr>
          <w:b/>
          <w:sz w:val="28"/>
          <w:lang w:val="vi-VN"/>
        </w:rPr>
        <w:t xml:space="preserve">bị</w:t>
      </w:r>
      <w:r>
        <w:rPr>
          <w:b/>
          <w:bCs/>
          <w:sz w:val="28"/>
          <w:szCs w:val="28"/>
          <w:lang w:val="vi-VN"/>
        </w:rPr>
      </w:r>
      <w:r>
        <w:rPr>
          <w:b/>
          <w:bCs/>
          <w:sz w:val="28"/>
          <w:szCs w:val="28"/>
          <w:lang w:val="vi-VN"/>
        </w:rPr>
      </w:r>
    </w:p>
    <w:p>
      <w:pPr>
        <w:pBdr/>
        <w:spacing/>
        <w:ind w:right="-1"/>
        <w:jc w:val="center"/>
        <w:rPr>
          <w:b/>
          <w:bCs/>
          <w:sz w:val="28"/>
          <w:szCs w:val="28"/>
          <w:lang w:val="vi-VN"/>
        </w:rPr>
      </w:pPr>
      <w:r>
        <w:rPr>
          <w:b/>
          <w:bCs/>
          <w:sz w:val="28"/>
          <w:szCs w:val="28"/>
          <w:lang w:val="vi-VN"/>
        </w:rPr>
      </w:r>
      <w:r>
        <w:rPr>
          <w:b/>
          <w:bCs/>
          <w:sz w:val="28"/>
          <w:szCs w:val="28"/>
          <w:lang w:val="vi-VN"/>
        </w:rPr>
      </w:r>
      <w:r>
        <w:rPr>
          <w:b/>
          <w:bCs/>
          <w:sz w:val="28"/>
          <w:szCs w:val="28"/>
          <w:lang w:val="vi-VN"/>
        </w:rPr>
      </w:r>
    </w:p>
    <w:p>
      <w:pPr>
        <w:pBdr/>
        <w:spacing/>
        <w:ind w:right="-1"/>
        <w:jc w:val="center"/>
        <w:rPr>
          <w:b/>
          <w:bCs/>
          <w:sz w:val="28"/>
          <w:szCs w:val="28"/>
          <w:lang w:val="vi-VN"/>
        </w:rPr>
      </w:pPr>
      <w:r>
        <w:rPr>
          <w:b/>
          <w:sz w:val="28"/>
          <w:lang w:val="vi-VN"/>
        </w:rPr>
      </w:r>
      <w:r>
        <w:rPr>
          <w:b/>
          <w:bCs/>
          <w:sz w:val="28"/>
          <w:szCs w:val="28"/>
          <w:lang w:val="vi-VN"/>
        </w:rPr>
      </w:r>
      <w:r>
        <w:rPr>
          <w:b/>
          <w:bCs/>
          <w:sz w:val="28"/>
          <w:szCs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77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77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275/2026/1024/VFI-CT.57.A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KỸ THUẬT VÀ THƯƠNG MẠI PHÚ CƯỜNG</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liề</w:t>
                            </w:r>
                            <w:r>
                              <w:rPr>
                                <w:rFonts w:ascii="Times New Roman" w:hAnsi="Times New Roman" w:eastAsia="Times New Roman" w:cs="Times New Roman"/>
                                <w:color w:val="000000"/>
                                <w:sz w:val="24"/>
                              </w:rPr>
                              <w:t xml:space="preserve">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rFonts w:ascii="Times New Roman" w:hAnsi="Times New Roman" w:eastAsia="Times New Roman" w:cs="Times New Roman"/>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275/2026/1024/VFI-CT.57.A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CÔNG TY TNHH KỸ THUẬT VÀ THƯƠNG MẠI PHÚ CƯỜNG</w:t>
                      </w:r>
                      <w:r>
                        <w:rPr>
                          <w:rFonts w:ascii="Times New Roman Bold" w:hAnsi="Times New Roman Bold"/>
                          <w:b/>
                          <w:color w:val="000000" w:themeColor="text1"/>
                        </w:rPr>
                      </w:r>
                      <w:r>
                        <w:rPr>
                          <w:rFonts w:ascii="Times New Roman Bold" w:hAnsi="Times New Roman Bold"/>
                          <w:b/>
                          <w:color w:val="000000" w:themeColor="text1"/>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liề</w:t>
                      </w:r>
                      <w:r>
                        <w:rPr>
                          <w:rFonts w:ascii="Times New Roman" w:hAnsi="Times New Roman" w:eastAsia="Times New Roman" w:cs="Times New Roman"/>
                          <w:color w:val="000000"/>
                          <w:sz w:val="24"/>
                        </w:rPr>
                        <w:t xml:space="preserve">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rFonts w:ascii="Times New Roman" w:hAnsi="Times New Roman" w:eastAsia="Times New Roman" w:cs="Times New Roman"/>
                          <w:sz w:val="24"/>
                        </w:rPr>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25-35</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275/2026/1024/VFI-CT.57.A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KỸ THUẬT VÀ THƯƠNG MẠI PHÚ CƯỜNG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275/2026/1024/VFI-HĐTĐ.57.A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Kỹ thuật và Thương mại Phú Cường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275/2026/1024/VFI-BC.57.A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7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CÔNG TY TNHH KỸ THUẬT VÀ THƯƠNG MẠI PHÚ CƯỜNG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748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MST</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0900234709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Ông Nguyễn Huy Cường</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48"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rPr>
        <w:t xml:space="preserve"> </w:t>
      </w:r>
      <w:r>
        <w:rPr>
          <w:rFonts w:ascii="Times New Roman" w:hAnsi="Times New Roman" w:eastAsia="Times New Roman" w:cs="Times New Roman"/>
          <w:color w:val="000000"/>
          <w:sz w:val="24"/>
        </w:rPr>
        <w:t xml:space="preserve">Quyền sử dụng đất và tài sản gắn liền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rPr>
                <w:b/>
                <w:bCs/>
              </w:rPr>
            </w:pPr>
            <w:r>
              <w:rPr>
                <w:b/>
                <w:bCs/>
              </w:rPr>
              <w:t xml:space="preserve">CLCL (%)</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b/>
                <w:bCs/>
              </w:rPr>
            </w:r>
            <w:r>
              <w:rPr>
                <w:b/>
                <w:bCs/>
              </w:rPr>
            </w:r>
          </w:p>
          <w:p>
            <w:pPr>
              <w:pBdr/>
              <w:spacing/>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gridSpan w:val="2"/>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143.000.000</w:t>
            </w:r>
            <w:r/>
          </w:p>
        </w:tc>
        <w:tc>
          <w:tcPr>
            <w:shd w:val="clear" w:color="000000" w:fill="ffffff"/>
            <w:tcBorders/>
            <w:tcW w:w="2164"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14.300.000.000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gridSpan w:val="2"/>
            <w:shd w:val="clear" w:color="000000" w:fill="ffffff"/>
            <w:tcBorders/>
            <w:tcW w:w="2025" w:type="dxa"/>
            <w:vAlign w:val="center"/>
            <w:textDirection w:val="lrTb"/>
            <w:noWrap w:val="false"/>
          </w:tcPr>
          <w:p>
            <w:pPr>
              <w:pBdr/>
              <w:spacing w:after="40" w:before="40" w:line="288" w:lineRule="auto"/>
              <w:ind/>
              <w:rPr>
                <w:b w:val="0"/>
                <w:bCs w:val="0"/>
              </w:rPr>
            </w:pPr>
            <w:r>
              <w:rPr>
                <w:b/>
                <w:bCs/>
              </w:rPr>
            </w:r>
            <w:r>
              <w:rPr>
                <w:rFonts w:ascii="Times New Roman" w:hAnsi="Times New Roman" w:eastAsia="Times New Roman" w:cs="Times New Roman"/>
                <w:b w:val="0"/>
                <w:bCs w:val="0"/>
                <w:color w:val="000000"/>
                <w:sz w:val="24"/>
              </w:rPr>
              <w:t xml:space="preserve">Nhà văn phòng 7,5 tầng</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720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10.151.036</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54%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3.946.722.797</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18.246.722.797</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18.246.700.000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hai trăm bốn mươi sáu triệu bảy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275/2026/1024/VFI-BC.57.A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7 tháng 7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rStyle w:val="1039"/>
                <w:rFonts w:ascii="Times New Roman" w:hAnsi="Times New Roman"/>
                <w:color w:val="000000" w:themeColor="text1"/>
                <w:lang w:val="pt-BR"/>
              </w:rPr>
            </w:pPr>
            <w:r>
              <w:rPr>
                <w:rStyle w:val="1039"/>
                <w:rFonts w:ascii="Times New Roman" w:hAnsi="Times New Roman"/>
                <w:color w:val="000000" w:themeColor="text1"/>
                <w:lang w:val="pt-BR"/>
              </w:rPr>
            </w:r>
            <w:r>
              <w:rPr>
                <w:rStyle w:val="1039"/>
                <w:rFonts w:ascii="Times New Roman" w:hAnsi="Times New Roman"/>
                <w:color w:val="000000" w:themeColor="text1"/>
                <w:lang w:val="pt-BR"/>
              </w:rPr>
            </w:r>
            <w:r>
              <w:rPr>
                <w:rStyle w:val="103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275/2026/1024/VFI-CT.57.A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CÔNG TY TNHH KỸ THUẬT VÀ THƯƠNG MẠI PHÚ CƯỜNG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748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MST</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0900234709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Huy Cường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Giám đốc</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Phố Hiến,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(20.65875, 106.05783333333)</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commentRangeStart w:id="0"/>
            <w:r>
              <w:rPr>
                <w:lang w:val="pt-BR"/>
              </w:rPr>
              <w:t xml:space="preserve">24/06/2026</w:t>
            </w:r>
            <w:r>
              <w:rPr>
                <w:lang w:val="pt-BR"/>
              </w:rPr>
              <w:t xml:space="preserve">.</w:t>
            </w:r>
            <w:r>
              <w:rPr>
                <w:lang w:val="pt-BR"/>
              </w:rPr>
            </w:r>
            <w:commentRangeEnd w:id="0"/>
            <w:r>
              <w:commentReference w:id="0"/>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sz w:val="24"/>
        </w:rPr>
      </w: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275/2026/1024/VFI-HĐTĐ.57.A ngày 24/06/2026 giữa Công ty TNHH Kỹ thuật và Thương mại Phú Cường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Hưng Yên nằm ở trung tâm đồng bằng Sông Hồng, trong vùng kinh tế trọng điểm Bắc Bộ, có lợi thế đặc biệt về vị trí địa lý, kinh tế. Là tỉnh tiếp giáp và là cửa ngõ Đông Nam của Thủ đô Hà Nội, có các trục giao t</w:t>
      </w:r>
      <w:r>
        <w:rPr>
          <w:shd w:val="clear" w:color="auto" w:fill="ffffff"/>
        </w:rPr>
        <w:t xml:space="preserve">hông chính, quan trọng nối Hưng Yên với Hà Nội, Hải Phòng, Quảng Ninh tạo thành mạng lưới giao thông thuận lợi như Dự án đường Vành đai 4; Dự án đường bộ nối cao tốc Hà Nội - Hải Phòng với cao tốc Cầu Giẽ - Ninh Bình (giai đoạn 2);</w:t>
        <w:br/>
        <w:t xml:space="preserve">Theo quy hoạch Thủ đô đư</w:t>
      </w:r>
      <w:r>
        <w:rPr>
          <w:shd w:val="clear" w:color="auto" w:fill="ffffff"/>
        </w:rPr>
        <w:t xml:space="preserve">ợc Chính phủ phê duyệt đến năm 2030, tầm nhìn 2045, khu Đông Hà Nội (bao gồm Hưng Yên) được dự kiến xây dựng trở thành chùm đô thị hiện đại, thiết kế mới như những quốc gia phát triển. Theo đó, sẽ hình thành những khu đô thị khác biệt với các khu đô thị xa</w:t>
      </w:r>
      <w:r>
        <w:rPr>
          <w:shd w:val="clear" w:color="auto" w:fill="ffffff"/>
        </w:rPr>
        <w:t xml:space="preserve">nh, thông minh;</w:t>
        <w:br/>
        <w:t xml:space="preserve">Khu Đông Hà Nội đang được quy hoạch trở thành một trong ba trục phát triển chính của thành phố. Tương lai gần, khi Hà Nội và 9 tỉnh, thành phố phía Bắc được liên kết, trở thành một vùng đô thị của cả nước thì khu Đông sẽ là điểm giao thoa.V</w:t>
      </w:r>
      <w:r>
        <w:rPr>
          <w:shd w:val="clear" w:color="auto" w:fill="ffffff"/>
        </w:rPr>
        <w:t xml:space="preserve">ới tầm nhìn quy hoạch, hứa hẹn khu Đông sẽ là điểm đến của những cuộc đại dịch chuyển cả về dân số lẫn kinh tế với quy mô lớn;</w:t>
        <w:br/>
        <w:t xml:space="preserve">Với sự phát triển đồng bộ về quy hoạch hạ tầng giao thông khu vực, Hưng Yên liên tục đón nhận dòng vốn đầu tư khủng từ các công t</w:t>
      </w:r>
      <w:r>
        <w:rPr>
          <w:shd w:val="clear" w:color="auto" w:fill="ffffff"/>
        </w:rPr>
        <w:t xml:space="preserve">y bất động sản, từ những “ông lớn” có tiếng trong mảng địa ốc như T&amp;T Group,...</w:t>
        <w:br/>
        <w:t xml:space="preserve">Theo báo cáo của Savills, sẽ có khoảng 108.000 sản phẩm nhà ở dự kiến gia nhập thị trường Hưng Yên tới năm 2025 nhằm đáp ứng nguồn cầu nhà ở trong tương lai. Có thể thấy, Hưng </w:t>
      </w:r>
      <w:r>
        <w:rPr>
          <w:shd w:val="clear" w:color="auto" w:fill="ffffff"/>
        </w:rPr>
        <w:t xml:space="preserve">Yên với nguồn cung nhà ở tương lai có chi phí hợp lý sẽ phần nào chia sẻ áp lực mất cân đối cung - cầu nhà ở cho Hà Nội</w:t>
        <w:br/>
        <w:t xml:space="preserve">Đánh giá về thị trường bất động sản ven Hà Nội nói chung, Hưng Yên nói riêng, TS. Nguyễn Văn Đính, Phó Chủ tịch Hiệp hội Bất động sản Vi</w:t>
      </w:r>
      <w:r>
        <w:rPr>
          <w:shd w:val="clear" w:color="auto" w:fill="ffffff"/>
        </w:rPr>
        <w:t xml:space="preserve">ệt Nam, Chủ tịch Hội Môi giới Bất động sản Việt Nam cho hay:“Đối với bất động sản vùng ven, tỉnh nào phát triển mạnh hầu hết đều có sự đầu tư, định hướng phát triển kinh tế của tỉnh đó, như Phố Nối (Hưng Yên) có Khu công nghiệp Phố Nối, Bắc Ninh có Samsung</w:t>
      </w:r>
      <w:r>
        <w:rPr>
          <w:shd w:val="clear" w:color="auto" w:fill="ffffff"/>
        </w:rPr>
        <w:t xml:space="preserve">... Định hướng kinh tế tạo ra việc làm, tăng trưởng GDP khu vực tăng cao thì chắc chắn bất động sản khu vực đó sẽ phát triển theo.”</w:t>
        <w:br/>
        <w:t xml:space="preserve">(Nguồn tham khảo: https://tapchicongthuong.vn/hung-yen--thi-truong-bat-dong-san-dang-chu-y-nhat-mien-bac-nam-nay-119844.htm)</w:t>
      </w:r>
      <w:r>
        <w:rPr>
          <w:i/>
          <w:iCs/>
          <w:lang w:val="pt-BR"/>
        </w:rPr>
      </w:r>
      <w:r>
        <w:rPr>
          <w:i/>
          <w:iCs/>
          <w:lang w:val="pt-BR"/>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và tài sản gắn liền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b/>
                <w:bCs/>
                <w:i/>
                <w:iCs/>
                <w:color w:val="000000"/>
                <w:sz w:val="24"/>
              </w:rPr>
              <w:t xml:space="preserve">(Nay là Phường Phố Hiến, Tỉnh Hưng Yên)</w:t>
            </w:r>
            <w:r>
              <w:rPr>
                <w:rFonts w:ascii="Times New Roman" w:hAnsi="Times New Roman" w:eastAsia="Times New Roman" w:cs="Times New Roman"/>
                <w:b/>
                <w:bCs/>
                <w:color w:val="000000"/>
                <w:sz w:val="24"/>
              </w:rPr>
              <w:t xml:space="preserve"> theo Giấy chứng nhận quyền sử dụng đất số: AK 035332 do UBND Thị xã Hưng Y</w:t>
            </w:r>
            <w:r>
              <w:rPr>
                <w:rFonts w:ascii="Times New Roman" w:hAnsi="Times New Roman" w:eastAsia="Times New Roman" w:cs="Times New Roman"/>
                <w:b/>
                <w:bCs/>
                <w:color w:val="000000"/>
                <w:sz w:val="24"/>
              </w:rPr>
              <w:t xml:space="preserve">ên cấp ngày 28/11/2007; Chủ sử dụng đất là ông Nguyễn Huy Cường (Cập nhật ngày 21/08/2019).</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Số nhà 378 đường Nguyễn Văn Linh, phường Hiến Nam, thành phố Hưng Yên, tỉnh Hưng Yên </w:t>
            </w:r>
            <w:r>
              <w:rPr>
                <w:rFonts w:ascii="Times New Roman" w:hAnsi="Times New Roman" w:eastAsia="Times New Roman" w:cs="Times New Roman"/>
                <w:b w:val="0"/>
                <w:bCs w:val="0"/>
                <w:i/>
                <w:iCs/>
                <w:color w:val="000000"/>
                <w:sz w:val="24"/>
              </w:rPr>
              <w:t xml:space="preserve">(Nay là Phường Phố Hiến, Tỉnh Hưng Yên)</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100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 (*) Nhận quyền sử dụng đất do chuyển nhượng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836375" cy="22159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594717" name=""/>
                              <pic:cNvPicPr>
                                <a:picLocks noChangeAspect="1"/>
                              </pic:cNvPicPr>
                              <pic:nvPr/>
                            </pic:nvPicPr>
                            <pic:blipFill rotWithShape="1">
                              <a:blip r:embed="rId17"/>
                              <a:stretch/>
                            </pic:blipFill>
                            <pic:spPr bwMode="auto">
                              <a:xfrm flipH="0" flipV="0">
                                <a:off x="0" y="0"/>
                                <a:ext cx="3836374" cy="22159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2.08pt;height:174.49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spacing/>
              <w:ind/>
              <w:jc w:val="both"/>
              <w:rPr>
                <w:highlight w:val="none"/>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highlight w:val="none"/>
              </w:rPr>
              <w:t xml:space="preserve">.</w: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Asphant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Đường rộng khoảng 40m + vỉa hè</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pPr>
            <w:r>
              <w:rPr>
                <w:rFonts w:ascii="Times New Roman" w:hAnsi="Times New Roman" w:eastAsia="Times New Roman" w:cs="Times New Roman"/>
                <w:color w:val="000000"/>
                <w:sz w:val="24"/>
              </w:rPr>
              <w:t xml:space="preserve">Đường rộng khoảng 40m + 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mặt tiền đường Nguyễn Văn Linh, phường Hiến Nam, thành phố Hưng Yên, tỉnh Hưng Yên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Hướng Đông: Tiếp giáp đường Nguyễn Văn Linh</w:t>
            </w:r>
            <w:r/>
          </w:p>
          <w:p>
            <w:pPr>
              <w:numPr>
                <w:ilvl w:val="0"/>
                <w:numId w:val="40"/>
              </w:numPr>
              <w:pBdr>
                <w:top w:val="none" w:color="000000" w:sz="4" w:space="0"/>
                <w:left w:val="none" w:color="000000" w:sz="4" w:space="0"/>
                <w:bottom w:val="none" w:color="000000" w:sz="4" w:space="0"/>
                <w:right w:val="none" w:color="000000" w:sz="4" w:space="0"/>
              </w:pBdr>
              <w:spacing/>
              <w:ind/>
              <w:jc w:val="both"/>
              <w:rPr/>
            </w:pPr>
            <w:r>
              <w:rPr>
                <w:rFonts w:ascii="Times New Roman" w:hAnsi="Times New Roman" w:eastAsia="Times New Roman" w:cs="Times New Roman"/>
                <w:color w:val="000000"/>
                <w:sz w:val="24"/>
              </w:rPr>
              <w:t xml:space="preserve">Các hướng còn lại: Tiếp giáp với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(20.65875, 106.05783333333)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250718" cy="2832151"/>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43885" name=""/>
                              <pic:cNvPicPr>
                                <a:picLocks noChangeAspect="1"/>
                              </pic:cNvPicPr>
                              <pic:nvPr/>
                            </pic:nvPicPr>
                            <pic:blipFill rotWithShape="1">
                              <a:blip r:embed="rId18"/>
                              <a:stretch/>
                            </pic:blipFill>
                            <pic:spPr bwMode="auto">
                              <a:xfrm flipH="0" flipV="0">
                                <a:off x="0" y="0"/>
                                <a:ext cx="5250718" cy="2832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3.44pt;height:223.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thông 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rFonts w:ascii="Times New Roman" w:hAnsi="Times New Roman" w:eastAsia="Times New Roman" w:cs="Times New Roman"/>
                <w:color w:val="000000"/>
                <w:sz w:val="24"/>
              </w:rPr>
              <w:t xml:space="preserve">Theo Giấy chứng nhận quyền sử dụng đất số: AK 035332</w:t>
            </w:r>
            <w:r>
              <w:rPr>
                <w:rFonts w:ascii="Times New Roman" w:hAnsi="Times New Roman" w:eastAsia="Times New Roman" w:cs="Times New Roman"/>
                <w:color w:val="000000"/>
                <w:spacing w:val="-2"/>
                <w:sz w:val="24"/>
              </w:rPr>
              <w:t xml:space="preserve">, trên đất có công trình xây dựng đã được chứng nhận quyền sở hữu với diện tích xây dựng là 100m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và diện tích sàn sử dụng là 600m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tuy nhiên tại thời điểm khảo sát dưới sự hướng dẫn trực tiếp của chủ tài sản, Tổ thẩm định xác định được công trình xây dựng gắn liền với đất có diện tích sàn sử dụng là 720m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khác với diện tích đã được chứng nhận</w:t>
            </w:r>
            <w:r>
              <w:rPr>
                <w:rFonts w:ascii="Times New Roman" w:hAnsi="Times New Roman" w:eastAsia="Times New Roman" w:cs="Times New Roman"/>
                <w:color w:val="ee0000"/>
                <w:spacing w:val="-2"/>
                <w:sz w:val="24"/>
              </w:rPr>
              <w:t xml:space="preserve">trên </w:t>
            </w:r>
            <w:r>
              <w:rPr>
                <w:rFonts w:ascii="Times New Roman" w:hAnsi="Times New Roman" w:eastAsia="Times New Roman" w:cs="Times New Roman"/>
                <w:color w:val="ee0000"/>
                <w:sz w:val="24"/>
              </w:rPr>
              <w:t xml:space="preserve">GCN và công trình này được sử dụng thông sàn với công trình nhà tại thửa đất số 139 cùng chủ sử hữu</w:t>
            </w:r>
            <w:r>
              <w:rPr>
                <w:rFonts w:ascii="Times New Roman" w:hAnsi="Times New Roman" w:eastAsia="Times New Roman" w:cs="Times New Roman"/>
                <w:color w:val="000000"/>
                <w:sz w:val="24"/>
              </w:rPr>
              <w:t xml:space="preserve">.</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ff0000"/>
        </w:rPr>
      </w:pPr>
      <w:r>
        <w:rPr>
          <w:rFonts w:ascii="Times New Roman" w:hAnsi="Times New Roman" w:eastAsia="Times New Roman" w:cs="Times New Roman"/>
          <w:color w:val="ff0000"/>
          <w:sz w:val="24"/>
        </w:rPr>
        <w:t xml:space="preserve">Theo Giấy chứng nhận quyền sử dụng đất số: AK 035332</w:t>
      </w:r>
      <w:r>
        <w:rPr>
          <w:rFonts w:ascii="Times New Roman" w:hAnsi="Times New Roman" w:eastAsia="Times New Roman" w:cs="Times New Roman"/>
          <w:color w:val="ff0000"/>
          <w:spacing w:val="-2"/>
          <w:sz w:val="24"/>
        </w:rPr>
        <w:t xml:space="preserve">, trên đất có công trình xây dựng đã được chứng nhận quyền sở hữu với diện tích xây dựng là 100m</w:t>
      </w:r>
      <w:r>
        <w:rPr>
          <w:rFonts w:ascii="Times New Roman" w:hAnsi="Times New Roman" w:eastAsia="Times New Roman" w:cs="Times New Roman"/>
          <w:color w:val="ff0000"/>
          <w:spacing w:val="-2"/>
          <w:sz w:val="20"/>
          <w:vertAlign w:val="superscript"/>
        </w:rPr>
        <w:t xml:space="preserve">2</w:t>
      </w:r>
      <w:r>
        <w:rPr>
          <w:rFonts w:ascii="Times New Roman" w:hAnsi="Times New Roman" w:eastAsia="Times New Roman" w:cs="Times New Roman"/>
          <w:color w:val="ff0000"/>
          <w:spacing w:val="-2"/>
          <w:sz w:val="24"/>
        </w:rPr>
        <w:t xml:space="preserve"> và diện tích sàn sử dụng là 600m</w:t>
      </w:r>
      <w:r>
        <w:rPr>
          <w:rFonts w:ascii="Times New Roman" w:hAnsi="Times New Roman" w:eastAsia="Times New Roman" w:cs="Times New Roman"/>
          <w:color w:val="ff0000"/>
          <w:spacing w:val="-2"/>
          <w:sz w:val="20"/>
          <w:vertAlign w:val="superscript"/>
        </w:rPr>
        <w:t xml:space="preserve">2</w:t>
      </w:r>
      <w:r>
        <w:rPr>
          <w:rFonts w:ascii="Times New Roman" w:hAnsi="Times New Roman" w:eastAsia="Times New Roman" w:cs="Times New Roman"/>
          <w:color w:val="ff0000"/>
          <w:spacing w:val="-2"/>
          <w:sz w:val="24"/>
        </w:rPr>
        <w:t xml:space="preserve">, tuy nhiên tại thời điểm khảo sát dưới sự hướng dẫn trực tiếp của chủ tài sản, Tổ thẩm định xác định được công trình xây dựng gắn liền với đất có diện tích sàn sử dụng là 720m</w:t>
      </w:r>
      <w:r>
        <w:rPr>
          <w:rFonts w:ascii="Times New Roman" w:hAnsi="Times New Roman" w:eastAsia="Times New Roman" w:cs="Times New Roman"/>
          <w:color w:val="ff0000"/>
          <w:spacing w:val="-2"/>
          <w:sz w:val="20"/>
          <w:vertAlign w:val="superscript"/>
        </w:rPr>
        <w:t xml:space="preserve">2</w:t>
      </w:r>
      <w:r>
        <w:rPr>
          <w:rFonts w:ascii="Times New Roman" w:hAnsi="Times New Roman" w:eastAsia="Times New Roman" w:cs="Times New Roman"/>
          <w:color w:val="ff0000"/>
          <w:spacing w:val="-2"/>
          <w:sz w:val="24"/>
        </w:rPr>
        <w:t xml:space="preserve"> khác với diện tích đã được chứng nhận </w:t>
      </w:r>
      <w:r>
        <w:rPr>
          <w:rFonts w:ascii="Times New Roman" w:hAnsi="Times New Roman" w:eastAsia="Times New Roman" w:cs="Times New Roman"/>
          <w:color w:val="ee0000"/>
          <w:spacing w:val="-2"/>
          <w:sz w:val="24"/>
        </w:rPr>
        <w:t xml:space="preserve">trên </w:t>
      </w:r>
      <w:r>
        <w:rPr>
          <w:rFonts w:ascii="Times New Roman" w:hAnsi="Times New Roman" w:eastAsia="Times New Roman" w:cs="Times New Roman"/>
          <w:color w:val="ee0000"/>
          <w:sz w:val="24"/>
        </w:rPr>
        <w:t xml:space="preserve">GCN và công trình này được sử dụng thông sàn với công trình nhà tại thửa đất số 139 cùng chủ sử hữu</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ff0000"/>
          <w:sz w:val="24"/>
        </w:rPr>
        <w:t xml:space="preserve">.</w:t>
      </w:r>
      <w:r>
        <w:rPr>
          <w:rFonts w:ascii="Times New Roman" w:hAnsi="Times New Roman" w:eastAsia="Times New Roman" w:cs="Times New Roman"/>
          <w:color w:val="ff0000"/>
          <w:spacing w:val="-2"/>
          <w:sz w:val="24"/>
        </w:rPr>
        <w:t xml:space="preserve"> </w:t>
      </w:r>
      <w:r>
        <w:rPr>
          <w:rFonts w:ascii="Times New Roman" w:hAnsi="Times New Roman" w:eastAsia="Times New Roman" w:cs="Times New Roman"/>
          <w:color w:val="ff0000"/>
          <w:spacing w:val="-2"/>
          <w:sz w:val="24"/>
        </w:rPr>
        <w:t xml:space="preserve">Theo yêu cầu của khách hàng, </w:t>
      </w:r>
      <w:r>
        <w:rPr>
          <w:rFonts w:ascii="Times New Roman" w:hAnsi="Times New Roman" w:eastAsia="Times New Roman" w:cs="Times New Roman"/>
          <w:color w:val="ff0000"/>
          <w:sz w:val="24"/>
        </w:rPr>
        <w:t xml:space="preserve">tổ thẩm định tiến hành xác định g</w:t>
      </w:r>
      <w:r>
        <w:rPr>
          <w:rFonts w:ascii="Times New Roman" w:hAnsi="Times New Roman" w:eastAsia="Times New Roman" w:cs="Times New Roman"/>
          <w:color w:val="ff0000"/>
          <w:sz w:val="24"/>
        </w:rPr>
        <w:t xml:space="preserve">iá trị công trình xây dựng dựa trên cơ s</w:t>
      </w:r>
      <w:r>
        <w:rPr>
          <w:rFonts w:ascii="Times New Roman" w:hAnsi="Times New Roman" w:eastAsia="Times New Roman" w:cs="Times New Roman"/>
          <w:color w:val="ff0000"/>
          <w:sz w:val="24"/>
        </w:rPr>
        <w:t xml:space="preserve">ở đo đạc kích thước thửa đất thực tế dưới sự hướng dẫn của Khách hàng</w:t>
      </w:r>
      <w:r>
        <w:rPr>
          <w:rFonts w:ascii="Times New Roman" w:hAnsi="Times New Roman" w:eastAsia="Times New Roman" w:cs="Times New Roman"/>
          <w:color w:val="ff0000"/>
          <w:sz w:val="24"/>
        </w:rPr>
        <w:t xml:space="preserve">. Đề nghị Đơn vị sử dụng kết quả có biện pháp kiểm tra/xác minh trong quá trình nhận </w:t>
      </w:r>
      <w:r>
        <w:rPr>
          <w:rFonts w:ascii="Times New Roman" w:hAnsi="Times New Roman" w:eastAsia="Times New Roman" w:cs="Times New Roman"/>
          <w:color w:val="ff0000"/>
          <w:sz w:val="24"/>
        </w:rPr>
        <w:t xml:space="preserve">làm TSBĐ nếu thấy cần thiết.</w:t>
      </w:r>
      <w:r>
        <w:rPr>
          <w:color w:val="ff0000"/>
        </w:rPr>
      </w:r>
      <w:r>
        <w:rPr>
          <w:color w:val="ff0000"/>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Chu Mạnh Trinh,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Điện Biên, Phường Phố Hiến, Tỉnh Hưng Yên</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Nguyễn Lương Bằng, Phường Hiến Nam, Thành phố Hưng Yên, Tỉnh Hưng Yên</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https://batdongsan.com.vn/ban-nha-rieng-duong-dien-bien-phuong-hien-nam-342/ban-4-tang-uong-ien-1-p-pho-hung-yen-gia-20-ty-pr45367400?gidzl=j6-mJ6q82ospThD3PHG9AxXni45u5LWgyY7d5IH73tZ_9kGJSX9VAVbrxXDn4W9-foIx4p3kK8bPQGO98m#js__pr-expired__content-anchor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https://www.facebook.com/viet.tony.397/posts/pfbid0MZASxfSr3Qe8y3AKfMvcy9uxPaPTScyoopeW8aW4VrEx6s7RreyXoAjjTwDnQz2ql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097.229.4889</w:t>
            </w:r>
            <w:r>
              <w:rPr>
                <w:sz w:val="22"/>
                <w:szCs w:val="22"/>
              </w:rPr>
              <w:t xml:space="preserve"> </w:t>
            </w:r>
            <w:r>
              <w:rPr>
                <w:sz w:val="22"/>
                <w:szCs w:val="22"/>
              </w:rPr>
              <w:br/>
              <w:t xml:space="preserve">(</w:t>
            </w:r>
            <w:r>
              <w:rPr>
                <w:sz w:val="22"/>
                <w:szCs w:val="22"/>
              </w:rPr>
              <w:t xml:space="preserve">Lâm Biên Máy Tính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0967819777</w:t>
            </w:r>
            <w:r>
              <w:rPr>
                <w:sz w:val="22"/>
                <w:szCs w:val="22"/>
              </w:rPr>
              <w:br/>
            </w:r>
            <w:r>
              <w:rPr>
                <w:sz w:val="22"/>
                <w:szCs w:val="22"/>
              </w:rPr>
              <w:t xml:space="preserve">(</w:t>
            </w:r>
            <w:r>
              <w:rPr>
                <w:sz w:val="22"/>
                <w:szCs w:val="22"/>
              </w:rPr>
              <w:t xml:space="preserve">Cương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0943977356</w:t>
            </w:r>
            <w:r>
              <w:rPr>
                <w:sz w:val="22"/>
                <w:szCs w:val="22"/>
              </w:rPr>
              <w:br/>
            </w:r>
            <w:r>
              <w:rPr>
                <w:sz w:val="22"/>
                <w:szCs w:val="22"/>
              </w:rPr>
              <w:t xml:space="preserve">(</w:t>
            </w:r>
            <w:r>
              <w:rPr>
                <w:sz w:val="22"/>
                <w:szCs w:val="22"/>
              </w:rPr>
              <w:t xml:space="preserve">Tony Việt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Phố Hiến, Tỉnh Hưng Yên nằm trên mặt đường Nguyễn Văn Linh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Chu Mạnh Trinh, Phường Phố Hiến, Tỉnh Hưng Yên, đường Chu Mạnh Trinh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Điện Biên, Phường Phố Hiến, Tỉnh Hưng Yên, đường Điện Biên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Lương Bằng, Phường Hiến Nam, Thành phố Hưng Yên, Tỉnh Hưng Yên, đường Nguyễn Lương Bằng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Khoảng 40m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Khoảng 40m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Khoảng 25m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Khoảng 20m +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 tốt  (nằm gần ngã tư giao cắt)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 ( Kinh doanh buôn bán 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Rất tốt (Trung tâm thành phố Hưng Yên)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 ( Kinh doanh buôn bán 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cấp 4 giá trị không đáng kể</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4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1 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Số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Diện tích sàn </w:t>
            </w:r>
            <w:r>
              <w:rPr>
                <w:color w:val="000000" w:themeColor="text1"/>
                <w:sz w:val="22"/>
                <w:szCs w:val="22"/>
              </w:rPr>
              <w:t xml:space="preserve">(m²)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320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50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8.925.000.000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2.084.398.694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238.543.344</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w:t>
            </w:r>
            <w:r>
              <w:rPr>
                <w:rFonts w:ascii="Times New Roman" w:hAnsi="Times New Roman" w:eastAsia="Times New Roman" w:cs="Times New Roman"/>
                <w:color w:val="000000"/>
                <w:spacing w:val="-4"/>
                <w:sz w:val="24"/>
              </w:rPr>
              <w:t xml:space="preserve">425/QĐ-BXD ngày 30/3/2026</w:t>
            </w:r>
            <w:r>
              <w:rPr>
                <w:rFonts w:ascii="Times New Roman" w:hAnsi="Times New Roman" w:eastAsia="Times New Roman" w:cs="Times New Roman"/>
                <w:color w:val="000000"/>
                <w:sz w:val="22"/>
              </w:rPr>
              <w:t xml:space="preserve"> của Bộ Xây Dựng (đồng/m²)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7.401.984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6.116.496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14.915.601.306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8.686.456.656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173.729.133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10.200.000.000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14.915.601.306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8.686.456.656</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173.729.133</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173.729.133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173.729.133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173.729.133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Phố Hiến, Tỉnh Hưng Yên nằm trên mặt đường Nguyễn Văn Linh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Chu Mạnh Trinh, Phường Phố Hiến, Tỉnh Hưng Yên, đường Chu Mạnh Trinh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Điện Biên, Phường Phố Hiến, Tỉnh Hưng Yên, đường Điện Biên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Nguyễn Lương Bằng, Phường Hiến Nam, Thành phố Hưng Yên, Tỉnh Hưng Yên, đường Nguyễn Lương Bằng</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8.686.457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182.415.590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182.415.590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9.322.251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8.686.457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195.767.267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191.102.047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-34.745.827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177.122.765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156.356.220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9.322.251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-8.686.457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147.669.763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147.669.763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121.125.000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186.445.016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147.669.763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Khá tốt  (nằm gần ngã tư giao cắt)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Khá ( Kinh doanh buôn bán bình thường)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Rất tốt (Trung tâm thành phố Hưng Yên)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Khá ( Kinh doanh buôn bán bình thường)</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-41.017.904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8.686.457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145.427.112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156.356.220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127.500.000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145.427.112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156.356.220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143.094.444</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9,27%</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25.500.000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78.306.908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69.491.655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41.017.904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17.372.913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-10,9</w:t>
      </w:r>
      <w:r>
        <w:t xml:space="preserve">% đến </w:t>
      </w:r>
      <w:r>
        <w:t xml:space="preserve">9,27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127.500.000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42.508.500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145.427.112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48.470.856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156.356.220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52.113.528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143.092.884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143.000.000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3"/>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b/>
          <w:color w:val="000000"/>
          <w:sz w:val="24"/>
        </w:rPr>
        <w:t xml:space="preserve">Xác định đơn giáxây mới của công trình xây dựng:</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Trụ sở, văn phòng làm việc có số tầng xây dựng là 5 &lt; Số tầng ≤ 7 không có tầng hầm, cân nhắc và xem xét với kết cấu của công trình xây dựng hiện có, tổ thẩm định nhận thấy đơn giá vận dụn</w:t>
      </w:r>
      <w:r>
        <w:rPr>
          <w:rFonts w:ascii="Times New Roman" w:hAnsi="Times New Roman" w:eastAsia="Times New Roman" w:cs="Times New Roman"/>
          <w:color w:val="000000"/>
          <w:sz w:val="24"/>
        </w:rPr>
        <w:t xml:space="preserve">g theo </w:t>
      </w:r>
      <w:r>
        <w:rPr>
          <w:rFonts w:ascii="Times New Roman" w:hAnsi="Times New Roman" w:eastAsia="Times New Roman" w:cs="Times New Roman"/>
          <w:color w:val="000000"/>
          <w:sz w:val="24"/>
        </w:rPr>
        <w:t xml:space="preserve">425/QĐ-BXD ngày 30 tháng 3 năm 2026 của Bộ Xây dựng về việc công bố suất vốn đầu tư xây dựng và giá xây dựng tổng hợp bộ phận kết cấu công trình năm 2025</w:t>
      </w:r>
      <w:r>
        <w:rPr>
          <w:rFonts w:ascii="Times New Roman" w:hAnsi="Times New Roman" w:eastAsia="Times New Roman" w:cs="Times New Roman"/>
          <w:color w:val="000000"/>
          <w:sz w:val="24"/>
        </w:rPr>
        <w:t xml:space="preserve"> là khá phù hợp với thị trường, theo đó:</w:t>
      </w:r>
      <w:r>
        <w:rPr>
          <w:rFonts w:ascii="Times New Roman" w:hAnsi="Times New Roman" w:eastAsia="Times New Roman" w:cs="Times New Roman"/>
          <w:color w:val="000000"/>
          <w:spacing w:val="3"/>
          <w:sz w:val="24"/>
          <w:highlight w:val="white"/>
        </w:rPr>
        <w:t xml:space="preserve"> </w:t>
      </w:r>
      <w:r/>
    </w:p>
    <w:p>
      <w:pPr>
        <w:numPr>
          <w:ilvl w:val="0"/>
          <w:numId w:val="44"/>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i/>
          <w:color w:val="000000"/>
          <w:spacing w:val="-4"/>
          <w:sz w:val="24"/>
        </w:rPr>
        <w:t xml:space="preserve">Suất vốn đầu tư của công trình Trụ sở, văn phòng làm việc có số tầng xây dựng là 5 &lt; Số tầng ≤ 7 không có tầng hầm là</w:t>
      </w:r>
      <w:r>
        <w:rPr>
          <w:rFonts w:ascii="Times New Roman" w:hAnsi="Times New Roman" w:eastAsia="Times New Roman" w:cs="Times New Roman"/>
          <w:b/>
          <w:bCs/>
          <w:i/>
          <w:iCs/>
          <w:color w:val="000000"/>
          <w:spacing w:val="-4"/>
          <w:sz w:val="24"/>
          <w:szCs w:val="24"/>
        </w:rPr>
        <w:t xml:space="preserve"> </w:t>
      </w:r>
      <w:r>
        <w:rPr>
          <w:rFonts w:ascii="Times New Roman" w:hAnsi="Times New Roman" w:eastAsia="Times New Roman" w:cs="Times New Roman"/>
          <w:b/>
          <w:bCs/>
          <w:i/>
          <w:iCs/>
          <w:color w:val="000000"/>
          <w:sz w:val="24"/>
          <w:szCs w:val="24"/>
          <w:highlight w:val="white"/>
        </w:rPr>
        <w:t xml:space="preserve">10.822</w:t>
      </w:r>
      <w:r>
        <w:rPr>
          <w:rFonts w:ascii="Times New Roman" w:hAnsi="Times New Roman" w:eastAsia="Times New Roman" w:cs="Times New Roman"/>
          <w:b/>
          <w:bCs/>
          <w:i/>
          <w:iCs/>
          <w:color w:val="000000"/>
          <w:spacing w:val="-4"/>
          <w:sz w:val="24"/>
          <w:szCs w:val="24"/>
        </w:rPr>
        <w:t xml:space="preserve">.0</w:t>
      </w:r>
      <w:r>
        <w:rPr>
          <w:rFonts w:ascii="Times New Roman" w:hAnsi="Times New Roman" w:eastAsia="Times New Roman" w:cs="Times New Roman"/>
          <w:b/>
          <w:bCs/>
          <w:i/>
          <w:iCs/>
          <w:color w:val="000000"/>
          <w:spacing w:val="-4"/>
          <w:sz w:val="24"/>
          <w:szCs w:val="24"/>
        </w:rPr>
        <w:t xml:space="preserve">0</w:t>
      </w:r>
      <w:r>
        <w:rPr>
          <w:rFonts w:ascii="Times New Roman" w:hAnsi="Times New Roman" w:eastAsia="Times New Roman" w:cs="Times New Roman"/>
          <w:b/>
          <w:bCs/>
          <w:i/>
          <w:color w:val="000000"/>
          <w:spacing w:val="-4"/>
          <w:sz w:val="24"/>
        </w:rPr>
        <w:t xml:space="preserve">0 </w:t>
      </w:r>
      <w:r>
        <w:rPr>
          <w:rFonts w:ascii="Times New Roman" w:hAnsi="Times New Roman" w:eastAsia="Times New Roman" w:cs="Times New Roman"/>
          <w:i/>
          <w:color w:val="000000"/>
          <w:spacing w:val="-4"/>
          <w:sz w:val="24"/>
        </w:rPr>
        <w:t xml:space="preserve">đồng/m², có kết cấu tương tự tài sản thẩm định.</w:t>
      </w:r>
      <w:r/>
    </w:p>
    <w:p>
      <w:pPr>
        <w:numPr>
          <w:ilvl w:val="0"/>
          <w:numId w:val="44"/>
        </w:numPr>
        <w:pBdr>
          <w:top w:val="none" w:color="000000" w:sz="4" w:space="0"/>
          <w:left w:val="none" w:color="000000" w:sz="4" w:space="0"/>
          <w:bottom w:val="none" w:color="000000" w:sz="4" w:space="0"/>
          <w:right w:val="none" w:color="000000" w:sz="4" w:space="0"/>
        </w:pBdr>
        <w:spacing w:after="120" w:before="120" w:line="288" w:lineRule="auto"/>
        <w:ind/>
        <w:jc w:val="both"/>
        <w:rPr/>
      </w:pPr>
      <w:r>
        <w:rPr>
          <w:rFonts w:ascii="Times New Roman" w:hAnsi="Times New Roman" w:eastAsia="Times New Roman" w:cs="Times New Roman"/>
          <w:i/>
          <w:color w:val="000000"/>
          <w:sz w:val="24"/>
        </w:rPr>
        <w:t xml:space="preserve">Hệ số điều chỉnh vùng cho suất vốn đầu tư Vùng 2 – Tỉnh Hưng Yên là: 0,938.</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pPr>
      <w:r>
        <w:rPr>
          <w:rFonts w:ascii="Times New Roman" w:hAnsi="Times New Roman" w:eastAsia="Times New Roman" w:cs="Times New Roman"/>
          <w:color w:val="000000"/>
          <w:spacing w:val="3"/>
          <w:sz w:val="24"/>
          <w:highlight w:val="white"/>
        </w:rPr>
        <w:t xml:space="preserve">Do đó, Tổ thẩm định xác định đơn giá xây mới của công trình là:</w:t>
      </w:r>
      <w:r/>
    </w:p>
    <w:p>
      <w:pPr>
        <w:pBdr>
          <w:top w:val="none" w:color="000000" w:sz="4" w:space="0"/>
          <w:left w:val="none" w:color="000000" w:sz="4" w:space="0"/>
          <w:bottom w:val="none" w:color="000000" w:sz="4" w:space="0"/>
          <w:right w:val="none" w:color="000000" w:sz="4" w:space="0"/>
        </w:pBdr>
        <w:spacing w:after="120" w:before="120" w:line="288" w:lineRule="auto"/>
        <w:ind w:right="0" w:firstLine="284" w:left="0"/>
        <w:jc w:val="both"/>
        <w:rPr>
          <w:rFonts w:ascii="Times New Roman" w:hAnsi="Times New Roman" w:eastAsia="Times New Roman" w:cs="Times New Roman"/>
          <w:b/>
          <w:bCs/>
          <w:i/>
          <w:color w:val="000000"/>
          <w:spacing w:val="3"/>
          <w:sz w:val="24"/>
          <w:szCs w:val="24"/>
          <w:highlight w:val="none"/>
        </w:rPr>
      </w:pPr>
      <w:r>
        <w:rPr>
          <w:rFonts w:ascii="Times New Roman" w:hAnsi="Times New Roman" w:eastAsia="Times New Roman" w:cs="Times New Roman"/>
          <w:b/>
          <w:color w:val="000000"/>
          <w:sz w:val="24"/>
        </w:rPr>
        <w:t xml:space="preserve"> 10.822.000 đồng/m² x 0,938</w:t>
      </w:r>
      <w:r>
        <w:rPr>
          <w:rFonts w:ascii="Times New Roman" w:hAnsi="Times New Roman" w:eastAsia="Times New Roman" w:cs="Times New Roman"/>
          <w:b/>
          <w:color w:val="000000"/>
          <w:spacing w:val="3"/>
          <w:sz w:val="24"/>
          <w:highlight w:val="white"/>
        </w:rPr>
        <w:t xml:space="preserve"> =</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color w:val="000000"/>
          <w:sz w:val="24"/>
        </w:rPr>
        <w:t xml:space="preserve">10.151.036</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3"/>
          <w:sz w:val="24"/>
          <w:highlight w:val="white"/>
        </w:rPr>
        <w:t xml:space="preserve">đồng/m²</w:t>
      </w:r>
      <w:r>
        <w:rPr>
          <w:rFonts w:ascii="Times New Roman" w:hAnsi="Times New Roman" w:eastAsia="Times New Roman" w:cs="Times New Roman"/>
          <w:color w:val="000000"/>
          <w:spacing w:val="3"/>
          <w:sz w:val="24"/>
          <w:highlight w:val="white"/>
        </w:rPr>
        <w:t xml:space="preserve"> </w:t>
      </w:r>
      <w:r>
        <w:rPr>
          <w:rFonts w:ascii="Times New Roman" w:hAnsi="Times New Roman" w:eastAsia="Times New Roman" w:cs="Times New Roman"/>
          <w:b/>
          <w:i/>
          <w:color w:val="000000"/>
          <w:spacing w:val="3"/>
          <w:sz w:val="24"/>
          <w:highlight w:val="white"/>
        </w:rPr>
        <w:t xml:space="preserve">(đơn giá đã bao gồm VAT).</w:t>
      </w:r>
      <w:r>
        <w:rPr>
          <w:rFonts w:ascii="Times New Roman" w:hAnsi="Times New Roman" w:eastAsia="Times New Roman" w:cs="Times New Roman"/>
          <w:b/>
          <w:bCs/>
          <w:i/>
          <w:color w:val="000000"/>
          <w:spacing w:val="3"/>
          <w:sz w:val="24"/>
          <w:szCs w:val="24"/>
          <w:highlight w:val="none"/>
        </w:rPr>
      </w:r>
      <w:r>
        <w:rPr>
          <w:rFonts w:ascii="Times New Roman" w:hAnsi="Times New Roman" w:eastAsia="Times New Roman" w:cs="Times New Roman"/>
          <w:b/>
          <w:bCs/>
          <w:i/>
          <w:color w:val="000000"/>
          <w:spacing w:val="3"/>
          <w:sz w:val="24"/>
          <w:szCs w:val="24"/>
          <w:highlight w:val="non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  Xác định giá trị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right="0" w:firstLine="450" w:left="0"/>
        <w:jc w:val="both"/>
        <w:rPr/>
      </w:pPr>
      <w:r>
        <w:rPr>
          <w:rFonts w:ascii="Times New Roman" w:hAnsi="Times New Roman" w:eastAsia="Times New Roman" w:cs="Times New Roman"/>
          <w:b/>
          <w:i/>
          <w:color w:val="000000"/>
          <w:sz w:val="24"/>
        </w:rPr>
        <w:t xml:space="preserve">Tổng giá trị hao mòn của tài sản được xác định thông qua tổng giá trị các loại hao mòn vật lý, chức năng và ngoại biên của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chức năng và hao mòn ngoại biên: Công trình xây dựng hiện đang sử dụng bình thường, đáp ứng đầy đủ về công năng sử dụng =&gt; hao mòn chức năng và hao mòn ngoại biên là không đáng kể.</w:t>
        <w:tab/>
        <w:tab/>
        <w:tab/>
        <w:tab/>
        <w:tab/>
        <w:tab/>
        <w:tab/>
        <w:tab/>
        <w:tab/>
      </w:r>
      <w:r/>
    </w:p>
    <w:p>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 Hao mòn vật lý: Xác định tỷ lệ hao mòn vật lý căn cứ vào đánh giá mức độ hao mòn các kết cấu chính của tài sản.</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w:t>
      </w:r>
      <w:r>
        <w:rPr>
          <w:rFonts w:ascii="Times New Roman" w:hAnsi="Times New Roman" w:eastAsia="Times New Roman" w:cs="Times New Roman"/>
          <w:color w:val="000000"/>
          <w:sz w:val="24"/>
        </w:rPr>
        <w:t xml:space="preserve">nền,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4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80"/>
        <w:gridCol w:w="690"/>
        <w:gridCol w:w="870"/>
        <w:gridCol w:w="3570"/>
        <w:gridCol w:w="795"/>
        <w:gridCol w:w="3075"/>
      </w:tblGrid>
      <w:tr>
        <w:trPr/>
        <w:tc>
          <w:tcPr>
            <w:tcBorders/>
            <w:tcMar>
              <w:left w:w="15" w:type="dxa"/>
              <w:top w:w="15" w:type="dxa"/>
              <w:right w:w="15" w:type="dxa"/>
              <w:bottom w:w="15" w:type="dxa"/>
            </w:tcMar>
            <w:tcW w:w="25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5" w:type="dxa"/>
              <w:top w:w="15" w:type="dxa"/>
              <w:right w:w="15" w:type="dxa"/>
              <w:bottom w:w="15" w:type="dxa"/>
            </w:tcMar>
            <w:tcW w:w="69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5" w:type="dxa"/>
              <w:top w:w="15" w:type="dxa"/>
              <w:right w:w="15" w:type="dxa"/>
              <w:bottom w:w="15" w:type="dxa"/>
            </w:tcMar>
            <w:tcW w:w="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5" w:type="dxa"/>
              <w:top w:w="15" w:type="dxa"/>
              <w:right w:w="15" w:type="dxa"/>
              <w:bottom w:w="15" w:type="dxa"/>
            </w:tcMar>
            <w:tcW w:w="35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tcMar>
              <w:left w:w="15" w:type="dxa"/>
              <w:top w:w="15" w:type="dxa"/>
              <w:right w:w="15" w:type="dxa"/>
              <w:bottom w:w="15" w:type="dxa"/>
            </w:tcMar>
            <w:tcW w:w="7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x</w:t>
            </w:r>
            <w:r/>
          </w:p>
        </w:tc>
        <w:tc>
          <w:tcPr>
            <w:tcBorders/>
            <w:tcMar>
              <w:left w:w="15" w:type="dxa"/>
              <w:top w:w="15" w:type="dxa"/>
              <w:right w:w="15" w:type="dxa"/>
              <w:bottom w:w="15" w:type="dxa"/>
            </w:tcMar>
            <w:tcW w:w="30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5" w:type="dxa"/>
              <w:top w:w="15" w:type="dxa"/>
              <w:right w:w="15" w:type="dxa"/>
              <w:bottom w:w="15" w:type="dxa"/>
            </w:tcMar>
            <w:tcW w:w="83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65"/>
        <w:gridCol w:w="1865"/>
        <w:gridCol w:w="2080"/>
        <w:gridCol w:w="2080"/>
        <w:gridCol w:w="2081"/>
      </w:tblGrid>
      <w:tr>
        <w:trPr>
          <w:trHeight w:val="9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4"/>
              </w:rPr>
              <w:t xml:space="preserve">b</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54%</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54%</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54%</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54%</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76%</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54%</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54%.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Do đó, tỷ lệ hao mòn của công trình là 100% - 54%= 46%</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spacing w:after="120" w:before="120" w:line="276" w:lineRule="auto"/>
        <w:ind w:firstLine="0" w:left="0"/>
        <w:jc w:val="both"/>
        <w:rPr>
          <w:b/>
          <w:bCs/>
        </w:rPr>
      </w:pPr>
      <w:r>
        <w:rPr>
          <w:b/>
          <w:bCs/>
          <w:highlight w:val="none"/>
        </w:rPr>
      </w:r>
      <w:r>
        <w:rPr>
          <w:b/>
          <w:bCs/>
        </w:rPr>
      </w:r>
      <w:r>
        <w:rPr>
          <w:b/>
          <w:bCs/>
        </w:rPr>
      </w:r>
    </w:p>
    <w:tbl>
      <w:tblPr>
        <w:tblInd w:w="28" w:type="dxa"/>
        <w:tblW w:w="9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34"/>
        <w:gridCol w:w="992"/>
        <w:gridCol w:w="1385"/>
        <w:gridCol w:w="1701"/>
        <w:gridCol w:w="1139"/>
        <w:gridCol w:w="1559"/>
        <w:gridCol w:w="1586"/>
      </w:tblGrid>
      <w:tr>
        <w:trPr>
          <w:trHeight w:val="936"/>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385"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1134"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992"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385"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134" w:type="dxa"/>
            <w:vAlign w:val="center"/>
            <w:textDirection w:val="lrTb"/>
            <w:noWrap w:val="false"/>
          </w:tcPr>
          <w:p>
            <w:pPr>
              <w:pBdr/>
              <w:spacing w:after="60" w:before="60"/>
              <w:ind/>
              <w:jc w:val="center"/>
              <w:rPr>
                <w:sz w:val="22"/>
                <w:szCs w:val="22"/>
              </w:rPr>
            </w:pPr>
            <w:r>
              <w:rPr>
                <w:sz w:val="22"/>
                <w:szCs w:val="22"/>
              </w:rPr>
            </w:r>
            <w:r>
              <w:rPr>
                <w:rFonts w:ascii="Times New Roman" w:hAnsi="Times New Roman" w:eastAsia="Times New Roman" w:cs="Times New Roman"/>
                <w:color w:val="000000"/>
                <w:sz w:val="24"/>
              </w:rPr>
              <w:t xml:space="preserve">Nhà văn phòng 7,5 tầng</w:t>
            </w:r>
            <w:r>
              <w:rPr>
                <w:sz w:val="22"/>
                <w:szCs w:val="22"/>
              </w:rPr>
            </w:r>
            <w:r>
              <w:rPr>
                <w:sz w:val="22"/>
                <w:szCs w:val="22"/>
              </w:rPr>
            </w:r>
          </w:p>
        </w:tc>
        <w:tc>
          <w:tcPr>
            <w:tcBorders/>
            <w:tcW w:w="992" w:type="dxa"/>
            <w:vAlign w:val="center"/>
            <w:textDirection w:val="lrTb"/>
            <w:noWrap/>
          </w:tcPr>
          <w:p>
            <w:pPr>
              <w:pBdr/>
              <w:spacing w:after="60" w:before="60"/>
              <w:ind/>
              <w:jc w:val="center"/>
              <w:rPr>
                <w:sz w:val="22"/>
                <w:szCs w:val="22"/>
              </w:rPr>
            </w:pPr>
            <w:r>
              <w:rPr>
                <w:sz w:val="22"/>
                <w:szCs w:val="22"/>
              </w:rPr>
              <w:t xml:space="preserve">720</w:t>
            </w:r>
            <w:r>
              <w:rPr>
                <w:sz w:val="22"/>
                <w:szCs w:val="22"/>
              </w:rPr>
            </w:r>
            <w:r>
              <w:rPr>
                <w:sz w:val="22"/>
                <w:szCs w:val="22"/>
              </w:rPr>
            </w:r>
          </w:p>
        </w:tc>
        <w:tc>
          <w:tcPr>
            <w:tcBorders/>
            <w:tcW w:w="1385" w:type="dxa"/>
            <w:vAlign w:val="center"/>
            <w:textDirection w:val="lrTb"/>
            <w:noWrap/>
          </w:tcPr>
          <w:p>
            <w:pPr>
              <w:pBdr/>
              <w:spacing w:after="60" w:before="60"/>
              <w:ind/>
              <w:jc w:val="center"/>
              <w:rPr>
                <w:sz w:val="22"/>
                <w:szCs w:val="22"/>
              </w:rPr>
            </w:pPr>
            <w:r>
              <w:rPr>
                <w:sz w:val="22"/>
                <w:szCs w:val="22"/>
              </w:rPr>
              <w:t xml:space="preserve">10.151.036</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7.308.745.920</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46%</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3.362.023.123</w:t>
            </w:r>
            <w:r>
              <w:rPr>
                <w:sz w:val="22"/>
                <w:szCs w:val="22"/>
              </w:rPr>
            </w:r>
            <w:r>
              <w:rPr>
                <w:sz w:val="22"/>
                <w:szCs w:val="22"/>
              </w:rPr>
            </w:r>
          </w:p>
        </w:tc>
        <w:tc>
          <w:tcPr>
            <w:tcBorders/>
            <w:tcW w:w="1586" w:type="dxa"/>
            <w:vAlign w:val="center"/>
            <w:textDirection w:val="lrTb"/>
            <w:noWrap w:val="false"/>
          </w:tcPr>
          <w:p>
            <w:pPr>
              <w:pBdr/>
              <w:spacing w:after="60" w:before="60"/>
              <w:ind/>
              <w:jc w:val="center"/>
              <w:rPr>
                <w:sz w:val="22"/>
                <w:szCs w:val="22"/>
              </w:rPr>
            </w:pPr>
            <w:r>
              <w:rPr>
                <w:sz w:val="22"/>
                <w:szCs w:val="22"/>
              </w:rPr>
              <w:t xml:space="preserve">3.946.722.797</w:t>
            </w:r>
            <w:r>
              <w:rPr>
                <w:sz w:val="22"/>
                <w:szCs w:val="22"/>
              </w:rPr>
            </w:r>
            <w:r>
              <w:rPr>
                <w:sz w:val="22"/>
                <w:szCs w:val="22"/>
              </w:rPr>
            </w:r>
          </w:p>
        </w:tc>
      </w:tr>
    </w:tbl>
    <w:p>
      <w:pPr>
        <w:pStyle w:val="1041"/>
        <w:pBdr/>
        <w:spacing w:after="120" w:before="120" w:line="276" w:lineRule="auto"/>
        <w:ind w:left="357"/>
        <w:jc w:val="both"/>
        <w:rPr>
          <w:b/>
          <w:lang w:val="pt-BR"/>
        </w:rPr>
      </w:pPr>
      <w:r>
        <w:rPr>
          <w:b/>
          <w:lang w:val="pt-BR"/>
        </w:rPr>
      </w:r>
      <w:r>
        <w:rPr>
          <w:b/>
          <w:lang w:val="pt-BR"/>
        </w:rPr>
      </w:r>
      <w:r>
        <w:rPr>
          <w:b/>
          <w:lang w:val="pt-BR"/>
        </w:rPr>
      </w:r>
    </w:p>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07/2026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rPr>
                <w:b/>
                <w:bCs/>
              </w:rPr>
            </w:pPr>
            <w:r>
              <w:rPr>
                <w:b/>
                <w:bCs/>
              </w:rPr>
              <w:t xml:space="preserve">CLCL (%)</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và tài sản gắn liền với đất tại thửa đất số: 140, tờ bản đồ số: 34 có địa chỉ: Số nhà 378 đường Nguyễn Văn Linh, phường Hiến Nam, thành phố Hưng Yên, tỉnh Hưng Yên </w:t>
            </w:r>
            <w:r>
              <w:rPr>
                <w:rFonts w:ascii="Times New Roman" w:hAnsi="Times New Roman" w:eastAsia="Times New Roman" w:cs="Times New Roman"/>
                <w:i/>
                <w:iCs/>
                <w:color w:val="000000"/>
                <w:sz w:val="24"/>
              </w:rPr>
              <w:t xml:space="preserve">(Nay là Phường Phố Hiến, Tỉnh Hưng Yên)</w:t>
            </w:r>
            <w:r>
              <w:rPr>
                <w:rFonts w:ascii="Times New Roman" w:hAnsi="Times New Roman" w:eastAsia="Times New Roman" w:cs="Times New Roman"/>
                <w:color w:val="000000"/>
                <w:sz w:val="24"/>
              </w:rPr>
              <w:t xml:space="preserve"> theo Giấy chứng nhận quyền sử dụng đất số: AK 035332 do UBND Thị xã Hưng Y</w:t>
            </w:r>
            <w:r>
              <w:rPr>
                <w:rFonts w:ascii="Times New Roman" w:hAnsi="Times New Roman" w:eastAsia="Times New Roman" w:cs="Times New Roman"/>
                <w:color w:val="000000"/>
                <w:sz w:val="24"/>
              </w:rPr>
              <w:t xml:space="preserve">ên cấp ngày 28/11/2007; Chủ sử dụng đất là ông Nguyễn Huy Cường (Cập nhật ngày 21/08/2019).</w:t>
            </w:r>
            <w:r>
              <w:rPr>
                <w:b/>
                <w:bCs/>
              </w:rPr>
            </w:r>
            <w:r>
              <w:rPr>
                <w:b/>
                <w:bCs/>
              </w:rPr>
            </w:r>
          </w:p>
          <w:p>
            <w:pPr>
              <w:pBdr/>
              <w:spacing/>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1</w:t>
            </w:r>
            <w:r/>
          </w:p>
        </w:tc>
        <w:tc>
          <w:tcPr>
            <w:gridSpan w:val="2"/>
            <w:shd w:val="clear" w:color="000000" w:fill="ffffff"/>
            <w:tcBorders/>
            <w:tcW w:w="2025" w:type="dxa"/>
            <w:vAlign w:val="center"/>
            <w:textDirection w:val="lrTb"/>
            <w:noWrap w:val="false"/>
          </w:tcPr>
          <w:p>
            <w:pPr>
              <w:pBdr/>
              <w:spacing w:after="40" w:before="40" w:line="288" w:lineRule="auto"/>
              <w:ind/>
              <w:rPr/>
            </w:pPr>
            <w:r>
              <w:rPr>
                <w:b/>
                <w:bCs/>
              </w:rPr>
              <w:t xml:space="preserve">Đất ở tại đô thị</w:t>
            </w: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143.000.000</w:t>
            </w:r>
            <w:r/>
          </w:p>
        </w:tc>
        <w:tc>
          <w:tcPr>
            <w:shd w:val="clear" w:color="000000" w:fill="ffffff"/>
            <w:tcBorders/>
            <w:tcW w:w="2164"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14.300.000.000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2</w:t>
            </w:r>
            <w:r/>
          </w:p>
        </w:tc>
        <w:tc>
          <w:tcPr>
            <w:gridSpan w:val="2"/>
            <w:shd w:val="clear" w:color="000000" w:fill="ffffff"/>
            <w:tcBorders/>
            <w:tcW w:w="2025" w:type="dxa"/>
            <w:vAlign w:val="center"/>
            <w:textDirection w:val="lrTb"/>
            <w:noWrap w:val="false"/>
          </w:tcPr>
          <w:p>
            <w:pPr>
              <w:pBdr/>
              <w:spacing w:after="40" w:before="40" w:line="288" w:lineRule="auto"/>
              <w:ind/>
              <w:rPr>
                <w:b/>
                <w:bCs/>
              </w:rPr>
            </w:pPr>
            <w:r>
              <w:rPr>
                <w:b/>
                <w:bCs/>
              </w:rPr>
            </w:r>
            <w:r>
              <w:rPr>
                <w:rFonts w:ascii="Times New Roman" w:hAnsi="Times New Roman" w:eastAsia="Times New Roman" w:cs="Times New Roman"/>
                <w:b/>
                <w:bCs/>
                <w:color w:val="000000"/>
                <w:sz w:val="24"/>
              </w:rPr>
              <w:t xml:space="preserve">Nhà văn phòng 7,5 tầng</w:t>
            </w:r>
            <w:r>
              <w:rPr>
                <w:b/>
                <w:bCs/>
              </w:rPr>
            </w:r>
            <w:r>
              <w:rPr>
                <w:b/>
                <w:bCs/>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720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10.151.036</w:t>
            </w: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r>
            <w:r>
              <w:rPr>
                <w:color w:val="000000" w:themeColor="text1"/>
              </w:rPr>
              <w:t xml:space="preserve">54%</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3.946.722.797</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18.246.722.797</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18.246.700.000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tám tỷ hai trăm bốn mươi sáu triệu bảy trăm nghìn đồng</w:t>
            </w:r>
            <w:r>
              <w:rPr>
                <w:b/>
                <w:bCs/>
                <w:i/>
                <w:iCs/>
                <w:color w:val="000000"/>
              </w:rPr>
              <w:t xml:space="preserve">./.)</w:t>
            </w:r>
            <w:r>
              <w:rPr>
                <w:b/>
                <w:bCs/>
                <w:i/>
                <w:iCs/>
                <w:color w:val="000000"/>
              </w:rPr>
            </w:r>
            <w:r>
              <w:rPr>
                <w:b/>
                <w:bCs/>
                <w:i/>
                <w:iCs/>
                <w:color w:val="000000"/>
              </w:rPr>
            </w:r>
          </w:p>
        </w:tc>
      </w:tr>
    </w:tbl>
    <w:p>
      <w:pPr>
        <w:pStyle w:val="1041"/>
        <w:pBdr/>
        <w:tabs>
          <w:tab w:val="left" w:leader="none" w:pos="993"/>
        </w:tabs>
        <w:spacing w:after="120" w:before="120" w:line="276" w:lineRule="auto"/>
        <w:ind w:left="0"/>
        <w:jc w:val="both"/>
        <w:rPr/>
      </w:pPr>
      <w:r/>
      <w:r/>
    </w:p>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ff0000"/>
          <w:sz w:val="24"/>
        </w:rPr>
        <w:t xml:space="preserve">Theo Giấy chứng nhận quyền sử dụng đất số: AK 035332</w:t>
      </w:r>
      <w:r>
        <w:rPr>
          <w:rFonts w:ascii="Times New Roman" w:hAnsi="Times New Roman" w:eastAsia="Times New Roman" w:cs="Times New Roman"/>
          <w:color w:val="ff0000"/>
          <w:spacing w:val="-2"/>
          <w:sz w:val="24"/>
        </w:rPr>
        <w:t xml:space="preserve">, trên đất có công trình xây dựng đã được chứng nhận quyền sở hữu với diện tích xây dựng là 100m</w:t>
      </w:r>
      <w:r>
        <w:rPr>
          <w:rFonts w:ascii="Times New Roman" w:hAnsi="Times New Roman" w:eastAsia="Times New Roman" w:cs="Times New Roman"/>
          <w:color w:val="ff0000"/>
          <w:spacing w:val="-2"/>
          <w:sz w:val="20"/>
          <w:vertAlign w:val="superscript"/>
        </w:rPr>
        <w:t xml:space="preserve">2</w:t>
      </w:r>
      <w:r>
        <w:rPr>
          <w:rFonts w:ascii="Times New Roman" w:hAnsi="Times New Roman" w:eastAsia="Times New Roman" w:cs="Times New Roman"/>
          <w:color w:val="ff0000"/>
          <w:spacing w:val="-2"/>
          <w:sz w:val="24"/>
        </w:rPr>
        <w:t xml:space="preserve"> và diện tích sàn sử dụng là 600m</w:t>
      </w:r>
      <w:r>
        <w:rPr>
          <w:rFonts w:ascii="Times New Roman" w:hAnsi="Times New Roman" w:eastAsia="Times New Roman" w:cs="Times New Roman"/>
          <w:color w:val="ff0000"/>
          <w:spacing w:val="-2"/>
          <w:sz w:val="20"/>
          <w:vertAlign w:val="superscript"/>
        </w:rPr>
        <w:t xml:space="preserve">2</w:t>
      </w:r>
      <w:r>
        <w:rPr>
          <w:rFonts w:ascii="Times New Roman" w:hAnsi="Times New Roman" w:eastAsia="Times New Roman" w:cs="Times New Roman"/>
          <w:color w:val="ff0000"/>
          <w:spacing w:val="-2"/>
          <w:sz w:val="24"/>
        </w:rPr>
        <w:t xml:space="preserve">, tuy nhiên tại thời điểm khảo sát dưới sự hướng dẫn trực tiếp của chủ tài sản, Tổ thẩm định xác định được công trình xây dựng gắn liền với đất có diện tích sàn sử dụng là 720m</w:t>
      </w:r>
      <w:r>
        <w:rPr>
          <w:rFonts w:ascii="Times New Roman" w:hAnsi="Times New Roman" w:eastAsia="Times New Roman" w:cs="Times New Roman"/>
          <w:color w:val="ff0000"/>
          <w:spacing w:val="-2"/>
          <w:sz w:val="20"/>
          <w:vertAlign w:val="superscript"/>
        </w:rPr>
        <w:t xml:space="preserve">2</w:t>
      </w:r>
      <w:r>
        <w:rPr>
          <w:rFonts w:ascii="Times New Roman" w:hAnsi="Times New Roman" w:eastAsia="Times New Roman" w:cs="Times New Roman"/>
          <w:color w:val="ff0000"/>
          <w:spacing w:val="-2"/>
          <w:sz w:val="24"/>
        </w:rPr>
        <w:t xml:space="preserve"> khác với diện tích đã được chứng nhận </w:t>
      </w:r>
      <w:r>
        <w:rPr>
          <w:rFonts w:ascii="Times New Roman" w:hAnsi="Times New Roman" w:eastAsia="Times New Roman" w:cs="Times New Roman"/>
          <w:color w:val="ee0000"/>
          <w:spacing w:val="-2"/>
          <w:sz w:val="24"/>
        </w:rPr>
        <w:t xml:space="preserve">trên </w:t>
      </w:r>
      <w:r>
        <w:rPr>
          <w:rFonts w:ascii="Times New Roman" w:hAnsi="Times New Roman" w:eastAsia="Times New Roman" w:cs="Times New Roman"/>
          <w:color w:val="ee0000"/>
          <w:sz w:val="24"/>
        </w:rPr>
        <w:t xml:space="preserve">GCN và công trình này được sử dụng thông sàn với công trình nhà tại thửa đất số 139 cùng chủ sử hữu</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ff0000"/>
          <w:sz w:val="24"/>
        </w:rPr>
        <w:t xml:space="preserve">.</w:t>
      </w:r>
      <w:r>
        <w:rPr>
          <w:rFonts w:ascii="Times New Roman" w:hAnsi="Times New Roman" w:eastAsia="Times New Roman" w:cs="Times New Roman"/>
          <w:color w:val="ff0000"/>
          <w:spacing w:val="-2"/>
          <w:sz w:val="24"/>
        </w:rPr>
        <w:t xml:space="preserve"> Theo yêu cầu của khách hàng, </w:t>
      </w:r>
      <w:r>
        <w:rPr>
          <w:rFonts w:ascii="Times New Roman" w:hAnsi="Times New Roman" w:eastAsia="Times New Roman" w:cs="Times New Roman"/>
          <w:color w:val="ff0000"/>
          <w:sz w:val="24"/>
        </w:rPr>
        <w:t xml:space="preserve">tổ thẩm định tiến hành xác định g</w:t>
      </w:r>
      <w:r>
        <w:rPr>
          <w:rFonts w:ascii="Times New Roman" w:hAnsi="Times New Roman" w:eastAsia="Times New Roman" w:cs="Times New Roman"/>
          <w:color w:val="ff0000"/>
          <w:sz w:val="24"/>
        </w:rPr>
        <w:t xml:space="preserve">iá trị công trình xây dựng dựa trên cơ s</w:t>
      </w:r>
      <w:r>
        <w:rPr>
          <w:rFonts w:ascii="Times New Roman" w:hAnsi="Times New Roman" w:eastAsia="Times New Roman" w:cs="Times New Roman"/>
          <w:color w:val="ff0000"/>
          <w:sz w:val="24"/>
        </w:rPr>
        <w:t xml:space="preserve">ở đo đạc kích thước thửa đất thực tế dưới sự hướng dẫn của Khách hàng</w:t>
      </w:r>
      <w:r>
        <w:rPr>
          <w:rFonts w:ascii="Times New Roman" w:hAnsi="Times New Roman" w:eastAsia="Times New Roman" w:cs="Times New Roman"/>
          <w:color w:val="ff0000"/>
          <w:sz w:val="24"/>
        </w:rPr>
        <w:t xml:space="preserve">. Đề nghị Đơn vị sử dụng kết quả có biện pháp kiểm tra/xác minh trong quá trình nhận </w:t>
      </w:r>
      <w:r>
        <w:rPr>
          <w:rFonts w:ascii="Times New Roman" w:hAnsi="Times New Roman" w:eastAsia="Times New Roman" w:cs="Times New Roman"/>
          <w:color w:val="ff0000"/>
          <w:sz w:val="24"/>
        </w:rPr>
        <w:t xml:space="preserve">làm TSBĐ nếu thấy cần thiết</w:t>
      </w:r>
      <w:r>
        <w:rPr>
          <w:rFonts w:ascii="Times New Roman" w:hAnsi="Times New Roman" w:eastAsia="Times New Roman" w:cs="Times New Roman"/>
          <w:sz w:val="24"/>
        </w:rPr>
        <w:t xml:space="preserve">.</w:t>
      </w: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w:t>
      </w:r>
      <w:r>
        <w:rPr>
          <w:lang w:val="vi-VN"/>
        </w:rPr>
        <w:t xml:space="preserve">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w:t>
      </w:r>
      <w:r>
        <w:rPr>
          <w:lang w:val="vi-VN"/>
        </w:rPr>
        <w:t xml:space="preserve">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275/2026/1024/VFI-CT.57.A</w:t>
      </w:r>
      <w:r>
        <w:rPr>
          <w:color w:val="ff0000"/>
          <w:lang w:val="vi-VN"/>
        </w:rPr>
        <w:t xml:space="preserve"> </w:t>
      </w:r>
      <w:r>
        <w:rPr>
          <w:color w:val="000000" w:themeColor="text1"/>
        </w:rPr>
        <w:t xml:space="preserve">ngày 7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275/2026/1024/VFI-BC.57.A</w:t>
      </w:r>
      <w:r>
        <w:rPr>
          <w:i/>
        </w:rPr>
        <w:t xml:space="preserve"> ngày</w:t>
      </w:r>
      <w:r>
        <w:rPr>
          <w:i/>
          <w:lang w:val="pt-BR"/>
        </w:rPr>
        <w:t xml:space="preserve">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435972" cy="31932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06850" name=""/>
                              <pic:cNvPicPr>
                                <a:picLocks noChangeAspect="1"/>
                              </pic:cNvPicPr>
                              <pic:nvPr/>
                            </pic:nvPicPr>
                            <pic:blipFill rotWithShape="1">
                              <a:blip r:embed="rId19"/>
                              <a:stretch/>
                            </pic:blipFill>
                            <pic:spPr bwMode="auto">
                              <a:xfrm flipH="0" flipV="0">
                                <a:off x="0" y="0"/>
                                <a:ext cx="1435972" cy="3193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3.07pt;height:251.4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1466" cy="2093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34548" name=""/>
                              <pic:cNvPicPr>
                                <a:picLocks noChangeAspect="1"/>
                              </pic:cNvPicPr>
                              <pic:nvPr/>
                            </pic:nvPicPr>
                            <pic:blipFill rotWithShape="1">
                              <a:blip r:embed="rId20"/>
                              <a:stretch/>
                            </pic:blipFill>
                            <pic:spPr bwMode="auto">
                              <a:xfrm flipH="0" flipV="0">
                                <a:off x="0" y="0"/>
                                <a:ext cx="2791466" cy="2093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9.80pt;height:164.85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Chủ tài sản </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6860" cy="197764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03181" name=""/>
                              <pic:cNvPicPr>
                                <a:picLocks noChangeAspect="1"/>
                              </pic:cNvPicPr>
                              <pic:nvPr/>
                            </pic:nvPicPr>
                            <pic:blipFill rotWithShape="1">
                              <a:blip r:embed="rId21"/>
                              <a:stretch/>
                            </pic:blipFill>
                            <pic:spPr bwMode="auto">
                              <a:xfrm flipH="0" flipV="0">
                                <a:off x="0" y="0"/>
                                <a:ext cx="2636859" cy="1977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63pt;height:155.72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5724" cy="206679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69576" name=""/>
                              <pic:cNvPicPr>
                                <a:picLocks noChangeAspect="1"/>
                              </pic:cNvPicPr>
                              <pic:nvPr/>
                            </pic:nvPicPr>
                            <pic:blipFill rotWithShape="1">
                              <a:blip r:embed="rId22"/>
                              <a:stretch/>
                            </pic:blipFill>
                            <pic:spPr bwMode="auto">
                              <a:xfrm flipH="0" flipV="0">
                                <a:off x="0" y="0"/>
                                <a:ext cx="2755724" cy="20667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99pt;height:162.7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21535" cy="196615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791672" name=""/>
                              <pic:cNvPicPr>
                                <a:picLocks noChangeAspect="1"/>
                              </pic:cNvPicPr>
                              <pic:nvPr/>
                            </pic:nvPicPr>
                            <pic:blipFill rotWithShape="1">
                              <a:blip r:embed="rId23"/>
                              <a:stretch/>
                            </pic:blipFill>
                            <pic:spPr bwMode="auto">
                              <a:xfrm flipH="0" flipV="0">
                                <a:off x="0" y="0"/>
                                <a:ext cx="2621534" cy="1966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42pt;height:154.8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0492" cy="201786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91263" name=""/>
                              <pic:cNvPicPr>
                                <a:picLocks noChangeAspect="1"/>
                              </pic:cNvPicPr>
                              <pic:nvPr/>
                            </pic:nvPicPr>
                            <pic:blipFill rotWithShape="1">
                              <a:blip r:embed="rId24"/>
                              <a:stretch/>
                            </pic:blipFill>
                            <pic:spPr bwMode="auto">
                              <a:xfrm flipH="0" flipV="0">
                                <a:off x="0" y="0"/>
                                <a:ext cx="2690492" cy="20178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1.85pt;height:158.8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275/2026/1024/VFI-BC.57.A</w:t>
      </w:r>
      <w:r>
        <w:rPr>
          <w:i/>
        </w:rPr>
        <w:t xml:space="preserve"> ngày</w:t>
      </w:r>
      <w:r>
        <w:rPr>
          <w:i/>
          <w:lang w:val="pt-BR"/>
        </w:rPr>
        <w:t xml:space="preserve"> </w:t>
      </w:r>
      <w:r>
        <w:rPr>
          <w:i/>
          <w:lang w:val="pt-BR"/>
        </w:rPr>
        <w:t xml:space="preserve">7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097.229.4889</w:t>
            </w:r>
            <w:r>
              <w:rPr>
                <w:sz w:val="22"/>
                <w:szCs w:val="22"/>
              </w:rPr>
              <w:t xml:space="preserve"> </w:t>
            </w:r>
            <w:r>
              <w:rPr>
                <w:sz w:val="22"/>
                <w:szCs w:val="22"/>
              </w:rPr>
              <w:br/>
              <w:t xml:space="preserve">(Lâm Biên Máy Tính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Chu Mạnh Trinh, Phường Phố Hiến, Tỉnh Hưng Yên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Khá ( Kinh doanh buôn bán bình thường)</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2024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7202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50.41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25462"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59254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6.5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https://batdongsan.com.vn/ban-nha-rieng-duong-dien-bien-phuong-hien-nam-342/ban-4-tang-uong-ien-1-p-pho-hung-yen-gia-20-ty-pr45367400?gidzl=j6-mJ6q82ospThD3PHG9AxXni45u5LWgyY7d5IH73tZ_9kGJSX9VAVbrxXDn4W9-foIx4p3kK8bPQGO98m#js__pr-expired__content-anchor</w:t>
            </w:r>
            <w:r>
              <w:rPr>
                <w:color w:val="000000" w:themeColor="text1"/>
                <w:sz w:val="22"/>
                <w:szCs w:val="22"/>
              </w:rPr>
              <w:br/>
              <w:t xml:space="preserve">0967819777</w:t>
            </w:r>
            <w:r>
              <w:rPr>
                <w:sz w:val="22"/>
                <w:szCs w:val="22"/>
              </w:rPr>
              <w:t xml:space="preserve"> </w:t>
            </w:r>
            <w:r>
              <w:rPr>
                <w:sz w:val="22"/>
                <w:szCs w:val="22"/>
              </w:rPr>
              <w:br/>
              <w:t xml:space="preserve">(Cương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Điện Biên, Phường Phố Hiến, Tỉnh Hưng Yên, đường Điện Biên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Rất tốt (Trung tâm thành phố Hưng Yên)</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764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5476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6.82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2784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7278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1.0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https://www.facebook.com/viet.tony.397/posts/pfbid0MZASxfSr3Qe8y3AKfMvcy9uxPaPTScyoopeW8aW4VrEx6s7RreyXoAjjTwDnQz2ql</w:t>
            </w:r>
            <w:r>
              <w:rPr>
                <w:color w:val="000000" w:themeColor="text1"/>
                <w:sz w:val="22"/>
                <w:szCs w:val="22"/>
              </w:rPr>
              <w:br/>
            </w:r>
            <w:r>
              <w:rPr>
                <w:sz w:val="22"/>
                <w:szCs w:val="22"/>
              </w:rPr>
              <w:t xml:space="preserve">SĐT: </w:t>
            </w:r>
            <w:r>
              <w:rPr>
                <w:color w:val="000000" w:themeColor="text1"/>
                <w:sz w:val="22"/>
                <w:szCs w:val="22"/>
              </w:rPr>
              <w:t xml:space="preserve">0943977356</w:t>
            </w:r>
            <w:r>
              <w:rPr>
                <w:sz w:val="22"/>
                <w:szCs w:val="22"/>
              </w:rPr>
              <w:t xml:space="preserve"> </w:t>
            </w:r>
            <w:r>
              <w:rPr>
                <w:sz w:val="22"/>
                <w:szCs w:val="22"/>
              </w:rPr>
              <w:br/>
              <w:t xml:space="preserve">(Tony Việt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8.925.000.000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(50m²)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Nguyễn Lương Bằng, Phường Hiến Nam, Thành phố Hưng Yên, Tỉnh Hưng Yên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Khá ( Kinh doanh buôn bán bình thường)</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1573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415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6.4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7419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8741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62.54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b/>
          <w:bCs/>
          <w:iCs/>
          <w:highlight w:val="none"/>
        </w:rPr>
      </w:pPr>
      <w:r>
        <w:rPr>
          <w:iCs/>
          <w:lang w:val="pt-BR"/>
        </w:rPr>
        <w:t xml:space="preserve">                                                               </w:t>
      </w:r>
      <w:r>
        <w:rPr>
          <w:b/>
          <w:bCs/>
          <w:iCs/>
          <w:lang w:val="pt-BR"/>
        </w:rPr>
        <w:t xml:space="preserve">HỒ SƠ PHÁP LÝ</w:t>
      </w:r>
      <w:r>
        <w:rPr>
          <w:b/>
          <w:bCs/>
          <w:iCs/>
          <w:highlight w:val="none"/>
        </w:rPr>
      </w:r>
      <w:r>
        <w:rPr>
          <w:b/>
          <w:bCs/>
          <w:iCs/>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70773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08181" name=""/>
                        <pic:cNvPicPr>
                          <a:picLocks noChangeAspect="1"/>
                        </pic:cNvPicPr>
                        <pic:nvPr/>
                      </pic:nvPicPr>
                      <pic:blipFill rotWithShape="1">
                        <a:blip r:embed="rId31"/>
                        <a:stretch/>
                      </pic:blipFill>
                      <pic:spPr bwMode="auto">
                        <a:xfrm>
                          <a:off x="0" y="0"/>
                          <a:ext cx="6048374" cy="8707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85.65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910892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9063" name=""/>
                        <pic:cNvPicPr>
                          <a:picLocks noChangeAspect="1"/>
                        </pic:cNvPicPr>
                        <pic:nvPr/>
                      </pic:nvPicPr>
                      <pic:blipFill rotWithShape="1">
                        <a:blip r:embed="rId32"/>
                        <a:stretch/>
                      </pic:blipFill>
                      <pic:spPr bwMode="auto">
                        <a:xfrm>
                          <a:off x="0" y="0"/>
                          <a:ext cx="6048374" cy="910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717.24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671549"/>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59210" name=""/>
                        <pic:cNvPicPr>
                          <a:picLocks noChangeAspect="1"/>
                        </pic:cNvPicPr>
                        <pic:nvPr/>
                      </pic:nvPicPr>
                      <pic:blipFill rotWithShape="1">
                        <a:blip r:embed="rId33"/>
                        <a:stretch/>
                      </pic:blipFill>
                      <pic:spPr bwMode="auto">
                        <a:xfrm>
                          <a:off x="0" y="0"/>
                          <a:ext cx="6048374" cy="86715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82.80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9051456"/>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227783" name=""/>
                        <pic:cNvPicPr>
                          <a:picLocks noChangeAspect="1"/>
                        </pic:cNvPicPr>
                        <pic:nvPr/>
                      </pic:nvPicPr>
                      <pic:blipFill rotWithShape="1">
                        <a:blip r:embed="rId34"/>
                        <a:stretch/>
                      </pic:blipFill>
                      <pic:spPr bwMode="auto">
                        <a:xfrm>
                          <a:off x="0" y="0"/>
                          <a:ext cx="6048374" cy="9051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712.71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rPr>
      </w:pPr>
      <w:r>
        <w:rPr>
          <w:iCs/>
          <w:highlight w:val="none"/>
          <w:lang w:val="pt-BR" w:bidi="pt-BR"/>
        </w:rPr>
        <w:t xml:space="preserve">                                                          </w:t>
      </w:r>
      <w:r>
        <w:rPr>
          <w:lang w:val="pt-BR"/>
        </w:rPr>
        <w:t xml:space="preserve">BIÊN BẢN KHẢO SÁT</w:t>
      </w:r>
      <w:r>
        <w:rPr>
          <w:highlight w:val="none"/>
          <w:lang w:val="pt-BR"/>
        </w:rPr>
      </w:r>
      <w:r>
        <w:rPr>
          <w:highlight w:val="none"/>
          <w:lang w:val="pt-BR"/>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23069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7-08T16:13:33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9603B3E" w16cex:dateUtc="2026-07-08T09:13:3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9603B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E162C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644B2B5D"/>
    <w:lvl w:ilvl="0">
      <w:isLgl w:val="false"/>
      <w:lvlJc w:val="left"/>
      <w:lvlText w:val="-"/>
      <w:numFmt w:val="bullet"/>
      <w:pPr>
        <w:pBdr/>
        <w:spacing/>
        <w:ind w:hanging="360" w:left="643"/>
      </w:pPr>
      <w:rPr>
        <w:rFonts w:hint="default" w:ascii="Symbol" w:hAnsi="Symbol" w:eastAsia="Symbol" w:cs="Symbol"/>
      </w:rPr>
      <w:start w:val="1"/>
      <w:suff w:val="tab"/>
    </w:lvl>
    <w:lvl w:ilvl="1">
      <w:isLgl w:val="false"/>
      <w:lvlJc w:val="left"/>
      <w:lvlText w:val="o"/>
      <w:numFmt w:val="bullet"/>
      <w:pPr>
        <w:pBdr/>
        <w:spacing/>
        <w:ind w:hanging="360" w:left="1363"/>
      </w:pPr>
      <w:rPr>
        <w:rFonts w:hint="default" w:ascii="Courier New" w:hAnsi="Courier New" w:eastAsia="Courier New" w:cs="Courier New"/>
      </w:rPr>
      <w:start w:val="1"/>
      <w:suff w:val="tab"/>
    </w:lvl>
    <w:lvl w:ilvl="2">
      <w:isLgl w:val="false"/>
      <w:lvlJc w:val="left"/>
      <w:lvlText w:val=""/>
      <w:numFmt w:val="bullet"/>
      <w:pPr>
        <w:pBdr/>
        <w:spacing/>
        <w:ind w:hanging="360" w:left="2083"/>
      </w:pPr>
      <w:rPr>
        <w:rFonts w:hint="default" w:ascii="Wingdings" w:hAnsi="Wingdings" w:eastAsia="Wingdings" w:cs="Wingdings"/>
      </w:rPr>
      <w:start w:val="1"/>
      <w:suff w:val="tab"/>
    </w:lvl>
    <w:lvl w:ilvl="3">
      <w:isLgl w:val="false"/>
      <w:lvlJc w:val="left"/>
      <w:lvlText w:val=""/>
      <w:numFmt w:val="bullet"/>
      <w:pPr>
        <w:pBdr/>
        <w:spacing/>
        <w:ind w:hanging="360" w:left="2803"/>
      </w:pPr>
      <w:rPr>
        <w:rFonts w:hint="default" w:ascii="Symbol" w:hAnsi="Symbol" w:eastAsia="Symbol" w:cs="Symbol"/>
      </w:rPr>
      <w:start w:val="1"/>
      <w:suff w:val="tab"/>
    </w:lvl>
    <w:lvl w:ilvl="4">
      <w:isLgl w:val="false"/>
      <w:lvlJc w:val="left"/>
      <w:lvlText w:val="o"/>
      <w:numFmt w:val="bullet"/>
      <w:pPr>
        <w:pBdr/>
        <w:spacing/>
        <w:ind w:hanging="360" w:left="3523"/>
      </w:pPr>
      <w:rPr>
        <w:rFonts w:hint="default" w:ascii="Courier New" w:hAnsi="Courier New" w:eastAsia="Courier New" w:cs="Courier New"/>
      </w:rPr>
      <w:start w:val="1"/>
      <w:suff w:val="tab"/>
    </w:lvl>
    <w:lvl w:ilvl="5">
      <w:isLgl w:val="false"/>
      <w:lvlJc w:val="left"/>
      <w:lvlText w:val=""/>
      <w:numFmt w:val="bullet"/>
      <w:pPr>
        <w:pBdr/>
        <w:spacing/>
        <w:ind w:hanging="360" w:left="4243"/>
      </w:pPr>
      <w:rPr>
        <w:rFonts w:hint="default" w:ascii="Wingdings" w:hAnsi="Wingdings" w:eastAsia="Wingdings" w:cs="Wingdings"/>
      </w:rPr>
      <w:start w:val="1"/>
      <w:suff w:val="tab"/>
    </w:lvl>
    <w:lvl w:ilvl="6">
      <w:isLgl w:val="false"/>
      <w:lvlJc w:val="left"/>
      <w:lvlText w:val=""/>
      <w:numFmt w:val="bullet"/>
      <w:pPr>
        <w:pBdr/>
        <w:spacing/>
        <w:ind w:hanging="360" w:left="4963"/>
      </w:pPr>
      <w:rPr>
        <w:rFonts w:hint="default" w:ascii="Symbol" w:hAnsi="Symbol" w:eastAsia="Symbol" w:cs="Symbol"/>
      </w:rPr>
      <w:start w:val="1"/>
      <w:suff w:val="tab"/>
    </w:lvl>
    <w:lvl w:ilvl="7">
      <w:isLgl w:val="false"/>
      <w:lvlJc w:val="left"/>
      <w:lvlText w:val="o"/>
      <w:numFmt w:val="bullet"/>
      <w:pPr>
        <w:pBdr/>
        <w:spacing/>
        <w:ind w:hanging="360" w:left="5683"/>
      </w:pPr>
      <w:rPr>
        <w:rFonts w:hint="default" w:ascii="Courier New" w:hAnsi="Courier New" w:eastAsia="Courier New" w:cs="Courier New"/>
      </w:rPr>
      <w:start w:val="1"/>
      <w:suff w:val="tab"/>
    </w:lvl>
    <w:lvl w:ilvl="8">
      <w:isLgl w:val="false"/>
      <w:lvlJc w:val="left"/>
      <w:lvlText w:val=""/>
      <w:numFmt w:val="bullet"/>
      <w:pPr>
        <w:pBdr/>
        <w:spacing/>
        <w:ind w:hanging="360" w:left="6403"/>
      </w:pPr>
      <w:rPr>
        <w:rFonts w:hint="default" w:ascii="Wingdings" w:hAnsi="Wingdings" w:eastAsia="Wingdings" w:cs="Wingdings"/>
      </w:rPr>
      <w:start w:val="1"/>
      <w:suff w:val="tab"/>
    </w:lvl>
  </w:abstractNum>
  <w:abstractNum w:abstractNumId="39">
    <w:nsid w:val="63238C3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1DDC940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1D032DC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2">
    <w:nsid w:val="15D1C64E"/>
    <w:lvl w:ilvl="0">
      <w:isLgl w:val="false"/>
      <w:lvlJc w:val="left"/>
      <w:lvlText w:val=""/>
      <w:numFmt w:val="bullet"/>
      <w:pPr>
        <w:pBdr/>
        <w:spacing/>
        <w:ind w:hanging="360" w:left="1440"/>
      </w:pPr>
      <w:rPr>
        <w:rFonts w:hint="default" w:ascii="Wingdings" w:hAnsi="Wingdings" w:eastAsia="Wingdings" w:cs="Wingdings"/>
      </w:rPr>
      <w:start w:val="1"/>
      <w:suff w:val="tab"/>
    </w:lvl>
    <w:lvl w:ilvl="1">
      <w:isLgl w:val="false"/>
      <w:lvlJc w:val="left"/>
      <w:lvlText w:val="o"/>
      <w:numFmt w:val="bullet"/>
      <w:pPr>
        <w:pBdr/>
        <w:spacing/>
        <w:ind w:hanging="360" w:left="2160"/>
      </w:pPr>
      <w:rPr>
        <w:rFonts w:hint="default" w:ascii="Courier New" w:hAnsi="Courier New" w:eastAsia="Courier New" w:cs="Courier New"/>
      </w:rPr>
      <w:start w:val="1"/>
      <w:suff w:val="tab"/>
    </w:lvl>
    <w:lvl w:ilvl="2">
      <w:isLgl w:val="false"/>
      <w:lvlJc w:val="left"/>
      <w:lvlText w:val=""/>
      <w:numFmt w:val="bullet"/>
      <w:pPr>
        <w:pBdr/>
        <w:spacing/>
        <w:ind w:hanging="360" w:left="2880"/>
      </w:pPr>
      <w:rPr>
        <w:rFonts w:hint="default" w:ascii="Wingdings" w:hAnsi="Wingdings" w:eastAsia="Wingdings" w:cs="Wingdings"/>
      </w:rPr>
      <w:start w:val="1"/>
      <w:suff w:val="tab"/>
    </w:lvl>
    <w:lvl w:ilvl="3">
      <w:isLgl w:val="false"/>
      <w:lvlJc w:val="left"/>
      <w:lvlText w:val=""/>
      <w:numFmt w:val="bullet"/>
      <w:pPr>
        <w:pBdr/>
        <w:spacing/>
        <w:ind w:hanging="360" w:left="3600"/>
      </w:pPr>
      <w:rPr>
        <w:rFonts w:hint="default" w:ascii="Symbol" w:hAnsi="Symbol" w:eastAsia="Symbol" w:cs="Symbol"/>
      </w:rPr>
      <w:start w:val="1"/>
      <w:suff w:val="tab"/>
    </w:lvl>
    <w:lvl w:ilvl="4">
      <w:isLgl w:val="false"/>
      <w:lvlJc w:val="left"/>
      <w:lvlText w:val="o"/>
      <w:numFmt w:val="bullet"/>
      <w:pPr>
        <w:pBdr/>
        <w:spacing/>
        <w:ind w:hanging="360" w:left="4320"/>
      </w:pPr>
      <w:rPr>
        <w:rFonts w:hint="default" w:ascii="Courier New" w:hAnsi="Courier New" w:eastAsia="Courier New" w:cs="Courier New"/>
      </w:rPr>
      <w:start w:val="1"/>
      <w:suff w:val="tab"/>
    </w:lvl>
    <w:lvl w:ilvl="5">
      <w:isLgl w:val="false"/>
      <w:lvlJc w:val="left"/>
      <w:lvlText w:val=""/>
      <w:numFmt w:val="bullet"/>
      <w:pPr>
        <w:pBdr/>
        <w:spacing/>
        <w:ind w:hanging="360" w:left="5040"/>
      </w:pPr>
      <w:rPr>
        <w:rFonts w:hint="default" w:ascii="Wingdings" w:hAnsi="Wingdings" w:eastAsia="Wingdings" w:cs="Wingdings"/>
      </w:rPr>
      <w:start w:val="1"/>
      <w:suff w:val="tab"/>
    </w:lvl>
    <w:lvl w:ilvl="6">
      <w:isLgl w:val="false"/>
      <w:lvlJc w:val="left"/>
      <w:lvlText w:val=""/>
      <w:numFmt w:val="bullet"/>
      <w:pPr>
        <w:pBdr/>
        <w:spacing/>
        <w:ind w:hanging="360" w:left="5760"/>
      </w:pPr>
      <w:rPr>
        <w:rFonts w:hint="default" w:ascii="Symbol" w:hAnsi="Symbol" w:eastAsia="Symbol" w:cs="Symbol"/>
      </w:rPr>
      <w:start w:val="1"/>
      <w:suff w:val="tab"/>
    </w:lvl>
    <w:lvl w:ilvl="7">
      <w:isLgl w:val="false"/>
      <w:lvlJc w:val="left"/>
      <w:lvlText w:val="o"/>
      <w:numFmt w:val="bullet"/>
      <w:pPr>
        <w:pBdr/>
        <w:spacing/>
        <w:ind w:hanging="360" w:left="6480"/>
      </w:pPr>
      <w:rPr>
        <w:rFonts w:hint="default" w:ascii="Courier New" w:hAnsi="Courier New" w:eastAsia="Courier New" w:cs="Courier New"/>
      </w:rPr>
      <w:start w:val="1"/>
      <w:suff w:val="tab"/>
    </w:lvl>
    <w:lvl w:ilvl="8">
      <w:isLgl w:val="false"/>
      <w:lvlJc w:val="left"/>
      <w:lvlText w:val=""/>
      <w:numFmt w:val="bullet"/>
      <w:pPr>
        <w:pBdr/>
        <w:spacing/>
        <w:ind w:hanging="360" w:left="7200"/>
      </w:pPr>
      <w:rPr>
        <w:rFonts w:hint="default" w:ascii="Wingdings" w:hAnsi="Wingdings" w:eastAsia="Wingdings" w:cs="Wingdings"/>
      </w:rPr>
      <w:start w:val="1"/>
      <w:suff w:val="tab"/>
    </w:lvl>
  </w:abstractNum>
  <w:abstractNum w:abstractNumId="43">
    <w:nsid w:val="192B823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63238C3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comments" Target="comments.xml" /><Relationship Id="rId37" Type="http://schemas.microsoft.com/office/2011/relationships/commentsExtended" Target="commentsExtended.xml" /><Relationship Id="rId38" Type="http://schemas.microsoft.com/office/2018/08/relationships/commentsExtensible" Target="commentsExtensible.xml" /><Relationship Id="rId39" Type="http://schemas.microsoft.com/office/2016/09/relationships/commentsIds" Target="commentsIds.xml" /><Relationship Id="rId40"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517</cp:revision>
  <dcterms:created xsi:type="dcterms:W3CDTF">2025-09-15T02:01:00Z</dcterms:created>
  <dcterms:modified xsi:type="dcterms:W3CDTF">2026-07-10T03:34:16Z</dcterms:modified>
</cp:coreProperties>
</file>