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071853"/>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071852"/>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color w:val="000000" w:themeColor="text1"/>
                              </w:rPr>
                            </w:pPr>
                            <w:r>
                              <w:rPr>
                                <w:b/>
                                <w:color w:val="000000" w:themeColor="text1"/>
                              </w:rPr>
                              <w:t xml:space="preserve">Số: </w:t>
                            </w:r>
                            <w:r>
                              <w:rPr>
                                <w:b/>
                                <w:color w:val="000000" w:themeColor="text1"/>
                              </w:rPr>
                              <w:t xml:space="preserve">275/2026/0970/VFI-CT.48.A</w:t>
                            </w:r>
                            <w:r>
                              <w:rPr>
                                <w:b/>
                                <w:color w:val="000000" w:themeColor="text1"/>
                              </w:rPr>
                            </w:r>
                            <w:r>
                              <w:rPr>
                                <w:b/>
                                <w:color w:val="000000" w:themeColor="text1"/>
                              </w:rPr>
                            </w:r>
                          </w:p>
                          <w:p>
                            <w:pPr>
                              <w:pBdr/>
                              <w:tabs>
                                <w:tab w:val="left" w:leader="none" w:pos="3002"/>
                              </w:tabs>
                              <w:spacing w:after="120" w:before="120" w:line="276" w:lineRule="auto"/>
                              <w:ind/>
                              <w:jc w:val="center"/>
                              <w:rPr>
                                <w:rFonts w:ascii="Times New Roman Bold" w:hAnsi="Times New Roman Bold"/>
                                <w:b/>
                                <w:color w:val="000000" w:themeColor="text1"/>
                              </w:rPr>
                            </w:pPr>
                            <w:r>
                              <w:rPr>
                                <w:rFonts w:ascii="Times New Roman Bold" w:hAnsi="Times New Roman Bold"/>
                                <w:b/>
                                <w:color w:val="000000" w:themeColor="text1"/>
                                <w:lang w:val="pt-BR"/>
                              </w:rPr>
                              <w:t xml:space="preserve">Khách hàng yêu cầu: </w:t>
                            </w:r>
                            <w:r>
                              <w:rPr>
                                <w:rFonts w:ascii="Times New Roman Bold" w:hAnsi="Times New Roman Bold"/>
                                <w:b/>
                                <w:color w:val="000000" w:themeColor="text1"/>
                                <w:lang w:val="pt-BR"/>
                              </w:rPr>
                              <w:t xml:space="preserve">CÔNG TY CỔ PHẦN ĐẦU TƯ QUỐC TẾ AVA GREEN</w:t>
                            </w:r>
                            <w:r>
                              <w:rPr>
                                <w:rFonts w:ascii="Times New Roman Bold" w:hAnsi="Times New Roman Bold"/>
                                <w:b/>
                                <w:color w:val="000000" w:themeColor="text1"/>
                              </w:rPr>
                            </w:r>
                            <w:r>
                              <w:rPr>
                                <w:rFonts w:ascii="Times New Roman Bold" w:hAnsi="Times New Roman Bold"/>
                                <w:b/>
                                <w:color w:val="000000" w:themeColor="text1"/>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08 thửa đất có địa chỉ: Xã Nhân Hoà, huyện Mỹ Hào, tỉnh Hưng Yên (nay là phường Mỹ Hào, tỉnh Hưng Yên), chủ sử dụng đất là Ông Nguyễn Văn Đức và Bà Lê Thị Thu Hải (Danh mục theo Báo cáo kết quả thẩm định giá đính kèm).</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41.88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color w:val="000000" w:themeColor="text1"/>
                        </w:rPr>
                      </w:pPr>
                      <w:r>
                        <w:rPr>
                          <w:b/>
                          <w:color w:val="000000" w:themeColor="text1"/>
                        </w:rPr>
                        <w:t xml:space="preserve">Số: </w:t>
                      </w:r>
                      <w:r>
                        <w:rPr>
                          <w:b/>
                          <w:color w:val="000000" w:themeColor="text1"/>
                        </w:rPr>
                        <w:t xml:space="preserve">275/2026/0970/VFI-CT.48.A</w:t>
                      </w:r>
                      <w:r>
                        <w:rPr>
                          <w:b/>
                          <w:color w:val="000000" w:themeColor="text1"/>
                        </w:rPr>
                      </w:r>
                      <w:r>
                        <w:rPr>
                          <w:b/>
                          <w:color w:val="000000" w:themeColor="text1"/>
                        </w:rPr>
                      </w:r>
                    </w:p>
                    <w:p>
                      <w:pPr>
                        <w:pBdr/>
                        <w:tabs>
                          <w:tab w:val="left" w:leader="none" w:pos="3002"/>
                        </w:tabs>
                        <w:spacing w:after="120" w:before="120" w:line="276" w:lineRule="auto"/>
                        <w:ind/>
                        <w:jc w:val="center"/>
                        <w:rPr>
                          <w:rFonts w:ascii="Times New Roman Bold" w:hAnsi="Times New Roman Bold"/>
                          <w:b/>
                          <w:color w:val="000000" w:themeColor="text1"/>
                        </w:rPr>
                      </w:pPr>
                      <w:r>
                        <w:rPr>
                          <w:rFonts w:ascii="Times New Roman Bold" w:hAnsi="Times New Roman Bold"/>
                          <w:b/>
                          <w:color w:val="000000" w:themeColor="text1"/>
                          <w:lang w:val="pt-BR"/>
                        </w:rPr>
                        <w:t xml:space="preserve">Khách hàng yêu cầu: </w:t>
                      </w:r>
                      <w:r>
                        <w:rPr>
                          <w:rFonts w:ascii="Times New Roman Bold" w:hAnsi="Times New Roman Bold"/>
                          <w:b/>
                          <w:color w:val="000000" w:themeColor="text1"/>
                          <w:lang w:val="pt-BR"/>
                        </w:rPr>
                        <w:t xml:space="preserve">CÔNG TY CỔ PHẦN ĐẦU TƯ QUỐC TẾ AVA GREEN</w:t>
                      </w:r>
                      <w:r>
                        <w:rPr>
                          <w:rFonts w:ascii="Times New Roman Bold" w:hAnsi="Times New Roman Bold"/>
                          <w:b/>
                          <w:color w:val="000000" w:themeColor="text1"/>
                        </w:rPr>
                      </w:r>
                      <w:r>
                        <w:rPr>
                          <w:rFonts w:ascii="Times New Roman Bold" w:hAnsi="Times New Roman Bold"/>
                          <w:b/>
                          <w:color w:val="000000" w:themeColor="text1"/>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08 thửa đất có địa chỉ: Xã Nhân Hoà, huyện Mỹ Hào, tỉnh Hưng Yên (nay là phường Mỹ Hào, tỉnh Hưng Yên), chủ sử dụng đất là Ông Nguyễn Văn Đức và Bà Lê Thị Thu Hải (Danh mục theo Báo cáo kết quả thẩm định giá đính kèm).</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center"/>
        <w:rPr/>
      </w:pPr>
      <w:r>
        <w:rPr>
          <w:rFonts w:ascii="Times New Roman" w:hAnsi="Times New Roman" w:eastAsia="Times New Roman" w:cs="Times New Roman"/>
          <w:b/>
          <w:color w:val="000000"/>
          <w:sz w:val="24"/>
        </w:rPr>
        <w:t xml:space="preserve">DANH MỤC TÀI SẢN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2"/>
        </w:rPr>
        <w:t xml:space="preserve">Tài sản 1:</w:t>
      </w:r>
      <w:r>
        <w:rPr>
          <w:rFonts w:ascii="Times New Roman" w:hAnsi="Times New Roman" w:eastAsia="Times New Roman" w:cs="Times New Roman"/>
          <w:color w:val="000000"/>
          <w:sz w:val="22"/>
        </w:rPr>
        <w:t xml:space="preserve"> Quyền sử dụng đất tại thửa đất số: 431,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738517, </w:t>
      </w:r>
      <w:r>
        <w:rPr>
          <w:rFonts w:ascii="Times New Roman" w:hAnsi="Times New Roman" w:eastAsia="Times New Roman" w:cs="Times New Roman"/>
          <w:color w:val="000000"/>
          <w:sz w:val="22"/>
        </w:rPr>
        <w:t xml:space="preserve">số vào sổ cấp GCN: CS00534 do Sở Tài nguyên và Môi trường tỉnh Hưng Yên cấp ngày 27/12/2018 cho Ông Nguyễn Văn Đức và Bà Lê Thị Thu 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2"/>
        </w:rPr>
        <w:t xml:space="preserve">Tài sản 2:</w:t>
      </w:r>
      <w:r>
        <w:rPr>
          <w:rFonts w:ascii="Times New Roman" w:hAnsi="Times New Roman" w:eastAsia="Times New Roman" w:cs="Times New Roman"/>
          <w:color w:val="000000"/>
          <w:sz w:val="22"/>
        </w:rPr>
        <w:t xml:space="preserve"> Quyền sử dụng đất tại thửa đất số: 432,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738516, </w:t>
      </w:r>
      <w:r>
        <w:rPr>
          <w:rFonts w:ascii="Times New Roman" w:hAnsi="Times New Roman" w:eastAsia="Times New Roman" w:cs="Times New Roman"/>
          <w:color w:val="000000"/>
          <w:sz w:val="22"/>
        </w:rPr>
        <w:t xml:space="preserve">số vào sổ cấp GCN: CS00530 do Sở Tài nguyên và Môi trường tỉnh Hưng Yên cấp ngày 27/12/2018 cho Ông Nguyễn Văn Đức và Bà Lê Thị Thu 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2"/>
        </w:rPr>
        <w:t xml:space="preserve">Tài sản 3:</w:t>
      </w:r>
      <w:r>
        <w:rPr>
          <w:rFonts w:ascii="Times New Roman" w:hAnsi="Times New Roman" w:eastAsia="Times New Roman" w:cs="Times New Roman"/>
          <w:color w:val="000000"/>
          <w:sz w:val="22"/>
        </w:rPr>
        <w:t xml:space="preserve"> Quyền sử dụng đất tại thửa đất số: 433,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738515, </w:t>
      </w:r>
      <w:r>
        <w:rPr>
          <w:rFonts w:ascii="Times New Roman" w:hAnsi="Times New Roman" w:eastAsia="Times New Roman" w:cs="Times New Roman"/>
          <w:color w:val="000000"/>
          <w:sz w:val="22"/>
        </w:rPr>
        <w:t xml:space="preserve">số vào sổ cấp GCN: CS00528 do Sở Tài nguyên và Môi trường tỉnh Hưng Yên cấp ngày 27/12/2018 cho Ông Nguyễn Văn Đức và Bà Lê Thị Thu 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2"/>
        </w:rPr>
        <w:t xml:space="preserve">Tài sản 4:</w:t>
      </w:r>
      <w:r>
        <w:rPr>
          <w:rFonts w:ascii="Times New Roman" w:hAnsi="Times New Roman" w:eastAsia="Times New Roman" w:cs="Times New Roman"/>
          <w:color w:val="000000"/>
          <w:sz w:val="22"/>
        </w:rPr>
        <w:t xml:space="preserve"> Quyền sử dụng đất tại thửa đất số: 434,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738631, </w:t>
      </w:r>
      <w:r>
        <w:rPr>
          <w:rFonts w:ascii="Times New Roman" w:hAnsi="Times New Roman" w:eastAsia="Times New Roman" w:cs="Times New Roman"/>
          <w:color w:val="000000"/>
          <w:sz w:val="22"/>
        </w:rPr>
        <w:t xml:space="preserve">số vào sổ cấp GCN: CS00529 do Sở Tài nguyên và Môi trường tỉnh Hưng Yên cấp ngày 27/12/2018 cho Ông Nguyễn Văn Đức và Bà Lê Thị Thu 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2"/>
        </w:rPr>
        <w:t xml:space="preserve">Tài sản 5:</w:t>
      </w:r>
      <w:r>
        <w:rPr>
          <w:rFonts w:ascii="Times New Roman" w:hAnsi="Times New Roman" w:eastAsia="Times New Roman" w:cs="Times New Roman"/>
          <w:color w:val="000000"/>
          <w:sz w:val="22"/>
        </w:rPr>
        <w:t xml:space="preserve"> Quyền sử dụng đất tại thửa đất số: 435,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738513, </w:t>
      </w:r>
      <w:r>
        <w:rPr>
          <w:rFonts w:ascii="Times New Roman" w:hAnsi="Times New Roman" w:eastAsia="Times New Roman" w:cs="Times New Roman"/>
          <w:color w:val="000000"/>
          <w:sz w:val="22"/>
        </w:rPr>
        <w:t xml:space="preserve">số vào sổ cấp GCN: CS00532 do Sở Tài nguyên và Môi trường tỉnh Hưng Yên cấp ngày 27/12/2018 cho Ông Nguyễn Văn Đức và Bà Lê Thị Thu 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2"/>
        </w:rPr>
        <w:t xml:space="preserve">Tài sản 6:</w:t>
      </w:r>
      <w:r>
        <w:rPr>
          <w:rFonts w:ascii="Times New Roman" w:hAnsi="Times New Roman" w:eastAsia="Times New Roman" w:cs="Times New Roman"/>
          <w:color w:val="000000"/>
          <w:sz w:val="22"/>
        </w:rPr>
        <w:t xml:space="preserve"> Quyền sử dụng đất tại thửa đất số: 436,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738511, </w:t>
      </w:r>
      <w:r>
        <w:rPr>
          <w:rFonts w:ascii="Times New Roman" w:hAnsi="Times New Roman" w:eastAsia="Times New Roman" w:cs="Times New Roman"/>
          <w:color w:val="000000"/>
          <w:sz w:val="22"/>
        </w:rPr>
        <w:t xml:space="preserve">số vào sổ cấp GCN: CS00531 do Sở Tài nguyên và Môi trường tỉnh Hưng Yên cấp ngày 27/12/2018 cho Ông Nguyễn Văn Đức và Bà Lê Thị Thu 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2"/>
        </w:rPr>
        <w:t xml:space="preserve">Tài sản 7:</w:t>
      </w:r>
      <w:r>
        <w:rPr>
          <w:rFonts w:ascii="Times New Roman" w:hAnsi="Times New Roman" w:eastAsia="Times New Roman" w:cs="Times New Roman"/>
          <w:color w:val="000000"/>
          <w:sz w:val="22"/>
        </w:rPr>
        <w:t xml:space="preserve"> Quyền sử dụng đất tại thửa đất số: 437,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738518, </w:t>
      </w:r>
      <w:r>
        <w:rPr>
          <w:rFonts w:ascii="Times New Roman" w:hAnsi="Times New Roman" w:eastAsia="Times New Roman" w:cs="Times New Roman"/>
          <w:color w:val="000000"/>
          <w:sz w:val="22"/>
        </w:rPr>
        <w:t xml:space="preserve">số vào sổ cấp GCN: CS00527 do Sở Tài nguyên và Môi trường tỉnh Hưng Yên cấp ngày 27/12/2018 cho Ông Nguyễn Văn Đức và Bà Lê Thị Thu Hải</w:t>
      </w:r>
      <w:r/>
    </w:p>
    <w:p>
      <w:pPr>
        <w:pBdr/>
        <w:spacing/>
        <w:ind w:right="-1"/>
        <w:jc w:val="both"/>
        <w:rPr>
          <w:b/>
          <w:bCs/>
          <w:sz w:val="28"/>
          <w:szCs w:val="28"/>
        </w:rPr>
      </w:pPr>
      <w:r>
        <w:rPr>
          <w:rFonts w:ascii="Times New Roman" w:hAnsi="Times New Roman" w:eastAsia="Times New Roman" w:cs="Times New Roman"/>
          <w:b/>
          <w:color w:val="000000"/>
          <w:sz w:val="22"/>
        </w:rPr>
        <w:t xml:space="preserve">Tài sản 8:</w:t>
      </w:r>
      <w:r>
        <w:rPr>
          <w:rFonts w:ascii="Times New Roman" w:hAnsi="Times New Roman" w:eastAsia="Times New Roman" w:cs="Times New Roman"/>
          <w:color w:val="000000"/>
          <w:sz w:val="22"/>
        </w:rPr>
        <w:t xml:space="preserve"> Quyền sử dụng đất tại thửa đất số: 438,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738512, </w:t>
      </w:r>
      <w:r>
        <w:rPr>
          <w:rFonts w:ascii="Times New Roman" w:hAnsi="Times New Roman" w:eastAsia="Times New Roman" w:cs="Times New Roman"/>
          <w:color w:val="000000"/>
          <w:sz w:val="22"/>
        </w:rPr>
        <w:t xml:space="preserve">số vào sổ cấp GCN: CS00533 do Sở Tài nguyên và Môi trường tỉnh Hưng Yên cấp ngày 27/12/2018 cho Ông Nguyễn Văn Đức và Bà Lê Thị Thu Hải</w:t>
      </w:r>
      <w:r>
        <w:rPr>
          <w:b/>
          <w:bCs/>
          <w:sz w:val="28"/>
          <w:szCs w:val="28"/>
        </w:rPr>
      </w:r>
      <w:r>
        <w:rPr>
          <w:b/>
          <w:bCs/>
          <w:sz w:val="28"/>
          <w:szCs w:val="28"/>
        </w:rPr>
      </w:r>
    </w:p>
    <w:p>
      <w:pPr>
        <w:pBdr/>
        <w:shd w:val="nil" w:color="auto"/>
        <w:spacing/>
        <w:ind/>
        <w:rPr>
          <w:sz w:val="28"/>
          <w:szCs w:val="28"/>
        </w:rPr>
      </w:pPr>
      <w:r>
        <w:rPr>
          <w:b/>
          <w:sz w:val="28"/>
          <w:highlight w:val="none"/>
        </w:rPr>
        <w:br w:type="page" w:clear="all"/>
      </w:r>
      <w:r>
        <w:rPr>
          <w:sz w:val="28"/>
          <w:szCs w:val="28"/>
        </w:rPr>
      </w:r>
      <w:r>
        <w:rPr>
          <w:sz w:val="28"/>
          <w:szCs w:val="28"/>
        </w:rPr>
      </w:r>
    </w:p>
    <w:p>
      <w:pPr>
        <w:pBdr/>
        <w:spacing/>
        <w:ind w:right="-1"/>
        <w:jc w:val="center"/>
        <w:rPr>
          <w:b/>
          <w:bCs/>
          <w:sz w:val="28"/>
          <w:szCs w:val="28"/>
          <w:highlight w:val="none"/>
        </w:rPr>
      </w:pPr>
      <w:r>
        <w:rPr>
          <w:b/>
          <w:sz w:val="28"/>
        </w:rPr>
        <w:t xml:space="preserve">MỤC LỤC</w:t>
      </w:r>
      <w:r>
        <w:rPr>
          <w:b/>
          <w:bCs/>
          <w:sz w:val="28"/>
          <w:szCs w:val="28"/>
          <w:highlight w:val="none"/>
        </w:rPr>
      </w:r>
      <w:r>
        <w:rPr>
          <w:b/>
          <w:bCs/>
          <w:sz w:val="28"/>
          <w:szCs w:val="28"/>
          <w:highlight w:val="none"/>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4-26</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7"/>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27</w:t>
            </w:r>
            <w:r>
              <w:rPr>
                <w:b/>
                <w:bCs/>
              </w:rPr>
            </w:r>
            <w:r>
              <w:rPr>
                <w:b/>
                <w:bCs/>
              </w:rPr>
            </w:r>
          </w:p>
        </w:tc>
      </w:tr>
      <w:tr>
        <w:trPr/>
        <w:tc>
          <w:tcPr>
            <w:tcBorders/>
            <w:tcMar>
              <w:left w:w="108" w:type="dxa"/>
              <w:right w:w="108" w:type="dxa"/>
            </w:tcMar>
            <w:tcW w:w="7280" w:type="dxa"/>
            <w:vAlign w:val="center"/>
            <w:textDirection w:val="lrTb"/>
            <w:noWrap w:val="false"/>
          </w:tcPr>
          <w:p>
            <w:pPr>
              <w:pStyle w:val="1037"/>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28-30</w:t>
            </w:r>
            <w:r>
              <w:rPr>
                <w:b/>
                <w:bCs/>
              </w:rPr>
            </w:r>
            <w:r>
              <w:rPr>
                <w:b/>
                <w:bCs/>
              </w:rPr>
            </w:r>
          </w:p>
        </w:tc>
      </w:tr>
    </w:tbl>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9808" w:type="dxa"/>
        <w:tblBorders/>
        <w:tblLayout w:type="fixed"/>
        <w:tblLook w:val="04A0" w:firstRow="1" w:lastRow="0" w:firstColumn="1" w:lastColumn="0" w:noHBand="0" w:noVBand="1"/>
      </w:tblPr>
      <w:tblGrid>
        <w:gridCol w:w="1871"/>
        <w:gridCol w:w="3019"/>
        <w:gridCol w:w="4890"/>
        <w:gridCol w:w="29"/>
      </w:tblGrid>
      <w:tr>
        <w:trPr>
          <w:trHeight w:val="1152"/>
        </w:trPr>
        <w:tc>
          <w:tcPr>
            <w:tcBorders/>
            <w:tcW w:w="1871"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793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2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4890" w:type="dxa"/>
            <w:textDirection w:val="lrTb"/>
            <w:noWrap w:val="false"/>
          </w:tcPr>
          <w:p>
            <w:pPr>
              <w:pStyle w:val="1036"/>
              <w:pBdr/>
              <w:spacing w:after="60"/>
              <w:ind/>
              <w:rPr>
                <w:color w:val="000000" w:themeColor="text1"/>
                <w:sz w:val="24"/>
                <w:szCs w:val="24"/>
              </w:rPr>
            </w:pPr>
            <w:r>
              <w:rPr>
                <w:rStyle w:val="1035"/>
                <w:rFonts w:ascii="Times New Roman" w:hAnsi="Times New Roman"/>
                <w:color w:val="000000" w:themeColor="text1"/>
                <w:lang w:val="pt-BR"/>
              </w:rPr>
              <w:t xml:space="preserve">Số: </w:t>
            </w:r>
            <w:r>
              <w:rPr>
                <w:rStyle w:val="1035"/>
                <w:rFonts w:ascii="Times New Roman" w:hAnsi="Times New Roman"/>
                <w:color w:val="000000" w:themeColor="text1"/>
                <w:lang w:val="pt-BR"/>
              </w:rPr>
              <w:t xml:space="preserve">275/2026/0970/VFI-CT.48.A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4890" w:type="dxa"/>
            <w:textDirection w:val="lrTb"/>
            <w:noWrap w:val="false"/>
          </w:tcPr>
          <w:p>
            <w:pPr>
              <w:pStyle w:val="1036"/>
              <w:pBdr/>
              <w:spacing w:after="60"/>
              <w:ind w:right="-56"/>
              <w:jc w:val="right"/>
              <w:rPr>
                <w:color w:val="000000" w:themeColor="text1"/>
                <w:sz w:val="24"/>
                <w:szCs w:val="24"/>
                <w:lang w:val="vi-VN"/>
              </w:rPr>
            </w:pPr>
            <w:r>
              <w:rPr>
                <w:rStyle w:val="1035"/>
                <w:rFonts w:ascii="Times New Roman" w:hAnsi="Times New Roman"/>
                <w:i/>
                <w:color w:val="auto"/>
              </w:rPr>
              <w:t xml:space="preserve">TP. Hà Nội</w:t>
            </w:r>
            <w:r>
              <w:rPr>
                <w:rStyle w:val="1035"/>
                <w:rFonts w:ascii="Times New Roman" w:hAnsi="Times New Roman"/>
                <w:i/>
                <w:color w:val="auto"/>
                <w:lang w:val="vi-VN"/>
              </w:rPr>
              <w:t xml:space="preserve">, </w:t>
            </w:r>
            <w:r>
              <w:rPr>
                <w:rStyle w:val="1035"/>
                <w:rFonts w:ascii="Times New Roman" w:hAnsi="Times New Roman"/>
                <w:i/>
                <w:color w:val="000000" w:themeColor="text1"/>
                <w:lang w:val="vi-VN"/>
              </w:rPr>
              <w:t xml:space="preserve">ngày 29 tháng 6 năm 2026</w:t>
            </w:r>
            <w:r>
              <w:rPr>
                <w:color w:val="000000" w:themeColor="text1"/>
                <w:sz w:val="24"/>
                <w:szCs w:val="24"/>
                <w:lang w:val="vi-VN"/>
              </w:rPr>
            </w:r>
            <w:r>
              <w:rPr>
                <w:color w:val="000000" w:themeColor="text1"/>
                <w:sz w:val="24"/>
                <w:szCs w:val="24"/>
                <w:lang w:val="vi-VN"/>
              </w:rPr>
            </w:r>
          </w:p>
        </w:tc>
      </w:tr>
    </w:tbl>
    <w:p>
      <w:pPr>
        <w:pStyle w:val="1036"/>
        <w:pBdr/>
        <w:spacing w:after="120" w:before="200" w:line="288" w:lineRule="auto"/>
        <w:ind/>
        <w:jc w:val="center"/>
        <w:rPr>
          <w:rStyle w:val="1035"/>
          <w:rFonts w:ascii="Times New Roman" w:hAnsi="Times New Roman"/>
          <w:b/>
          <w:bCs/>
          <w:color w:val="auto"/>
          <w:sz w:val="30"/>
          <w:szCs w:val="30"/>
          <w:lang w:val="vi-VN"/>
        </w:rPr>
      </w:pPr>
      <w:r>
        <w:rPr>
          <w:rStyle w:val="1035"/>
          <w:rFonts w:ascii="Times New Roman" w:hAnsi="Times New Roman"/>
          <w:b/>
          <w:bCs/>
          <w:color w:val="auto"/>
          <w:sz w:val="30"/>
          <w:szCs w:val="30"/>
          <w:lang w:val="vi-VN"/>
        </w:rPr>
        <w:t xml:space="preserve">CHỨNG THƯ THẨM ĐỊNH GIÁ</w:t>
      </w:r>
      <w:r>
        <w:rPr>
          <w:rStyle w:val="1035"/>
          <w:rFonts w:ascii="Times New Roman" w:hAnsi="Times New Roman"/>
          <w:b/>
          <w:bCs/>
          <w:color w:val="auto"/>
          <w:sz w:val="30"/>
          <w:szCs w:val="30"/>
          <w:lang w:val="vi-VN"/>
        </w:rPr>
      </w:r>
      <w:r>
        <w:rPr>
          <w:rStyle w:val="1035"/>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CỔ PHẦN ĐẦU TƯ QUỐC TẾ AVA GREEN</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275/2026/0970/VFI-HĐTĐ.48.A</w:t>
      </w:r>
      <w:r>
        <w:rPr>
          <w:spacing w:val="-4"/>
          <w:lang w:val="vi-VN"/>
        </w:rPr>
        <w:t xml:space="preserve"> ký ngày </w:t>
      </w:r>
      <w:r>
        <w:rPr>
          <w:color w:val="000000" w:themeColor="text1"/>
          <w:spacing w:val="-4"/>
        </w:rPr>
        <w:t xml:space="preserve">27 tháng 6 năm 2026</w:t>
      </w:r>
      <w:r>
        <w:rPr>
          <w:spacing w:val="-4"/>
          <w:lang w:val="vi-VN"/>
        </w:rPr>
        <w:t xml:space="preserve"> </w:t>
      </w:r>
      <w:r>
        <w:rPr>
          <w:spacing w:val="-4"/>
          <w:lang w:val="vi-VN"/>
        </w:rPr>
        <w:t xml:space="preserve">giữa </w:t>
      </w:r>
      <w:r>
        <w:rPr>
          <w:rFonts w:ascii="Times New Roman" w:hAnsi="Times New Roman" w:eastAsia="Times New Roman" w:cs="Times New Roman"/>
          <w:color w:val="000000"/>
          <w:spacing w:val="-4"/>
          <w:sz w:val="24"/>
        </w:rPr>
        <w:t xml:space="preserve">Công ty Cổ Phần Đầu Tư Quốc Tế Ava Green</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275/2026/0970/VFI-BC.48.A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29 tháng 6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pacing w:val="-8"/>
                <w:sz w:val="24"/>
              </w:rPr>
              <w:t xml:space="preserve">CÔNG TY CỔ PHẦN ĐẦU TƯ QUỐC TẾ AVA GREEN</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Mã số thuế</w:t>
            </w: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0901024422</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Đia chỉ</w:t>
            </w: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Đường Nguyễn Văn Linh, phường Đường Hào, tỉnh Hưng Yên</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Đại diện</w:t>
            </w: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rPr>
              <w:t xml:space="preserve">Ông Nguyễn Văn Đức</w:t>
            </w:r>
            <w:r/>
          </w:p>
        </w:tc>
      </w:tr>
      <w:tr>
        <w:trPr>
          <w:trHeight w:val="20"/>
        </w:trPr>
        <w:tc>
          <w:tcPr>
            <w:shd w:val="clear" w:color="ffffff" w:fill="ffffff"/>
            <w:tcBorders/>
            <w:tcW w:w="1109" w:type="pct"/>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Chức vụ</w:t>
            </w:r>
            <w:r/>
          </w:p>
        </w:tc>
        <w:tc>
          <w:tcPr>
            <w:shd w:val="clear" w:color="ffffff" w:fill="ffffff"/>
            <w:tcBorders/>
            <w:tcW w:w="248" w:type="pct"/>
            <w:vAlign w:val="center"/>
            <w:vMerge w:val="restart"/>
            <w:textDirection w:val="lrTb"/>
            <w:noWrap w:val="false"/>
          </w:tcPr>
          <w:p>
            <w:pPr>
              <w:pBdr/>
              <w:spacing w:after="40" w:before="40" w:line="276" w:lineRule="auto"/>
              <w:ind/>
              <w:jc w:val="center"/>
              <w:rPr>
                <w:bCs/>
                <w:color w:val="000000"/>
                <w:lang w:val="pt-BR"/>
              </w:rPr>
            </w:pPr>
            <w:r>
              <w:rPr>
                <w:bCs/>
                <w:color w:val="000000"/>
                <w:lang w:val="pt-BR"/>
              </w:rPr>
              <w:t xml:space="preserve">:</w:t>
            </w:r>
            <w:r>
              <w:rPr>
                <w:bCs/>
                <w:color w:val="000000"/>
                <w:lang w:val="pt-BR"/>
              </w:rPr>
            </w:r>
            <w:r>
              <w:rPr>
                <w:bCs/>
                <w:color w:val="000000"/>
                <w:lang w:val="pt-BR"/>
              </w:rPr>
            </w:r>
          </w:p>
        </w:tc>
        <w:tc>
          <w:tcPr>
            <w:tcBorders/>
            <w:tcW w:w="3643" w:type="pct"/>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rPr>
              <w:t xml:space="preserve">Chủ tịch HĐQT</w:t>
            </w: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color w:val="000000" w:themeColor="text1"/>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Quyền sử dụng đất tại thửa đất số: 431,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738517, </w:t>
      </w:r>
      <w:r>
        <w:rPr>
          <w:rFonts w:ascii="Times New Roman" w:hAnsi="Times New Roman" w:eastAsia="Times New Roman" w:cs="Times New Roman"/>
          <w:color w:val="000000"/>
          <w:sz w:val="24"/>
        </w:rPr>
        <w:t xml:space="preserve">số vào sổ cấp GCN: CS00534 do Sở Tài nguyên và Môi trường tỉnh Hưng Yên cấp ngày 27/12/2018 cho Ông Nguyễn Văn Đức và Bà Lê Thị Thu 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Quyền sử dụng đất tại thửa đất số: 432,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738516, </w:t>
      </w:r>
      <w:r>
        <w:rPr>
          <w:rFonts w:ascii="Times New Roman" w:hAnsi="Times New Roman" w:eastAsia="Times New Roman" w:cs="Times New Roman"/>
          <w:color w:val="000000"/>
          <w:sz w:val="24"/>
        </w:rPr>
        <w:t xml:space="preserve">số vào sổ cấp GCN: CS00530 do Sở Tài nguyên và Môi trường tỉnh Hưng Yên cấp ngày 27/12/2018 cho Ông Nguyễn Văn Đức và Bà Lê Thị Thu 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3:</w:t>
      </w:r>
      <w:r>
        <w:rPr>
          <w:rFonts w:ascii="Times New Roman" w:hAnsi="Times New Roman" w:eastAsia="Times New Roman" w:cs="Times New Roman"/>
          <w:color w:val="000000"/>
          <w:sz w:val="24"/>
        </w:rPr>
        <w:t xml:space="preserve"> Quyền sử dụng đất tại thửa đất số: 433,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738515, </w:t>
      </w:r>
      <w:r>
        <w:rPr>
          <w:rFonts w:ascii="Times New Roman" w:hAnsi="Times New Roman" w:eastAsia="Times New Roman" w:cs="Times New Roman"/>
          <w:color w:val="000000"/>
          <w:sz w:val="24"/>
        </w:rPr>
        <w:t xml:space="preserve">số vào sổ cấp GCN: CS00528 do Sở Tài nguyên và Môi trường tỉnh Hưng Yên cấp ngày 27/12/2018 cho Ông Nguyễn Văn Đức và Bà Lê Thị Thu 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4:</w:t>
      </w:r>
      <w:r>
        <w:rPr>
          <w:rFonts w:ascii="Times New Roman" w:hAnsi="Times New Roman" w:eastAsia="Times New Roman" w:cs="Times New Roman"/>
          <w:color w:val="000000"/>
          <w:sz w:val="24"/>
        </w:rPr>
        <w:t xml:space="preserve"> Quyền sử dụng đất tại thửa đất số: 434,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738631, </w:t>
      </w:r>
      <w:r>
        <w:rPr>
          <w:rFonts w:ascii="Times New Roman" w:hAnsi="Times New Roman" w:eastAsia="Times New Roman" w:cs="Times New Roman"/>
          <w:color w:val="000000"/>
          <w:sz w:val="24"/>
        </w:rPr>
        <w:t xml:space="preserve">số vào sổ cấp GCN: CS00529 do Sở Tài nguyên và Môi trường tỉnh Hưng Yên cấp ngày 27/12/2018 cho Ông Nguyễn Văn Đức và Bà Lê Thị Thu 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5:</w:t>
      </w:r>
      <w:r>
        <w:rPr>
          <w:rFonts w:ascii="Times New Roman" w:hAnsi="Times New Roman" w:eastAsia="Times New Roman" w:cs="Times New Roman"/>
          <w:color w:val="000000"/>
          <w:sz w:val="24"/>
        </w:rPr>
        <w:t xml:space="preserve"> Quyền sử dụng đất tại thửa đất số: 435,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738513, </w:t>
      </w:r>
      <w:r>
        <w:rPr>
          <w:rFonts w:ascii="Times New Roman" w:hAnsi="Times New Roman" w:eastAsia="Times New Roman" w:cs="Times New Roman"/>
          <w:color w:val="000000"/>
          <w:sz w:val="24"/>
        </w:rPr>
        <w:t xml:space="preserve">số vào sổ cấp GCN: CS00532 do Sở Tài nguyên và Môi trường tỉnh Hưng Yên cấp ngày 27/12/2018 cho Ông Nguyễn Văn Đức và Bà Lê Thị Thu 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6:</w:t>
      </w:r>
      <w:r>
        <w:rPr>
          <w:rFonts w:ascii="Times New Roman" w:hAnsi="Times New Roman" w:eastAsia="Times New Roman" w:cs="Times New Roman"/>
          <w:color w:val="000000"/>
          <w:sz w:val="24"/>
        </w:rPr>
        <w:t xml:space="preserve"> Quyền sử dụng đất tại thửa đất số: 436,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738511, </w:t>
      </w:r>
      <w:r>
        <w:rPr>
          <w:rFonts w:ascii="Times New Roman" w:hAnsi="Times New Roman" w:eastAsia="Times New Roman" w:cs="Times New Roman"/>
          <w:color w:val="000000"/>
          <w:sz w:val="24"/>
        </w:rPr>
        <w:t xml:space="preserve">số vào sổ cấp GCN: CS00531 do Sở Tài nguyên và Môi trường tỉnh Hưng Yên cấp ngày 27/12/2018 cho Ông Nguyễn Văn Đức và Bà Lê Thị Thu 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7:</w:t>
      </w:r>
      <w:r>
        <w:rPr>
          <w:rFonts w:ascii="Times New Roman" w:hAnsi="Times New Roman" w:eastAsia="Times New Roman" w:cs="Times New Roman"/>
          <w:color w:val="000000"/>
          <w:sz w:val="24"/>
        </w:rPr>
        <w:t xml:space="preserve"> Quyền sử dụng đất tại thửa đất số: 437,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738518, </w:t>
      </w:r>
      <w:r>
        <w:rPr>
          <w:rFonts w:ascii="Times New Roman" w:hAnsi="Times New Roman" w:eastAsia="Times New Roman" w:cs="Times New Roman"/>
          <w:color w:val="000000"/>
          <w:sz w:val="24"/>
        </w:rPr>
        <w:t xml:space="preserve">số vào sổ cấp GCN: CS00527 do Sở Tài nguyên và Môi trường tỉnh Hưng Yên cấp ngày 27/12/2018 cho Ông Nguyễn Văn Đức và Bà Lê Thị Thu Hải</w:t>
      </w:r>
      <w:r/>
    </w:p>
    <w:p>
      <w:pPr>
        <w:pBdr/>
        <w:spacing w:after="120" w:before="120" w:line="312" w:lineRule="auto"/>
        <w:ind/>
        <w:jc w:val="both"/>
        <w:rPr>
          <w:b/>
          <w:bCs/>
        </w:rPr>
      </w:pPr>
      <w:r>
        <w:rPr>
          <w:rFonts w:ascii="Times New Roman" w:hAnsi="Times New Roman" w:eastAsia="Times New Roman" w:cs="Times New Roman"/>
          <w:b/>
          <w:color w:val="000000"/>
          <w:sz w:val="24"/>
        </w:rPr>
        <w:t xml:space="preserve">Tài sản 8:</w:t>
      </w:r>
      <w:r>
        <w:rPr>
          <w:rFonts w:ascii="Times New Roman" w:hAnsi="Times New Roman" w:eastAsia="Times New Roman" w:cs="Times New Roman"/>
          <w:color w:val="000000"/>
          <w:sz w:val="24"/>
        </w:rPr>
        <w:t xml:space="preserve"> Quyền sử dụng đất tại thửa đất số: 438,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738512, </w:t>
      </w:r>
      <w:r>
        <w:rPr>
          <w:rFonts w:ascii="Times New Roman" w:hAnsi="Times New Roman" w:eastAsia="Times New Roman" w:cs="Times New Roman"/>
          <w:color w:val="000000"/>
          <w:sz w:val="24"/>
        </w:rPr>
        <w:t xml:space="preserve">số vào sổ cấp GCN: CS00533 do Sở Tài nguyên và Môi trường tỉnh Hưng Yên cấp ngày 27/12/2018 cho Ông Nguyễn Văn Đức và Bà Lê Thị Thu Hải</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06/2026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06/2026</w:t>
      </w:r>
      <w:r>
        <w:rPr>
          <w:lang w:val="vi-VN"/>
        </w:rPr>
        <w:t xml:space="preserve"> ước tính</w:t>
      </w:r>
      <w:r>
        <w:t xml:space="preserve"> </w:t>
      </w:r>
      <w:r>
        <w:rPr>
          <w:lang w:val="vi-VN"/>
        </w:rPr>
        <w:t xml:space="preserve">như sau:</w:t>
      </w: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737"/>
        <w:gridCol w:w="1984"/>
        <w:gridCol w:w="1701"/>
        <w:gridCol w:w="2693"/>
        <w:gridCol w:w="2410"/>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431,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738517, s</w:t>
            </w:r>
            <w:r>
              <w:rPr>
                <w:rFonts w:ascii="Times New Roman" w:hAnsi="Times New Roman" w:eastAsia="Times New Roman" w:cs="Times New Roman"/>
                <w:b/>
                <w:color w:val="000000"/>
                <w:sz w:val="24"/>
              </w:rPr>
              <w:t xml:space="preserve">ố vào sổ cấp GCN: CS00534 do Sở Tài nguyên và Môi trường tỉnh Hưng Yên cấp ngày 27/12/2018 cho Ông Nguyễn Văn Đức và Bà Lê Thị Thu Hải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6.800.000.000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w:t>
            </w:r>
            <w:r/>
          </w:p>
        </w:tc>
        <w:tc>
          <w:tcPr>
            <w:gridSpan w:val="3"/>
            <w:tcBorders>
              <w:bottom w:val="single" w:color="000000" w:sz="8" w:space="0"/>
              <w:right w:val="single" w:color="000000" w:sz="8" w:space="0"/>
            </w:tcBorders>
            <w:tcMar>
              <w:left w:w="108" w:type="dxa"/>
              <w:top w:w="0" w:type="dxa"/>
              <w:right w:w="108" w:type="dxa"/>
              <w:bottom w:w="0" w:type="dxa"/>
            </w:tcMar>
            <w:tcW w:w="6378"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432,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738516, s</w:t>
            </w:r>
            <w:r>
              <w:rPr>
                <w:rFonts w:ascii="Times New Roman" w:hAnsi="Times New Roman" w:eastAsia="Times New Roman" w:cs="Times New Roman"/>
                <w:b/>
                <w:color w:val="000000"/>
                <w:sz w:val="24"/>
              </w:rPr>
              <w:t xml:space="preserve">ố vào sổ cấp GCN: CS00530 do Sở Tài nguyên và Môi trường tỉnh Hưng Yên cấp ngày 27/12/2018 cho Ông Nguyễn Văn Đức và Bà Lê Thị Thu Hải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6.800.000.000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433,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738515, s</w:t>
            </w:r>
            <w:r>
              <w:rPr>
                <w:rFonts w:ascii="Times New Roman" w:hAnsi="Times New Roman" w:eastAsia="Times New Roman" w:cs="Times New Roman"/>
                <w:b/>
                <w:color w:val="000000"/>
                <w:sz w:val="24"/>
              </w:rPr>
              <w:t xml:space="preserve">ố vào sổ cấp GCN: CS00528 do Sở Tài nguyên và Môi trường tỉnh Hưng Yên cấp ngày 27/12/2018 cho Ông Nguyễn Văn Đức và Bà Lê Thị Thu Hải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6.800.000.000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434,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738631, s</w:t>
            </w:r>
            <w:r>
              <w:rPr>
                <w:rFonts w:ascii="Times New Roman" w:hAnsi="Times New Roman" w:eastAsia="Times New Roman" w:cs="Times New Roman"/>
                <w:b/>
                <w:color w:val="000000"/>
                <w:sz w:val="24"/>
              </w:rPr>
              <w:t xml:space="preserve">ố vào sổ cấp GCN: CS00529 do Sở Tài nguyên và Môi trường tỉnh Hưng Yên cấp ngày 27/12/2018 cho Ông Nguyễn Văn Đức và Bà Lê Thị Thu Hải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6.800.000.000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435,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738513, s</w:t>
            </w:r>
            <w:r>
              <w:rPr>
                <w:rFonts w:ascii="Times New Roman" w:hAnsi="Times New Roman" w:eastAsia="Times New Roman" w:cs="Times New Roman"/>
                <w:b/>
                <w:color w:val="000000"/>
                <w:sz w:val="24"/>
              </w:rPr>
              <w:t xml:space="preserve">ố vào sổ cấp GCN: CS00532 do Sở Tài nguyên và Môi trường tỉnh Hưng Yên cấp ngày 27/12/2018 cho Ông Nguyễn Văn Đức và Bà Lê Thị Thu Hải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6.800.000.000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w:t>
            </w:r>
            <w:r/>
          </w:p>
        </w:tc>
        <w:tc>
          <w:tcPr>
            <w:gridSpan w:val="3"/>
            <w:tcBorders>
              <w:bottom w:val="single" w:color="000000" w:sz="8" w:space="0"/>
              <w:right w:val="single" w:color="000000" w:sz="8" w:space="0"/>
            </w:tcBorders>
            <w:tcMar>
              <w:left w:w="108" w:type="dxa"/>
              <w:top w:w="0" w:type="dxa"/>
              <w:right w:w="108" w:type="dxa"/>
              <w:bottom w:w="0" w:type="dxa"/>
            </w:tcMar>
            <w:tcW w:w="6378"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436,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738511, s</w:t>
            </w:r>
            <w:r>
              <w:rPr>
                <w:rFonts w:ascii="Times New Roman" w:hAnsi="Times New Roman" w:eastAsia="Times New Roman" w:cs="Times New Roman"/>
                <w:b/>
                <w:color w:val="000000"/>
                <w:sz w:val="24"/>
              </w:rPr>
              <w:t xml:space="preserve">ố vào sổ cấp GCN: CS00531 do Sở Tài nguyên và Môi trường tỉnh Hưng Yên cấp ngày 27/12/2018 cho Ông Nguyễn Văn Đức và Bà Lê Thị Thu Hải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6.800.000.000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437,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738518, s</w:t>
            </w:r>
            <w:r>
              <w:rPr>
                <w:rFonts w:ascii="Times New Roman" w:hAnsi="Times New Roman" w:eastAsia="Times New Roman" w:cs="Times New Roman"/>
                <w:b/>
                <w:color w:val="000000"/>
                <w:sz w:val="24"/>
              </w:rPr>
              <w:t xml:space="preserve">ố vào sổ cấp GCN: CS00527 do Sở Tài nguyên và Môi trường tỉnh Hưng Yên cấp ngày 27/12/2018 cho Ông Nguyễn Văn Đức và Bà Lê Thị Thu Hải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6.800.000.000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438,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738512, s</w:t>
            </w:r>
            <w:r>
              <w:rPr>
                <w:rFonts w:ascii="Times New Roman" w:hAnsi="Times New Roman" w:eastAsia="Times New Roman" w:cs="Times New Roman"/>
                <w:b/>
                <w:color w:val="000000"/>
                <w:sz w:val="24"/>
              </w:rPr>
              <w:t xml:space="preserve">ố vào sổ cấp GCN: CS00533 do Sở Tài nguyên và Môi trường tỉnh Hưng Yên cấp ngày 27/12/2018 cho Ông Nguyễn Văn Đức và Bà Lê Thị Thu Hải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6.800.000.000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Tổng cộng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54.400.000.000</w:t>
            </w:r>
            <w:r/>
          </w:p>
        </w:tc>
      </w:tr>
      <w:tr>
        <w:trPr>
          <w:trHeight w:val="20"/>
        </w:trPr>
        <w:tc>
          <w:tcPr>
            <w:gridSpan w:val="5"/>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i/>
                <w:color w:val="000000"/>
                <w:sz w:val="24"/>
              </w:rPr>
              <w:t xml:space="preserve">(Bằng chữ: Năm mươi tư tỷ bốn trăm triệu đồng chẵn ./.)</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92" w:type="dxa"/>
        <w:tblBorders/>
        <w:tblLayout w:type="fixed"/>
        <w:tblLook w:val="04A0" w:firstRow="1" w:lastRow="0" w:firstColumn="1" w:lastColumn="0" w:noHBand="0" w:noVBand="1"/>
      </w:tblPr>
      <w:tblGrid>
        <w:gridCol w:w="2013"/>
        <w:gridCol w:w="3019"/>
        <w:gridCol w:w="5031"/>
        <w:gridCol w:w="29"/>
      </w:tblGrid>
      <w:tr>
        <w:trPr>
          <w:trHeight w:val="1843"/>
        </w:trPr>
        <w:tc>
          <w:tcPr>
            <w:tcBorders/>
            <w:tcW w:w="2013"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079"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2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84"/>
        </w:trPr>
        <w:tc>
          <w:tcPr>
            <w:gridSpan w:val="2"/>
            <w:shd w:val="clear" w:color="auto" w:fill="auto"/>
            <w:tcBorders/>
            <w:tcMar>
              <w:left w:w="108" w:type="dxa"/>
              <w:top w:w="0" w:type="dxa"/>
              <w:right w:w="108" w:type="dxa"/>
              <w:bottom w:w="0" w:type="dxa"/>
            </w:tcMar>
            <w:tcW w:w="5031" w:type="dxa"/>
            <w:textDirection w:val="lrTb"/>
            <w:noWrap w:val="false"/>
          </w:tcPr>
          <w:p>
            <w:pPr>
              <w:pStyle w:val="1036"/>
              <w:pBdr/>
              <w:spacing w:after="60"/>
              <w:ind/>
              <w:rPr>
                <w:color w:val="000000" w:themeColor="text1"/>
                <w:sz w:val="24"/>
                <w:szCs w:val="24"/>
              </w:rPr>
            </w:pPr>
            <w:r>
              <w:rPr>
                <w:rStyle w:val="1035"/>
                <w:rFonts w:ascii="Times New Roman" w:hAnsi="Times New Roman"/>
                <w:color w:val="000000" w:themeColor="text1"/>
                <w:lang w:val="pt-BR"/>
              </w:rPr>
              <w:t xml:space="preserve">Số: </w:t>
            </w:r>
            <w:r>
              <w:rPr>
                <w:rStyle w:val="1035"/>
                <w:rFonts w:ascii="Times New Roman" w:hAnsi="Times New Roman"/>
                <w:color w:val="000000" w:themeColor="text1"/>
                <w:lang w:val="pt-BR"/>
              </w:rPr>
              <w:t xml:space="preserve">275/2026/0970/VFI-</w:t>
            </w:r>
            <w:r>
              <w:rPr>
                <w:rStyle w:val="1035"/>
                <w:rFonts w:ascii="Times New Roman" w:hAnsi="Times New Roman"/>
                <w:color w:val="000000" w:themeColor="text1"/>
                <w:lang w:val="pt-BR"/>
              </w:rPr>
              <w:t xml:space="preserve">BC</w:t>
            </w:r>
            <w:r>
              <w:rPr>
                <w:rStyle w:val="1035"/>
                <w:rFonts w:ascii="Times New Roman" w:hAnsi="Times New Roman"/>
                <w:color w:val="000000" w:themeColor="text1"/>
                <w:lang w:val="pt-BR"/>
              </w:rPr>
              <w:t xml:space="preserve">.48.A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031" w:type="dxa"/>
            <w:textDirection w:val="lrTb"/>
            <w:noWrap w:val="false"/>
          </w:tcPr>
          <w:p>
            <w:pPr>
              <w:pStyle w:val="1036"/>
              <w:pBdr/>
              <w:spacing w:after="60"/>
              <w:ind w:right="-56"/>
              <w:jc w:val="right"/>
              <w:rPr>
                <w:color w:val="000000" w:themeColor="text1"/>
                <w:sz w:val="24"/>
                <w:szCs w:val="24"/>
              </w:rPr>
            </w:pPr>
            <w:r>
              <w:rPr>
                <w:rStyle w:val="1035"/>
                <w:rFonts w:ascii="Times New Roman" w:hAnsi="Times New Roman"/>
                <w:i/>
                <w:color w:val="000000" w:themeColor="text1"/>
              </w:rPr>
              <w:t xml:space="preserve">TP. Hà Nội</w:t>
            </w:r>
            <w:r>
              <w:rPr>
                <w:rStyle w:val="1035"/>
                <w:rFonts w:ascii="Times New Roman" w:hAnsi="Times New Roman"/>
                <w:i/>
                <w:color w:val="000000" w:themeColor="text1"/>
                <w:lang w:val="vi-VN"/>
              </w:rPr>
              <w:t xml:space="preserve">, </w:t>
            </w:r>
            <w:r>
              <w:rPr>
                <w:rStyle w:val="1035"/>
                <w:rFonts w:ascii="Times New Roman" w:hAnsi="Times New Roman"/>
                <w:i/>
                <w:color w:val="000000" w:themeColor="text1"/>
                <w:lang w:val="vi-VN"/>
              </w:rPr>
              <w:t xml:space="preserve">ngày 29 tháng 6 năm 2026</w:t>
            </w:r>
            <w:r>
              <w:rPr>
                <w:color w:val="000000" w:themeColor="text1"/>
                <w:sz w:val="24"/>
                <w:szCs w:val="24"/>
              </w:rPr>
            </w:r>
            <w:r>
              <w:rPr>
                <w:color w:val="000000" w:themeColor="text1"/>
                <w:sz w:val="24"/>
                <w:szCs w:val="24"/>
              </w:rPr>
            </w:r>
          </w:p>
        </w:tc>
      </w:tr>
    </w:tbl>
    <w:p>
      <w:pPr>
        <w:pStyle w:val="1036"/>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275/2026/0970/VFI-CT.48.A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29 tháng 6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3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pacing w:val="-8"/>
                <w:sz w:val="24"/>
              </w:rPr>
              <w:t xml:space="preserve">CÔNG TY CỔ PHẦN ĐẦU TƯ QUỐC TẾ AVA GREEN</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0901024422</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Đia chỉ</w:t>
            </w: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Đường Nguyễn Văn Linh, phường Đường Hào, tỉnh Hưng Yên</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rPr>
              <w:t xml:space="preserve">Ông Nguyễn Văn Đức</w:t>
            </w:r>
            <w:r/>
          </w:p>
        </w:tc>
      </w:tr>
      <w:tr>
        <w:trPr>
          <w:trHeight w:val="20"/>
        </w:trPr>
        <w:tc>
          <w:tcPr>
            <w:tcBorders/>
            <w:tcW w:w="25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Chức vụ</w:t>
            </w:r>
            <w:r/>
          </w:p>
        </w:tc>
        <w:tc>
          <w:tcPr>
            <w:tcBorders/>
            <w:tcW w:w="284" w:type="dxa"/>
            <w:vAlign w:val="center"/>
            <w:vMerge w:val="restart"/>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rPr>
              <w:t xml:space="preserve">Chủ tịch HĐQT</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Quyền sử dụng đất tại thửa đất số: 431,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738517, </w:t>
            </w:r>
            <w:r>
              <w:rPr>
                <w:rFonts w:ascii="Times New Roman" w:hAnsi="Times New Roman" w:eastAsia="Times New Roman" w:cs="Times New Roman"/>
                <w:color w:val="000000"/>
                <w:sz w:val="24"/>
              </w:rPr>
              <w:t xml:space="preserve">số vào sổ cấp GCN: CS00534 do Sở Tài nguyên và Môi trường tỉnh Hưng Yên cấp ngày 27/12/2018 cho Ông Nguyễn Văn Đức và Bà Lê Thị Thu 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Quyền sử dụng đất tại thửa đất số: 432,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738516, </w:t>
            </w:r>
            <w:r>
              <w:rPr>
                <w:rFonts w:ascii="Times New Roman" w:hAnsi="Times New Roman" w:eastAsia="Times New Roman" w:cs="Times New Roman"/>
                <w:color w:val="000000"/>
                <w:sz w:val="24"/>
              </w:rPr>
              <w:t xml:space="preserve">số vào sổ cấp GCN: CS00530 do Sở Tài nguyên và Môi trường tỉnh Hưng Yên cấp ngày 27/12/2018 cho Ông Nguyễn Văn Đức và Bà Lê Thị Thu 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3:</w:t>
            </w:r>
            <w:r>
              <w:rPr>
                <w:rFonts w:ascii="Times New Roman" w:hAnsi="Times New Roman" w:eastAsia="Times New Roman" w:cs="Times New Roman"/>
                <w:color w:val="000000"/>
                <w:sz w:val="24"/>
              </w:rPr>
              <w:t xml:space="preserve"> Quyền sử dụng đất tại thửa đất số: 433,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738515, </w:t>
            </w:r>
            <w:r>
              <w:rPr>
                <w:rFonts w:ascii="Times New Roman" w:hAnsi="Times New Roman" w:eastAsia="Times New Roman" w:cs="Times New Roman"/>
                <w:color w:val="000000"/>
                <w:sz w:val="24"/>
              </w:rPr>
              <w:t xml:space="preserve">số vào sổ cấp GCN: CS00528 do Sở Tài nguyên và Môi trường tỉnh Hưng Yên cấp ngày 27/12/2018 cho Ông Nguyễn Văn Đức và Bà Lê Thị Thu 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4:</w:t>
            </w:r>
            <w:r>
              <w:rPr>
                <w:rFonts w:ascii="Times New Roman" w:hAnsi="Times New Roman" w:eastAsia="Times New Roman" w:cs="Times New Roman"/>
                <w:color w:val="000000"/>
                <w:sz w:val="24"/>
              </w:rPr>
              <w:t xml:space="preserve"> Quyền sử dụng đất tại thửa đất số: 434,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738631, </w:t>
            </w:r>
            <w:r>
              <w:rPr>
                <w:rFonts w:ascii="Times New Roman" w:hAnsi="Times New Roman" w:eastAsia="Times New Roman" w:cs="Times New Roman"/>
                <w:color w:val="000000"/>
                <w:sz w:val="24"/>
              </w:rPr>
              <w:t xml:space="preserve">số vào sổ cấp GCN: CS00529 do Sở Tài nguyên và Môi trường tỉnh Hưng Yên cấp ngày 27/12/2018 cho Ông Nguyễn Văn Đức và Bà Lê Thị Thu 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5:</w:t>
            </w:r>
            <w:r>
              <w:rPr>
                <w:rFonts w:ascii="Times New Roman" w:hAnsi="Times New Roman" w:eastAsia="Times New Roman" w:cs="Times New Roman"/>
                <w:color w:val="000000"/>
                <w:sz w:val="24"/>
              </w:rPr>
              <w:t xml:space="preserve"> Quyền sử dụng đất tại thửa đất số: 435,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738513, </w:t>
            </w:r>
            <w:r>
              <w:rPr>
                <w:rFonts w:ascii="Times New Roman" w:hAnsi="Times New Roman" w:eastAsia="Times New Roman" w:cs="Times New Roman"/>
                <w:color w:val="000000"/>
                <w:sz w:val="24"/>
              </w:rPr>
              <w:t xml:space="preserve">số vào sổ cấp GCN: CS00532 do Sở Tài nguyên và Môi trường tỉnh Hưng Yên cấp ngày 27/12/2018 cho Ông Nguyễn Văn Đức và Bà Lê Thị Thu 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6:</w:t>
            </w:r>
            <w:r>
              <w:rPr>
                <w:rFonts w:ascii="Times New Roman" w:hAnsi="Times New Roman" w:eastAsia="Times New Roman" w:cs="Times New Roman"/>
                <w:color w:val="000000"/>
                <w:sz w:val="24"/>
              </w:rPr>
              <w:t xml:space="preserve"> Quyền sử dụng đất tại thửa đất số: 436,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738511, </w:t>
            </w:r>
            <w:r>
              <w:rPr>
                <w:rFonts w:ascii="Times New Roman" w:hAnsi="Times New Roman" w:eastAsia="Times New Roman" w:cs="Times New Roman"/>
                <w:color w:val="000000"/>
                <w:sz w:val="24"/>
              </w:rPr>
              <w:t xml:space="preserve">số vào sổ cấp GCN: CS00531 do Sở Tài nguyên và Môi trường tỉnh Hưng Yên cấp ngày 27/12/2018 cho Ông Nguyễn Văn Đức và Bà Lê Thị Thu Hải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7:</w:t>
            </w:r>
            <w:r>
              <w:rPr>
                <w:rFonts w:ascii="Times New Roman" w:hAnsi="Times New Roman" w:eastAsia="Times New Roman" w:cs="Times New Roman"/>
                <w:color w:val="000000"/>
                <w:sz w:val="24"/>
              </w:rPr>
              <w:t xml:space="preserve"> Quyền sử dụng đất tại thửa đất số: 437,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738518, </w:t>
            </w:r>
            <w:r>
              <w:rPr>
                <w:rFonts w:ascii="Times New Roman" w:hAnsi="Times New Roman" w:eastAsia="Times New Roman" w:cs="Times New Roman"/>
                <w:color w:val="000000"/>
                <w:sz w:val="24"/>
              </w:rPr>
              <w:t xml:space="preserve">số vào sổ cấp GCN: CS00527 do Sở Tài nguyên và Môi trường tỉnh Hưng Yên cấp ngày 27/12/2018 cho Ông Nguyễn Văn Đức và Bà Lê Thị Thu Hải</w:t>
            </w:r>
            <w:r/>
          </w:p>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z w:val="24"/>
              </w:rPr>
              <w:t xml:space="preserve">Tài sản 8:</w:t>
            </w:r>
            <w:r>
              <w:rPr>
                <w:rFonts w:ascii="Times New Roman" w:hAnsi="Times New Roman" w:eastAsia="Times New Roman" w:cs="Times New Roman"/>
                <w:color w:val="000000"/>
                <w:sz w:val="24"/>
              </w:rPr>
              <w:t xml:space="preserve"> Quyền sử dụng đất tại thửa đất số: 438,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738512, </w:t>
            </w:r>
            <w:r>
              <w:rPr>
                <w:rFonts w:ascii="Times New Roman" w:hAnsi="Times New Roman" w:eastAsia="Times New Roman" w:cs="Times New Roman"/>
                <w:color w:val="000000"/>
                <w:sz w:val="24"/>
              </w:rPr>
              <w:t xml:space="preserve">số vào sổ cấp GCN: CS00533 do Sở Tài nguyên và Môi trường tỉnh Hưng Yên cấp ngày 27/12/2018 cho Ông Nguyễn Văn Đức và Bà Lê Thị Thu Hải</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06/2026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Phường Mỹ Hào, Tỉnh Hưng Yên</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7"/>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20.933444444444, 106.06225</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27/06/2026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37"/>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3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37"/>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37"/>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37"/>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37"/>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37"/>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37"/>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37"/>
        <w:numPr>
          <w:ilvl w:val="0"/>
          <w:numId w:val="1"/>
        </w:numPr>
        <w:pBdr/>
        <w:tabs>
          <w:tab w:val="left" w:leader="none" w:pos="993"/>
        </w:tabs>
        <w:spacing w:after="120" w:before="120" w:line="276" w:lineRule="auto"/>
        <w:ind/>
        <w:jc w:val="both"/>
        <w:rPr>
          <w:lang w:val="pt-BR"/>
          <w14:ligatures w14:val="none"/>
        </w:rPr>
      </w:pPr>
      <w:r>
        <w:rPr>
          <w:lang w:val="pt-BR"/>
        </w:rPr>
        <w:t xml:space="preserve">Quyết định số 409/QĐ-BXD ngày 11/4/2025 của Bộ Xây dựng về việc Công bố suất vốn đầu tư xây dựng công trình và giá xây dựng tổng hợp bộ phận kết cấu công trình năm 2024;</w:t>
      </w:r>
      <w:r>
        <w:rPr>
          <w:lang w:val="pt-BR"/>
          <w14:ligatures w14:val="none"/>
        </w:rPr>
      </w:r>
      <w:r>
        <w:rPr>
          <w:lang w:val="pt-BR"/>
          <w14:ligatures w14:val="none"/>
        </w:rPr>
      </w:r>
    </w:p>
    <w:p>
      <w:pPr>
        <w:pStyle w:val="1037"/>
        <w:numPr>
          <w:ilvl w:val="0"/>
          <w:numId w:val="1"/>
        </w:numPr>
        <w:pBdr/>
        <w:tabs>
          <w:tab w:val="left" w:leader="none" w:pos="993"/>
        </w:tabs>
        <w:spacing w:after="120" w:before="120" w:line="276" w:lineRule="auto"/>
        <w:ind/>
        <w:jc w:val="both"/>
        <w:rPr>
          <w:lang w:val="pt-BR"/>
          <w14:ligatures w14:val="none"/>
        </w:rPr>
      </w:pPr>
      <w:r>
        <w:rPr>
          <w:lang w:val="pt-BR" w:bidi="pt-BR"/>
        </w:rPr>
      </w:r>
      <w:r>
        <w:rPr>
          <w:lang w:val="pt-BR"/>
        </w:rPr>
        <w:t xml:space="preserve">Quyết định số 425/QĐ-BXD ngày 30/3/2026 của Bộ Xây dựng về việc Công bố suất vốn đầu tư xây dựng công trình và giá xây dựng tổng hợp bộ phận kết cấu công trình năm 2025</w:t>
      </w:r>
      <w:r>
        <w:rPr>
          <w:lang w:val="pt-BR"/>
          <w14:ligatures w14:val="none"/>
        </w:rPr>
      </w:r>
      <w:r>
        <w:rPr>
          <w:lang w:val="pt-BR"/>
          <w14:ligatures w14:val="none"/>
        </w:rPr>
      </w:r>
    </w:p>
    <w:p>
      <w:pPr>
        <w:pStyle w:val="1037"/>
        <w:numPr>
          <w:ilvl w:val="0"/>
          <w:numId w:val="1"/>
        </w:numPr>
        <w:pBdr/>
        <w:tabs>
          <w:tab w:val="left" w:leader="none" w:pos="993"/>
        </w:tabs>
        <w:spacing w:after="120" w:before="120" w:line="276" w:lineRule="auto"/>
        <w:ind/>
        <w:jc w:val="both"/>
        <w:rPr>
          <w:b/>
          <w:lang w:val="pt-BR"/>
        </w:rPr>
      </w:pPr>
      <w:r>
        <w:rPr>
          <w:lang w:val="pt-BR"/>
        </w:rPr>
        <w:t xml:space="preserve">Công vă</w:t>
      </w:r>
      <w:r>
        <w:rPr>
          <w:lang w:val="pt-BR"/>
        </w:rPr>
        <w:t xml:space="preserve">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37"/>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3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37"/>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37"/>
        <w:numPr>
          <w:ilvl w:val="0"/>
          <w:numId w:val="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lang w:val="pt-BR"/>
          <w14:ligatures w14:val="none"/>
        </w:rPr>
      </w:pPr>
      <w:r>
        <w:rPr>
          <w:lang w:val="pt-BR"/>
        </w:rPr>
        <w:t xml:space="preserve">Giấy chứng nhận quyền sử dụng đất, quyền sở hữu nhà ở và tài sản khác gắn liền với đất số: CN 738517, số vào sổ cấp GCN: CS00534 do Sở Tài nguyên và Môi trường tỉnh Hưng Yên cấp ngày 27/12/2018 cho Ông Nguyễn Văn Đức và Bà Lê Thị Thu Hải</w:t>
      </w:r>
      <w:r>
        <w:rPr>
          <w:lang w:val="pt-BR"/>
          <w14:ligatures w14:val="none"/>
        </w:rPr>
      </w:r>
      <w:r>
        <w:rPr>
          <w:lang w:val="pt-BR"/>
          <w14:ligatures w14:val="none"/>
        </w:rPr>
      </w:r>
    </w:p>
    <w:p>
      <w:pPr>
        <w:pStyle w:val="1037"/>
        <w:numPr>
          <w:ilvl w:val="0"/>
          <w:numId w:val="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lang w:val="pt-BR"/>
          <w14:ligatures w14:val="none"/>
        </w:rPr>
      </w:pPr>
      <w:r>
        <w:rPr>
          <w:lang w:val="pt-BR"/>
        </w:rPr>
        <w:t xml:space="preserve">Giấy chứng nhận quyền sử dụng đất, quyền sở hữu nhà ở và tài sản khác gắn liền với đất số: CN 738516, số vào sổ cấp GCN: CS00530 do Sở Tài nguyên và Môi trường tỉnh Hưng Yên cấp ngày 27/12/2018 cho Ông Nguyễn Văn Đức và Bà Lê Thị Thu Hải</w:t>
      </w:r>
      <w:r>
        <w:rPr>
          <w:lang w:val="pt-BR"/>
          <w14:ligatures w14:val="none"/>
        </w:rPr>
      </w:r>
      <w:r>
        <w:rPr>
          <w:lang w:val="pt-BR"/>
          <w14:ligatures w14:val="none"/>
        </w:rPr>
      </w:r>
    </w:p>
    <w:p>
      <w:pPr>
        <w:pStyle w:val="1037"/>
        <w:numPr>
          <w:ilvl w:val="0"/>
          <w:numId w:val="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lang w:val="pt-BR"/>
          <w14:ligatures w14:val="none"/>
        </w:rPr>
      </w:pPr>
      <w:r>
        <w:rPr>
          <w:lang w:val="pt-BR"/>
        </w:rPr>
        <w:t xml:space="preserve">Giấy chứng nhận quyền sử dụng đất, quyền sở hữu nhà ở và tài sản khác gắn liền với đất số: CN 738515, số vào sổ cấp GCN: CS00528 do Sở Tài nguyên và Môi trường tỉnh Hưng Yên cấp ngày 27/12/2018 cho Ông Nguyễn Văn Đức và Bà Lê Thị Thu Hải</w:t>
      </w:r>
      <w:r>
        <w:rPr>
          <w:lang w:val="pt-BR"/>
          <w14:ligatures w14:val="none"/>
        </w:rPr>
      </w:r>
      <w:r>
        <w:rPr>
          <w:lang w:val="pt-BR"/>
          <w14:ligatures w14:val="none"/>
        </w:rPr>
      </w:r>
    </w:p>
    <w:p>
      <w:pPr>
        <w:pStyle w:val="1037"/>
        <w:numPr>
          <w:ilvl w:val="0"/>
          <w:numId w:val="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lang w:val="pt-BR"/>
          <w14:ligatures w14:val="none"/>
        </w:rPr>
      </w:pPr>
      <w:r>
        <w:rPr>
          <w:lang w:val="pt-BR"/>
        </w:rPr>
        <w:t xml:space="preserve">Giấy chứng nhận quyền sử dụng đất, quyền sở hữu nhà ở và tài sản khác gắn liền với đất số: CN 738631, số vào sổ cấp GCN: CS00529 do Sở Tài nguyên và Môi trường tỉnh Hưng Yên cấp ngày 27/12/2018 cho Ông Nguyễn Văn Đức và Bà Lê Thị Thu Hải</w:t>
      </w:r>
      <w:r>
        <w:rPr>
          <w:lang w:val="pt-BR"/>
          <w14:ligatures w14:val="none"/>
        </w:rPr>
      </w:r>
      <w:r>
        <w:rPr>
          <w:lang w:val="pt-BR"/>
          <w14:ligatures w14:val="none"/>
        </w:rPr>
      </w:r>
    </w:p>
    <w:p>
      <w:pPr>
        <w:pStyle w:val="1037"/>
        <w:numPr>
          <w:ilvl w:val="0"/>
          <w:numId w:val="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lang w:val="pt-BR"/>
          <w14:ligatures w14:val="none"/>
        </w:rPr>
      </w:pPr>
      <w:r>
        <w:rPr>
          <w:lang w:val="pt-BR"/>
        </w:rPr>
        <w:t xml:space="preserve">Giấy chứng nhận quyền sử dụng đất, quyền sở hữu nhà ở và tài sản khác gắn liền với đất số: CN 738513, số vào sổ cấp GCN: CS00532 do Sở Tài nguyên và Môi trường tỉnh Hưng Yên cấp ngày 27/12/2018 cho Ông Nguyễn Văn Đức và Bà Lê Thị Thu Hải</w:t>
      </w:r>
      <w:r>
        <w:rPr>
          <w:lang w:val="pt-BR"/>
          <w14:ligatures w14:val="none"/>
        </w:rPr>
      </w:r>
      <w:r>
        <w:rPr>
          <w:lang w:val="pt-BR"/>
          <w14:ligatures w14:val="none"/>
        </w:rPr>
      </w:r>
    </w:p>
    <w:p>
      <w:pPr>
        <w:pStyle w:val="1037"/>
        <w:numPr>
          <w:ilvl w:val="0"/>
          <w:numId w:val="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lang w:val="pt-BR"/>
          <w14:ligatures w14:val="none"/>
        </w:rPr>
      </w:pPr>
      <w:r>
        <w:rPr>
          <w:lang w:val="pt-BR"/>
        </w:rPr>
        <w:t xml:space="preserve">Giấy chứng nhận quyền sử dụng đất, quyền sở hữu nhà ở và tài sản khác gắn liền với đất số: CN 738511, số vào sổ cấp GCN: CS00531 do Sở Tài nguyên và Môi trường tỉnh Hưng Yên cấp ngày 27/12/2018 cho Ông Nguyễn Văn Đức và Bà Lê Thị Thu Hải</w:t>
      </w:r>
      <w:r>
        <w:rPr>
          <w:lang w:val="pt-BR"/>
          <w14:ligatures w14:val="none"/>
        </w:rPr>
      </w:r>
      <w:r>
        <w:rPr>
          <w:lang w:val="pt-BR"/>
          <w14:ligatures w14:val="none"/>
        </w:rPr>
      </w:r>
    </w:p>
    <w:p>
      <w:pPr>
        <w:pStyle w:val="1037"/>
        <w:numPr>
          <w:ilvl w:val="0"/>
          <w:numId w:val="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lang w:val="pt-BR"/>
          <w14:ligatures w14:val="none"/>
        </w:rPr>
      </w:pPr>
      <w:r>
        <w:rPr>
          <w:lang w:val="pt-BR"/>
        </w:rPr>
        <w:t xml:space="preserve">Giấy chứng nhận quyền sử dụng đất, quyền sở hữu nhà ở và tài sản khác gắn liền với đất số: CN 738518, số vào sổ cấp GCN: CS00527 do Sở Tài nguyên và Môi trường tỉnh Hưng Yên cấp ngày 27/12/2018 cho Ông Nguyễn Văn Đức và Bà Lê Thị Thu Hải</w:t>
      </w:r>
      <w:r>
        <w:rPr>
          <w:lang w:val="pt-BR"/>
          <w14:ligatures w14:val="none"/>
        </w:rPr>
      </w:r>
      <w:r>
        <w:rPr>
          <w:lang w:val="pt-BR"/>
          <w14:ligatures w14:val="none"/>
        </w:rPr>
      </w:r>
    </w:p>
    <w:p>
      <w:pPr>
        <w:pStyle w:val="1037"/>
        <w:numPr>
          <w:ilvl w:val="0"/>
          <w:numId w:val="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iCs/>
          <w:lang w:val="pt-BR"/>
          <w14:ligatures w14:val="none"/>
        </w:rPr>
      </w:pPr>
      <w:r>
        <w:rPr>
          <w:lang w:val="pt-BR"/>
        </w:rPr>
        <w:t xml:space="preserve">Giấy chứng nhận quyền sử dụng đất, quyền sở hữu nhà ở và tài sản khác gắn liền với đất số: CN 738512, số vào sổ cấp GCN: CS00533 do Sở Tài nguyên và Môi trường tỉnh Hưng Yên cấp ngày 27/12/2018 cho Ông Nguyễn Văn Đức và Bà Lê Thị Thu Hải</w:t>
      </w:r>
      <w:r>
        <w:rPr>
          <w:lang w:val="pt-BR"/>
        </w:rPr>
        <w:t xml:space="preserve">.</w:t>
      </w:r>
      <w:r>
        <w:rPr>
          <w:iCs/>
          <w:lang w:val="pt-BR"/>
          <w14:ligatures w14:val="none"/>
        </w:rPr>
      </w:r>
      <w:r>
        <w:rPr>
          <w:iCs/>
          <w:lang w:val="pt-BR"/>
          <w14:ligatures w14:val="none"/>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37"/>
        <w:numPr>
          <w:ilvl w:val="0"/>
          <w:numId w:val="2"/>
        </w:numPr>
        <w:pBdr/>
        <w:tabs>
          <w:tab w:val="left" w:leader="none" w:pos="993"/>
        </w:tabs>
        <w:spacing w:after="120" w:before="120" w:line="276" w:lineRule="auto"/>
        <w:ind/>
        <w:jc w:val="both"/>
        <w:rPr>
          <w:b/>
          <w:lang w:val="pt-BR"/>
        </w:rPr>
      </w:pPr>
      <w:r>
        <w:rPr>
          <w:color w:val="000000" w:themeColor="text1"/>
          <w:lang w:val="pt-BR"/>
        </w:rPr>
      </w:r>
      <w:r>
        <w:rPr>
          <w:rFonts w:ascii="Times New Roman" w:hAnsi="Times New Roman" w:eastAsia="Times New Roman" w:cs="Times New Roman"/>
          <w:color w:val="000000"/>
          <w:sz w:val="24"/>
        </w:rPr>
        <w:t xml:space="preserve">Hợp đồng số </w:t>
      </w:r>
      <w:r>
        <w:rPr>
          <w:rFonts w:ascii="Times New Roman" w:hAnsi="Times New Roman" w:eastAsia="Times New Roman" w:cs="Times New Roman"/>
          <w:color w:val="000000"/>
          <w:spacing w:val="-4"/>
          <w:sz w:val="24"/>
          <w:highlight w:val="white"/>
        </w:rPr>
        <w:t xml:space="preserve">275/2026/0970/VFI-HĐTĐ.48.A</w:t>
      </w:r>
      <w:r>
        <w:rPr>
          <w:rFonts w:ascii="Times New Roman" w:hAnsi="Times New Roman" w:eastAsia="Times New Roman" w:cs="Times New Roman"/>
          <w:color w:val="000000"/>
          <w:sz w:val="24"/>
        </w:rPr>
        <w:t xml:space="preserve">ngày 27/06/2026 giữa </w:t>
      </w:r>
      <w:r>
        <w:rPr>
          <w:rFonts w:ascii="Times New Roman" w:hAnsi="Times New Roman" w:eastAsia="Times New Roman" w:cs="Times New Roman"/>
          <w:color w:val="000000"/>
          <w:spacing w:val="-4"/>
          <w:sz w:val="24"/>
        </w:rPr>
        <w:t xml:space="preserve">Công ty Cổ Phần Đầu Tư Quốc Tế Ava Green</w:t>
      </w:r>
      <w:r>
        <w:rPr>
          <w:rFonts w:ascii="Times New Roman" w:hAnsi="Times New Roman" w:eastAsia="Times New Roman" w:cs="Times New Roman"/>
          <w:color w:val="000000"/>
          <w:sz w:val="24"/>
        </w:rPr>
        <w:t xml:space="preserve"> với Công ty Cổ phần Thẩm định và Đầu tư Tài chính Hoa Sen.</w:t>
      </w:r>
      <w:r>
        <w:rPr>
          <w:b/>
          <w:lang w:val="pt-BR"/>
        </w:rPr>
      </w:r>
      <w:r>
        <w:rPr>
          <w:b/>
          <w:lang w:val="pt-BR"/>
        </w:rPr>
      </w:r>
    </w:p>
    <w:p>
      <w:pPr>
        <w:pStyle w:val="1037"/>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spacing w:after="240" w:before="180"/>
        <w:ind w:right="0" w:firstLine="0" w:left="0"/>
        <w:rPr/>
      </w:pPr>
      <w:r>
        <w:rPr>
          <w:lang w:val="pt-BR"/>
        </w:rPr>
        <w:tab/>
      </w:r>
      <w:r>
        <w:rPr>
          <w:rFonts w:ascii="Times New Roman" w:hAnsi="Times New Roman" w:eastAsia="Times New Roman" w:cs="Times New Roman"/>
          <w:color w:val="000000"/>
          <w:sz w:val="24"/>
        </w:rPr>
        <w:t xml:space="preserve">Trong bối cảnh thị trường bất động sản phía Bắc đang có nhiều biến động, Hưng Yên nổi lên như một “điểm sáng” mới trên bản đồ đầu tư. Chỉ trong nửa đầu năm 2025, địa phương này ghi nhận sự gia tăng đột biến về lượng vốn FDI đổ bộ cùng với tốc độ đô thị hóa</w:t>
      </w:r>
      <w:r>
        <w:rPr>
          <w:rFonts w:ascii="Times New Roman" w:hAnsi="Times New Roman" w:eastAsia="Times New Roman" w:cs="Times New Roman"/>
          <w:color w:val="000000"/>
          <w:sz w:val="24"/>
        </w:rPr>
        <w:t xml:space="preserve"> nhanh chóng. Vậy điều gì đã tạo nên sức hút đặc biệt khiến Hưng Yên trở thành tâm điểm của giới đầu tư?</w:t>
      </w:r>
      <w:r/>
    </w:p>
    <w:p>
      <w:pPr>
        <w:pBdr>
          <w:top w:val="none" w:color="000000" w:sz="4" w:space="0"/>
          <w:left w:val="none" w:color="000000" w:sz="4" w:space="0"/>
          <w:bottom w:val="none" w:color="000000" w:sz="4" w:space="0"/>
          <w:right w:val="none" w:color="000000" w:sz="4" w:space="0"/>
        </w:pBdr>
        <w:spacing w:after="240" w:before="180"/>
        <w:ind w:right="0" w:firstLine="0" w:left="0"/>
        <w:rPr/>
      </w:pPr>
      <w:r>
        <w:rPr>
          <w:rFonts w:ascii="Times New Roman" w:hAnsi="Times New Roman" w:eastAsia="Times New Roman" w:cs="Times New Roman"/>
          <w:color w:val="000000"/>
          <w:sz w:val="24"/>
        </w:rPr>
        <w:tab/>
      </w:r>
      <w:r>
        <w:rPr>
          <w:rFonts w:ascii="Times New Roman" w:hAnsi="Times New Roman" w:eastAsia="Times New Roman" w:cs="Times New Roman"/>
          <w:b/>
          <w:color w:val="000000"/>
          <w:sz w:val="24"/>
        </w:rPr>
        <w:t xml:space="preserve">Đòn bẩy tăng trưởng từ hệ thống giao thông chiến lược </w:t>
      </w:r>
      <w:r/>
    </w:p>
    <w:p>
      <w:pPr>
        <w:pBdr>
          <w:top w:val="none" w:color="000000" w:sz="4" w:space="0"/>
          <w:left w:val="none" w:color="000000" w:sz="4" w:space="0"/>
          <w:bottom w:val="none" w:color="000000" w:sz="4" w:space="0"/>
          <w:right w:val="none" w:color="000000" w:sz="4" w:space="0"/>
        </w:pBdr>
        <w:spacing w:after="240" w:before="180"/>
        <w:ind w:right="0" w:firstLine="0" w:left="0"/>
        <w:rPr/>
      </w:pPr>
      <w:r>
        <w:rPr>
          <w:rFonts w:ascii="Times New Roman" w:hAnsi="Times New Roman" w:eastAsia="Times New Roman" w:cs="Times New Roman"/>
          <w:color w:val="000000"/>
          <w:sz w:val="24"/>
        </w:rPr>
        <w:tab/>
        <w:t xml:space="preserve">Sự phát triển mạnh mẽ của hệ thống hạ tầng giao thông đã đóng vai trò then chốt trong việc thu hút đầu tư vào Hưng Yên. Tuyến đường Vành đai 4 – Vùng Thủ đô với chiều dài 112,8km đi qua Hà Nội, Hưng Yên và Bắc Ninh đang được triển khai với tổng mức đầu tư</w:t>
      </w:r>
      <w:r>
        <w:rPr>
          <w:rFonts w:ascii="Times New Roman" w:hAnsi="Times New Roman" w:eastAsia="Times New Roman" w:cs="Times New Roman"/>
          <w:color w:val="000000"/>
          <w:sz w:val="24"/>
        </w:rPr>
        <w:t xml:space="preserve"> khoảng 85.813 tỷ đồng. Đoạn qua Hưng Yên dài 19,3km giúp kết nối nhanh chóng với các khu vực trọng điểm.</w:t>
      </w:r>
      <w:r/>
    </w:p>
    <w:p>
      <w:pPr>
        <w:pBdr>
          <w:top w:val="none" w:color="000000" w:sz="4" w:space="0"/>
          <w:left w:val="none" w:color="000000" w:sz="4" w:space="0"/>
          <w:bottom w:val="none" w:color="000000" w:sz="4" w:space="0"/>
          <w:right w:val="none" w:color="000000" w:sz="4" w:space="0"/>
        </w:pBdr>
        <w:spacing w:after="240" w:before="180"/>
        <w:ind w:right="0" w:firstLine="0" w:left="0"/>
        <w:rPr/>
      </w:pPr>
      <w:r>
        <w:rPr>
          <w:rFonts w:ascii="Times New Roman" w:hAnsi="Times New Roman" w:eastAsia="Times New Roman" w:cs="Times New Roman"/>
          <w:color w:val="000000"/>
          <w:sz w:val="24"/>
        </w:rPr>
        <w:tab/>
        <w:t xml:space="preserve">Bên cạnh đó, cao tốc Hà Nội – Hải Phòng và Quốc lộ 5 cũng góp phần quan trọng trong việc rút ngắn thời gian di chuyển giữa Hưng Yên và Hà Nội, tạo điều kiện thuận lợi cho việc vận chuyển hàng hóa và đi lại của người dân.</w:t>
      </w:r>
      <w:r/>
    </w:p>
    <w:p>
      <w:pPr>
        <w:pBdr>
          <w:top w:val="none" w:color="000000" w:sz="4" w:space="0"/>
          <w:left w:val="none" w:color="000000" w:sz="4" w:space="0"/>
          <w:bottom w:val="none" w:color="000000" w:sz="4" w:space="0"/>
          <w:right w:val="none" w:color="000000" w:sz="4" w:space="0"/>
        </w:pBdr>
        <w:spacing w:after="240" w:before="180"/>
        <w:ind w:right="0" w:firstLine="0" w:left="0"/>
        <w:rPr/>
      </w:pPr>
      <w:r>
        <w:rPr>
          <w:rFonts w:ascii="Times New Roman" w:hAnsi="Times New Roman" w:eastAsia="Times New Roman" w:cs="Times New Roman"/>
          <w:color w:val="000000"/>
          <w:sz w:val="24"/>
        </w:rPr>
        <w:tab/>
        <w:t xml:space="preserve">Cầu Ngọc Hồi với tổng mức đầu tư gần 12.000 tỷ đồng đã được HĐND TP Hà Nội thông qua chủ trương đầu tư Dự án xây dựng vào ngày 29/04/2025. Công trình được thực hiện trong giai đoạn 2025 - 2028 sẽ kết nối trực tiếp phía Nam Hà Nội với trung tâm Hưng Yên, n</w:t>
      </w:r>
      <w:r>
        <w:rPr>
          <w:rFonts w:ascii="Times New Roman" w:hAnsi="Times New Roman" w:eastAsia="Times New Roman" w:cs="Times New Roman"/>
          <w:color w:val="000000"/>
          <w:sz w:val="24"/>
        </w:rPr>
        <w:t xml:space="preserve">âng cao khả năng liên kết vùng.</w:t>
      </w:r>
      <w:r/>
    </w:p>
    <w:p>
      <w:pPr>
        <w:pBdr>
          <w:top w:val="none" w:color="000000" w:sz="4" w:space="0"/>
          <w:left w:val="none" w:color="000000" w:sz="4" w:space="0"/>
          <w:bottom w:val="none" w:color="000000" w:sz="4" w:space="0"/>
          <w:right w:val="none" w:color="000000" w:sz="4" w:space="0"/>
        </w:pBdr>
        <w:spacing w:after="240" w:before="180"/>
        <w:ind w:right="0" w:firstLine="0" w:left="0"/>
        <w:rPr/>
      </w:pPr>
      <w:r>
        <w:rPr>
          <w:rFonts w:ascii="Times New Roman" w:hAnsi="Times New Roman" w:eastAsia="Times New Roman" w:cs="Times New Roman"/>
          <w:color w:val="000000"/>
          <w:sz w:val="24"/>
        </w:rPr>
        <w:tab/>
      </w:r>
      <w:r>
        <w:rPr>
          <w:rFonts w:ascii="Times New Roman" w:hAnsi="Times New Roman" w:eastAsia="Times New Roman" w:cs="Times New Roman"/>
          <w:b/>
          <w:color w:val="000000"/>
          <w:sz w:val="24"/>
        </w:rPr>
        <w:t xml:space="preserve">Hưng Yên hưởng lợi từ sự giãn dân, chuyển dịch đầu tư từ Hà Nội</w:t>
      </w:r>
      <w:r/>
    </w:p>
    <w:p>
      <w:pPr>
        <w:pBdr>
          <w:top w:val="none" w:color="000000" w:sz="4" w:space="0"/>
          <w:left w:val="none" w:color="000000" w:sz="4" w:space="0"/>
          <w:bottom w:val="none" w:color="000000" w:sz="4" w:space="0"/>
          <w:right w:val="none" w:color="000000" w:sz="4" w:space="0"/>
        </w:pBdr>
        <w:spacing w:after="240" w:before="180"/>
        <w:ind w:right="0" w:firstLine="0" w:left="0"/>
        <w:rPr/>
      </w:pPr>
      <w:r>
        <w:rPr>
          <w:rFonts w:ascii="Times New Roman" w:hAnsi="Times New Roman" w:eastAsia="Times New Roman" w:cs="Times New Roman"/>
          <w:color w:val="000000"/>
          <w:sz w:val="24"/>
        </w:rPr>
        <w:tab/>
        <w:t xml:space="preserve">Với quỹ đất ngày càng hạn hẹp và giá cả leo thang tại Hà Nội, xu hướng giãn dân và chuyển dịch đầu tư về các vùng lân cận đã trở nên rõ rệt. Hưng Yên với vị trí chiến lược và hạ tầng phát triển đã trở thành điểm đến hấp dẫn cho các nhà đầu tư và người dân</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40" w:before="180"/>
        <w:ind w:right="0" w:firstLine="0" w:left="0"/>
        <w:rPr/>
      </w:pPr>
      <w:r>
        <w:rPr>
          <w:rFonts w:ascii="Times New Roman" w:hAnsi="Times New Roman" w:eastAsia="Times New Roman" w:cs="Times New Roman"/>
          <w:color w:val="000000"/>
          <w:sz w:val="24"/>
        </w:rPr>
        <w:tab/>
        <w:t xml:space="preserve">Theo dữ liệu của Viện Nghiên cứu Bất động sản Việt Nam, mức độ quan tâm và đầu tư bất động sản tại các đô thị vùng Thủ đô bao gồm Hưng Yên đã tăng mạnh trong giai đoạn cuối năm 2024 và đầu năm 2025.</w:t>
      </w:r>
      <w:r/>
    </w:p>
    <w:p>
      <w:pPr>
        <w:pBdr>
          <w:top w:val="none" w:color="000000" w:sz="4" w:space="0"/>
          <w:left w:val="none" w:color="000000" w:sz="4" w:space="0"/>
          <w:bottom w:val="none" w:color="000000" w:sz="4" w:space="0"/>
          <w:right w:val="none" w:color="000000" w:sz="4" w:space="0"/>
        </w:pBdr>
        <w:spacing w:after="240" w:before="180"/>
        <w:ind w:right="0" w:firstLine="0" w:left="0"/>
        <w:rPr/>
      </w:pPr>
      <w:r>
        <w:rPr>
          <w:rFonts w:ascii="Times New Roman" w:hAnsi="Times New Roman" w:eastAsia="Times New Roman" w:cs="Times New Roman"/>
          <w:color w:val="000000"/>
          <w:sz w:val="24"/>
        </w:rPr>
        <w:t xml:space="preserve">Xu hướng này tiếp tục trong quý I/2025 khi nhu cầu tập trung nhiều ở các khu vực dọc tuyến đường Vành đai 4. Các khu đô thị hiện đại như Vinhomes Ocean Park 2 - 3 đóng vai trò quan trọng trong việc định hình, thúc đẩy làn sóng đô thị hóa đang diễn ra ngày </w:t>
      </w:r>
      <w:r>
        <w:rPr>
          <w:rFonts w:ascii="Times New Roman" w:hAnsi="Times New Roman" w:eastAsia="Times New Roman" w:cs="Times New Roman"/>
          <w:color w:val="000000"/>
          <w:sz w:val="24"/>
        </w:rPr>
        <w:t xml:space="preserve">càng mạnh mẽ tại Hưng Yên.</w:t>
      </w:r>
      <w:r/>
    </w:p>
    <w:p>
      <w:pPr>
        <w:pBdr>
          <w:top w:val="none" w:color="000000" w:sz="4" w:space="0"/>
          <w:left w:val="none" w:color="000000" w:sz="4" w:space="0"/>
          <w:bottom w:val="none" w:color="000000" w:sz="4" w:space="0"/>
          <w:right w:val="none" w:color="000000" w:sz="4" w:space="0"/>
        </w:pBdr>
        <w:spacing w:after="240" w:before="180"/>
        <w:ind w:right="0" w:firstLine="0" w:left="0"/>
        <w:rPr/>
      </w:pPr>
      <w:r>
        <w:rPr>
          <w:rFonts w:ascii="Times New Roman" w:hAnsi="Times New Roman" w:eastAsia="Times New Roman" w:cs="Times New Roman"/>
          <w:color w:val="000000"/>
          <w:sz w:val="24"/>
        </w:rPr>
        <w:tab/>
      </w:r>
      <w:r>
        <w:rPr>
          <w:rFonts w:ascii="Times New Roman" w:hAnsi="Times New Roman" w:eastAsia="Times New Roman" w:cs="Times New Roman"/>
          <w:b/>
          <w:color w:val="000000"/>
          <w:sz w:val="24"/>
        </w:rPr>
        <w:t xml:space="preserve">Dòng vốn FDI đổ mạnh vào các khu công nghiệp, đại đô thị, kéo theo nhu cầu nhà ở và dịch vụ đi kèm</w:t>
      </w:r>
      <w:r/>
    </w:p>
    <w:p>
      <w:pPr>
        <w:pBdr>
          <w:top w:val="none" w:color="000000" w:sz="4" w:space="0"/>
          <w:left w:val="none" w:color="000000" w:sz="4" w:space="0"/>
          <w:bottom w:val="none" w:color="000000" w:sz="4" w:space="0"/>
          <w:right w:val="none" w:color="000000" w:sz="4" w:space="0"/>
        </w:pBdr>
        <w:spacing w:after="240" w:before="180"/>
        <w:ind w:right="0" w:firstLine="0" w:left="0"/>
        <w:rPr/>
      </w:pPr>
      <w:r>
        <w:rPr>
          <w:rFonts w:ascii="Times New Roman" w:hAnsi="Times New Roman" w:eastAsia="Times New Roman" w:cs="Times New Roman"/>
          <w:color w:val="000000"/>
          <w:sz w:val="24"/>
        </w:rPr>
        <w:tab/>
        <w:t xml:space="preserve">Hưng Yên đã thu hút được một lượng lớn vốn đầu tư trực tiếp nước ngoài (FDI), đặc biệt là vào các khu công nghiệp và dự án đô thị quy mô lớn. Tính đến hết tháng 10/2024, tỉnh đã có 345 dự án FDI với tổng vốn đăng ký khoảng 6,7 tỷ USD. Các nhà đầu tư lớn n</w:t>
      </w:r>
      <w:r>
        <w:rPr>
          <w:rFonts w:ascii="Times New Roman" w:hAnsi="Times New Roman" w:eastAsia="Times New Roman" w:cs="Times New Roman"/>
          <w:color w:val="000000"/>
          <w:sz w:val="24"/>
        </w:rPr>
        <w:t xml:space="preserve">hư Huyndai, Canon, ToTo đã có mặt tại đây, tạo ra hàng chục nghìn việc làm và đóng góp đáng kể vào ngân sách địa phương.</w:t>
      </w:r>
      <w:r/>
    </w:p>
    <w:p>
      <w:pPr>
        <w:pBdr>
          <w:top w:val="none" w:color="000000" w:sz="4" w:space="0"/>
          <w:left w:val="none" w:color="000000" w:sz="4" w:space="0"/>
          <w:bottom w:val="none" w:color="000000" w:sz="4" w:space="0"/>
          <w:right w:val="none" w:color="000000" w:sz="4" w:space="0"/>
        </w:pBdr>
        <w:spacing w:after="240" w:before="180"/>
        <w:ind w:right="0" w:firstLine="0" w:left="0"/>
        <w:rPr/>
      </w:pPr>
      <w:r>
        <w:rPr>
          <w:rFonts w:ascii="Times New Roman" w:hAnsi="Times New Roman" w:eastAsia="Times New Roman" w:cs="Times New Roman"/>
          <w:color w:val="000000"/>
          <w:sz w:val="24"/>
        </w:rPr>
        <w:tab/>
        <w:t xml:space="preserve">Đặc biệt, dự án sân golf Trump International Hung Yen với tổng mức đầu tư 39.800 tỷ đồng, tương đương hơn 1,5 tỷ USD đang được triển khai tại huyện Khoái Châu đánh dấu sự hiện diện của thương hiệu Trump tại Việt Nam.</w:t>
      </w:r>
      <w:r/>
    </w:p>
    <w:p>
      <w:pPr>
        <w:pBdr>
          <w:top w:val="none" w:color="000000" w:sz="4" w:space="0"/>
          <w:left w:val="none" w:color="000000" w:sz="4" w:space="0"/>
          <w:bottom w:val="none" w:color="000000" w:sz="4" w:space="0"/>
          <w:right w:val="none" w:color="000000" w:sz="4" w:space="0"/>
        </w:pBdr>
        <w:spacing w:after="240" w:before="180"/>
        <w:ind w:right="0" w:firstLine="0" w:left="0"/>
        <w:rPr/>
      </w:pPr>
      <w:r>
        <w:rPr>
          <w:rFonts w:ascii="Times New Roman" w:hAnsi="Times New Roman" w:eastAsia="Times New Roman" w:cs="Times New Roman"/>
          <w:b/>
          <w:color w:val="000000"/>
          <w:sz w:val="24"/>
        </w:rPr>
        <w:tab/>
        <w:t xml:space="preserve">Nguyên nhân đằng sau đà tăng giá</w:t>
      </w:r>
      <w:r/>
    </w:p>
    <w:p>
      <w:pPr>
        <w:pBdr>
          <w:top w:val="none" w:color="000000" w:sz="4" w:space="0"/>
          <w:left w:val="none" w:color="000000" w:sz="4" w:space="0"/>
          <w:bottom w:val="none" w:color="000000" w:sz="4" w:space="0"/>
          <w:right w:val="none" w:color="000000" w:sz="4" w:space="0"/>
        </w:pBdr>
        <w:spacing w:after="240" w:before="180"/>
        <w:ind w:right="0" w:firstLine="0" w:left="0"/>
        <w:rPr/>
      </w:pPr>
      <w:r>
        <w:rPr>
          <w:rFonts w:ascii="Times New Roman" w:hAnsi="Times New Roman" w:eastAsia="Times New Roman" w:cs="Times New Roman"/>
          <w:color w:val="000000"/>
          <w:sz w:val="24"/>
        </w:rPr>
        <w:tab/>
        <w:t xml:space="preserve">Ngoài thông tin sáp nhập Hưng Yên Thái Bình, việc triển khai các tuyến đường trọng điểm như Vành đai 4, cao tốc Hà Nội – Hải Phòng và Quốc lộ 5 đã cải thiện đáng kể khả năng kết nối của Hưng Yên với Hà Nội và các tỉnh lân cận, thúc đẩy nhu cầu về bất động</w:t>
      </w:r>
      <w:r>
        <w:rPr>
          <w:rFonts w:ascii="Times New Roman" w:hAnsi="Times New Roman" w:eastAsia="Times New Roman" w:cs="Times New Roman"/>
          <w:color w:val="000000"/>
          <w:sz w:val="24"/>
        </w:rPr>
        <w:t xml:space="preserve"> sản.</w:t>
      </w:r>
      <w:r/>
    </w:p>
    <w:p>
      <w:pPr>
        <w:pBdr>
          <w:top w:val="none" w:color="000000" w:sz="4" w:space="0"/>
          <w:left w:val="none" w:color="000000" w:sz="4" w:space="0"/>
          <w:bottom w:val="none" w:color="000000" w:sz="4" w:space="0"/>
          <w:right w:val="none" w:color="000000" w:sz="4" w:space="0"/>
        </w:pBdr>
        <w:spacing w:after="240" w:before="180"/>
        <w:ind w:right="0" w:firstLine="0" w:left="0"/>
        <w:rPr/>
      </w:pPr>
      <w:r>
        <w:rPr>
          <w:rFonts w:ascii="Times New Roman" w:hAnsi="Times New Roman" w:eastAsia="Times New Roman" w:cs="Times New Roman"/>
          <w:color w:val="000000"/>
          <w:sz w:val="24"/>
        </w:rPr>
        <w:tab/>
        <w:t xml:space="preserve">Đặc biệt, hàng loạt "ông lớn" đã đổ bộ Hưng Yên với những dự án quy mô khủng. Điển hình, The Trump Organization hợp tác cùng KBC phát triển Trump International Hung Yen – khu đô thị, nghỉ dưỡng, sân golf gần 1.000 ha tại Khoái Châu, vốn đầu tư gần 40.000 </w:t>
      </w:r>
      <w:r>
        <w:rPr>
          <w:rFonts w:ascii="Times New Roman" w:hAnsi="Times New Roman" w:eastAsia="Times New Roman" w:cs="Times New Roman"/>
          <w:color w:val="000000"/>
          <w:sz w:val="24"/>
        </w:rPr>
        <w:t xml:space="preserve">tỷ đồng.</w:t>
      </w:r>
      <w:r/>
    </w:p>
    <w:p>
      <w:pPr>
        <w:pBdr>
          <w:top w:val="none" w:color="000000" w:sz="4" w:space="0"/>
          <w:left w:val="none" w:color="000000" w:sz="4" w:space="0"/>
          <w:bottom w:val="none" w:color="000000" w:sz="4" w:space="0"/>
          <w:right w:val="none" w:color="000000" w:sz="4" w:space="0"/>
        </w:pBdr>
        <w:spacing w:after="240" w:before="180"/>
        <w:ind w:right="0" w:firstLine="0" w:left="0"/>
        <w:rPr/>
      </w:pPr>
      <w:r>
        <w:rPr>
          <w:rFonts w:ascii="Times New Roman" w:hAnsi="Times New Roman" w:eastAsia="Times New Roman" w:cs="Times New Roman"/>
          <w:color w:val="000000"/>
          <w:sz w:val="24"/>
        </w:rPr>
        <w:tab/>
        <w:t xml:space="preserve">Ngay sau đó, CapitaLand công bố dự án nhà ở thấp tầng quy mô 25 ha trong khu Vinhomes Ocean Park 3, tổng vốn hơn 800 triệu USD. Đầu năm 2025, Xuân Cầu Holdings khởi công Alluvia City (200 ha, vốn hơn 31.000 tỷ đồng), trong khi dự án Centerville (50 ha, 17</w:t>
      </w:r>
      <w:r>
        <w:rPr>
          <w:rFonts w:ascii="Times New Roman" w:hAnsi="Times New Roman" w:eastAsia="Times New Roman" w:cs="Times New Roman"/>
          <w:color w:val="000000"/>
          <w:sz w:val="24"/>
        </w:rPr>
        <w:t xml:space="preserve">.000 tỷ đồng) tại xã Long Hưng cũng đang được triển khai.</w:t>
      </w:r>
      <w:r/>
    </w:p>
    <w:p>
      <w:pPr>
        <w:pBdr>
          <w:top w:val="none" w:color="000000" w:sz="4" w:space="0"/>
          <w:left w:val="none" w:color="000000" w:sz="4" w:space="0"/>
          <w:bottom w:val="none" w:color="000000" w:sz="4" w:space="0"/>
          <w:right w:val="none" w:color="000000" w:sz="4" w:space="0"/>
        </w:pBdr>
        <w:spacing w:after="240" w:before="180"/>
        <w:ind w:right="0" w:firstLine="0" w:left="0"/>
        <w:rPr/>
      </w:pPr>
      <w:r>
        <w:rPr>
          <w:rFonts w:ascii="Times New Roman" w:hAnsi="Times New Roman" w:eastAsia="Times New Roman" w:cs="Times New Roman"/>
          <w:color w:val="000000"/>
          <w:sz w:val="24"/>
        </w:rPr>
        <w:tab/>
        <w:t xml:space="preserve">Rõ ràng, Hưng Yên không còn là thị trường vệ tinh mà đang vươn mình trở thành cực tăng trưởng mới cạnh Thủ đô.</w:t>
      </w:r>
      <w:r/>
    </w:p>
    <w:p>
      <w:pPr>
        <w:pBdr/>
        <w:tabs>
          <w:tab w:val="left" w:leader="none" w:pos="426"/>
        </w:tabs>
        <w:spacing w:after="120" w:before="120" w:line="276" w:lineRule="auto"/>
        <w:ind/>
        <w:jc w:val="center"/>
        <w:rPr>
          <w:bCs/>
          <w:i/>
          <w:lang w:val="pt-BR"/>
        </w:rPr>
      </w:pPr>
      <w:r>
        <w:rPr>
          <w:rFonts w:ascii="Times New Roman" w:hAnsi="Times New Roman" w:eastAsia="Times New Roman" w:cs="Times New Roman"/>
          <w:i/>
          <w:color w:val="000000"/>
          <w:sz w:val="24"/>
        </w:rPr>
        <w:t xml:space="preserve">(Nguồn: https://onehousing.vn/blog/gia-dat-hung-yen-tang-gap-doi-fdi-do-bo-ram-ro-nua-dau-2025-n17t?utm_source=social_share&amp;utm_medium=copyurl&amp;utm_campaign=efc31d7e-04f8-4713-9ae1-5036060f4085)</w:t>
      </w:r>
      <w:r>
        <w:rPr>
          <w:bCs/>
          <w:i/>
          <w:lang w:val="pt-BR"/>
        </w:rPr>
      </w:r>
      <w:r>
        <w:rPr>
          <w:bCs/>
          <w:i/>
          <w:lang w:val="pt-BR"/>
        </w:rPr>
      </w:r>
    </w:p>
    <w:p>
      <w:pPr>
        <w:pStyle w:val="103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78"/>
        <w:gridCol w:w="2663"/>
        <w:gridCol w:w="1905"/>
        <w:gridCol w:w="685"/>
        <w:gridCol w:w="2035"/>
        <w:gridCol w:w="178"/>
        <w:gridCol w:w="1471"/>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6"/>
            <w:tcBorders>
              <w:top w:val="single" w:color="000000" w:sz="8" w:space="0"/>
              <w:bottom w:val="single" w:color="000000" w:sz="8" w:space="0"/>
              <w:right w:val="single" w:color="000000" w:sz="8" w:space="0"/>
            </w:tcBorders>
            <w:tcMar>
              <w:left w:w="108" w:type="dxa"/>
              <w:top w:w="0" w:type="dxa"/>
              <w:right w:w="108" w:type="dxa"/>
              <w:bottom w:w="0" w:type="dxa"/>
            </w:tcMar>
            <w:tcW w:w="8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08 thửa đất có địa chỉ: </w:t>
            </w:r>
            <w:r>
              <w:rPr>
                <w:rFonts w:ascii="Times New Roman" w:hAnsi="Times New Roman" w:eastAsia="Times New Roman" w:cs="Times New Roman"/>
                <w:b/>
                <w:color w:val="000000"/>
                <w:sz w:val="22"/>
              </w:rPr>
              <w:t xml:space="preserve">Xã Nhân Hoà, huyện Mỹ Hào, tỉnh Hưng Yên (nay là phường Mỹ Hào, tỉnh Hưng Yên)</w:t>
            </w:r>
            <w:r>
              <w:rPr>
                <w:rFonts w:ascii="Times New Roman" w:hAnsi="Times New Roman" w:eastAsia="Times New Roman" w:cs="Times New Roman"/>
                <w:b/>
                <w:color w:val="000000"/>
                <w:sz w:val="24"/>
              </w:rPr>
              <w:t xml:space="preserve">, chủ sử dụng đất là </w:t>
            </w:r>
            <w:r>
              <w:rPr>
                <w:rFonts w:ascii="Times New Roman" w:hAnsi="Times New Roman" w:eastAsia="Times New Roman" w:cs="Times New Roman"/>
                <w:b/>
                <w:color w:val="000000"/>
                <w:sz w:val="22"/>
              </w:rPr>
              <w:t xml:space="preserve">Ông Nguyễn Văn Đức và Bà Lê Thị Thu Hải</w:t>
            </w:r>
            <w:r>
              <w:rPr>
                <w:rFonts w:ascii="Times New Roman" w:hAnsi="Times New Roman" w:eastAsia="Times New Roman" w:cs="Times New Roman"/>
                <w:b/>
                <w:color w:val="000000"/>
                <w:sz w:val="24"/>
              </w:rPr>
              <w:t xml:space="preserve"> (Danh mục theo Báo cáo kết quả thẩm định giá đính kèm).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6"/>
            <w:tcBorders>
              <w:bottom w:val="single" w:color="000000" w:sz="8" w:space="0"/>
              <w:right w:val="single" w:color="000000" w:sz="8" w:space="0"/>
            </w:tcBorders>
            <w:tcMar>
              <w:left w:w="108" w:type="dxa"/>
              <w:top w:w="0" w:type="dxa"/>
              <w:right w:w="108" w:type="dxa"/>
              <w:bottom w:w="0" w:type="dxa"/>
            </w:tcMar>
            <w:tcW w:w="8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6"/>
            <w:tcBorders>
              <w:bottom w:val="single" w:color="000000" w:sz="8" w:space="0"/>
              <w:right w:val="single" w:color="000000" w:sz="8" w:space="0"/>
            </w:tcBorders>
            <w:tcMar>
              <w:left w:w="108" w:type="dxa"/>
              <w:top w:w="0" w:type="dxa"/>
              <w:right w:w="108" w:type="dxa"/>
              <w:bottom w:w="0" w:type="dxa"/>
            </w:tcMar>
            <w:tcW w:w="8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431</w:t>
            </w:r>
            <w:r/>
          </w:p>
        </w:tc>
        <w:tc>
          <w:tcPr>
            <w:gridSpan w:val="2"/>
            <w:tcBorders>
              <w:bottom w:val="single" w:color="000000" w:sz="8" w:space="0"/>
              <w:right w:val="single" w:color="000000" w:sz="8" w:space="0"/>
            </w:tcBorders>
            <w:tcMar>
              <w:left w:w="108" w:type="dxa"/>
              <w:top w:w="0" w:type="dxa"/>
              <w:right w:w="108" w:type="dxa"/>
              <w:bottom w:w="0" w:type="dxa"/>
            </w:tcMar>
            <w:tcW w:w="27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gridSpan w:val="2"/>
            <w:tcBorders>
              <w:bottom w:val="single" w:color="000000" w:sz="8" w:space="0"/>
              <w:right w:val="single" w:color="000000" w:sz="8" w:space="0"/>
            </w:tcBorders>
            <w:tcMar>
              <w:left w:w="108" w:type="dxa"/>
              <w:top w:w="0" w:type="dxa"/>
              <w:right w:w="108" w:type="dxa"/>
              <w:bottom w:w="0" w:type="dxa"/>
            </w:tcMar>
            <w:tcW w:w="16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5"/>
            <w:tcBorders>
              <w:bottom w:val="single" w:color="000000" w:sz="8" w:space="0"/>
              <w:right w:val="single" w:color="000000" w:sz="8" w:space="0"/>
            </w:tcBorders>
            <w:tcMar>
              <w:left w:w="108" w:type="dxa"/>
              <w:top w:w="0" w:type="dxa"/>
              <w:right w:w="108" w:type="dxa"/>
              <w:bottom w:w="0" w:type="dxa"/>
            </w:tcMar>
            <w:tcW w:w="6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Xã Nhân Hoà, huyện Mỹ Hào, tỉnh Hưng Yên (nay là phường Mỹ Hào, tỉnh Hưng 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w:t>
            </w:r>
            <w:r/>
          </w:p>
        </w:tc>
        <w:tc>
          <w:tcPr>
            <w:gridSpan w:val="2"/>
            <w:tcBorders>
              <w:bottom w:val="single" w:color="000000" w:sz="8" w:space="0"/>
              <w:right w:val="single" w:color="000000" w:sz="8" w:space="0"/>
            </w:tcBorders>
            <w:tcMar>
              <w:left w:w="108" w:type="dxa"/>
              <w:top w:w="0" w:type="dxa"/>
              <w:right w:w="108" w:type="dxa"/>
              <w:bottom w:w="0" w:type="dxa"/>
            </w:tcMar>
            <w:tcW w:w="27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gridSpan w:val="2"/>
            <w:tcBorders>
              <w:bottom w:val="single" w:color="000000" w:sz="8" w:space="0"/>
              <w:right w:val="single" w:color="000000" w:sz="8" w:space="0"/>
            </w:tcBorders>
            <w:tcMar>
              <w:left w:w="108" w:type="dxa"/>
              <w:top w:w="0" w:type="dxa"/>
              <w:right w:w="108" w:type="dxa"/>
              <w:bottom w:w="0" w:type="dxa"/>
            </w:tcMar>
            <w:tcW w:w="16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 </w:t>
            </w:r>
            <w:r/>
          </w:p>
        </w:tc>
        <w:tc>
          <w:tcPr>
            <w:gridSpan w:val="2"/>
            <w:tcBorders>
              <w:bottom w:val="single" w:color="000000" w:sz="8" w:space="0"/>
              <w:right w:val="single" w:color="000000" w:sz="8" w:space="0"/>
            </w:tcBorders>
            <w:tcMar>
              <w:left w:w="108" w:type="dxa"/>
              <w:top w:w="0" w:type="dxa"/>
              <w:right w:w="108" w:type="dxa"/>
              <w:bottom w:w="0" w:type="dxa"/>
            </w:tcMar>
            <w:tcW w:w="27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gridSpan w:val="2"/>
            <w:tcBorders>
              <w:bottom w:val="single" w:color="000000" w:sz="8" w:space="0"/>
              <w:right w:val="single" w:color="000000" w:sz="8" w:space="0"/>
            </w:tcBorders>
            <w:tcMar>
              <w:left w:w="108" w:type="dxa"/>
              <w:top w:w="0" w:type="dxa"/>
              <w:right w:w="108" w:type="dxa"/>
              <w:bottom w:w="0" w:type="dxa"/>
            </w:tcMar>
            <w:tcW w:w="16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w:t>
            </w:r>
            <w:r/>
          </w:p>
        </w:tc>
        <w:tc>
          <w:tcPr>
            <w:gridSpan w:val="6"/>
            <w:tcBorders>
              <w:bottom w:val="single" w:color="000000" w:sz="8" w:space="0"/>
              <w:right w:val="single" w:color="000000" w:sz="8" w:space="0"/>
            </w:tcBorders>
            <w:tcMar>
              <w:left w:w="108" w:type="dxa"/>
              <w:top w:w="0" w:type="dxa"/>
              <w:right w:w="108" w:type="dxa"/>
              <w:bottom w:w="0" w:type="dxa"/>
            </w:tcMar>
            <w:tcW w:w="8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Tài sản 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432</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gridSpan w:val="5"/>
            <w:tcBorders>
              <w:bottom w:val="single" w:color="000000" w:sz="8" w:space="0"/>
              <w:right w:val="single" w:color="000000" w:sz="8" w:space="0"/>
            </w:tcBorders>
            <w:tcMar>
              <w:left w:w="108" w:type="dxa"/>
              <w:top w:w="0" w:type="dxa"/>
              <w:right w:w="108" w:type="dxa"/>
              <w:bottom w:w="0" w:type="dxa"/>
            </w:tcMar>
            <w:tcW w:w="6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Xã Nhân Hoà, huyện Mỹ Hào, tỉnh Hưng Yên (nay là phường Mỹ Hào, tỉnh Hưng 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 </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 </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1.3</w:t>
            </w:r>
            <w:r/>
          </w:p>
        </w:tc>
        <w:tc>
          <w:tcPr>
            <w:gridSpan w:val="6"/>
            <w:tcBorders>
              <w:bottom w:val="single" w:color="000000" w:sz="8" w:space="0"/>
              <w:right w:val="single" w:color="000000" w:sz="8" w:space="0"/>
            </w:tcBorders>
            <w:tcMar>
              <w:left w:w="108" w:type="dxa"/>
              <w:top w:w="0" w:type="dxa"/>
              <w:right w:w="108" w:type="dxa"/>
              <w:bottom w:w="0" w:type="dxa"/>
            </w:tcMar>
            <w:tcW w:w="8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Tài sản 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433</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5"/>
            <w:tcBorders>
              <w:bottom w:val="single" w:color="000000" w:sz="8" w:space="0"/>
              <w:right w:val="single" w:color="000000" w:sz="8" w:space="0"/>
            </w:tcBorders>
            <w:tcMar>
              <w:left w:w="108" w:type="dxa"/>
              <w:top w:w="0" w:type="dxa"/>
              <w:right w:w="108" w:type="dxa"/>
              <w:bottom w:w="0" w:type="dxa"/>
            </w:tcMar>
            <w:tcW w:w="6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Xã Nhân Hoà, huyện Mỹ Hào, tỉnh Hưng Yên (nay là phường Mỹ Hào, tỉnh Hưng 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 </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 </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1.4</w:t>
            </w:r>
            <w:r/>
          </w:p>
        </w:tc>
        <w:tc>
          <w:tcPr>
            <w:gridSpan w:val="6"/>
            <w:tcBorders>
              <w:bottom w:val="single" w:color="000000" w:sz="8" w:space="0"/>
              <w:right w:val="single" w:color="000000" w:sz="8" w:space="0"/>
            </w:tcBorders>
            <w:tcMar>
              <w:left w:w="108" w:type="dxa"/>
              <w:top w:w="0" w:type="dxa"/>
              <w:right w:w="108" w:type="dxa"/>
              <w:bottom w:w="0" w:type="dxa"/>
            </w:tcMar>
            <w:tcW w:w="8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Tài sản 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434</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5"/>
            <w:tcBorders>
              <w:bottom w:val="single" w:color="000000" w:sz="8" w:space="0"/>
              <w:right w:val="single" w:color="000000" w:sz="8" w:space="0"/>
            </w:tcBorders>
            <w:tcMar>
              <w:left w:w="108" w:type="dxa"/>
              <w:top w:w="0" w:type="dxa"/>
              <w:right w:w="108" w:type="dxa"/>
              <w:bottom w:w="0" w:type="dxa"/>
            </w:tcMar>
            <w:tcW w:w="6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Xã Nhân Hoà, huyện Mỹ Hào, tỉnh Hưng Yên (nay là phường Mỹ Hào, tỉnh Hưng 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 </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 </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1.5</w:t>
            </w:r>
            <w:r/>
          </w:p>
        </w:tc>
        <w:tc>
          <w:tcPr>
            <w:gridSpan w:val="6"/>
            <w:tcBorders>
              <w:bottom w:val="single" w:color="000000" w:sz="8" w:space="0"/>
              <w:right w:val="single" w:color="000000" w:sz="8" w:space="0"/>
            </w:tcBorders>
            <w:tcMar>
              <w:left w:w="108" w:type="dxa"/>
              <w:top w:w="0" w:type="dxa"/>
              <w:right w:w="108" w:type="dxa"/>
              <w:bottom w:w="0" w:type="dxa"/>
            </w:tcMar>
            <w:tcW w:w="8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Tài sản 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435</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5"/>
            <w:tcBorders>
              <w:bottom w:val="single" w:color="000000" w:sz="8" w:space="0"/>
              <w:right w:val="single" w:color="000000" w:sz="8" w:space="0"/>
            </w:tcBorders>
            <w:tcMar>
              <w:left w:w="108" w:type="dxa"/>
              <w:top w:w="0" w:type="dxa"/>
              <w:right w:w="108" w:type="dxa"/>
              <w:bottom w:w="0" w:type="dxa"/>
            </w:tcMar>
            <w:tcW w:w="6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Xã Nhân Hoà, huyện Mỹ Hào, tỉnh Hưng Yên (nay là phường Mỹ Hào, tỉnh Hưng 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85,0 </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 </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1.6</w:t>
            </w:r>
            <w:r/>
          </w:p>
        </w:tc>
        <w:tc>
          <w:tcPr>
            <w:gridSpan w:val="6"/>
            <w:tcBorders>
              <w:bottom w:val="single" w:color="000000" w:sz="8" w:space="0"/>
              <w:right w:val="single" w:color="000000" w:sz="8" w:space="0"/>
            </w:tcBorders>
            <w:tcMar>
              <w:left w:w="108" w:type="dxa"/>
              <w:top w:w="0" w:type="dxa"/>
              <w:right w:w="108" w:type="dxa"/>
              <w:bottom w:w="0" w:type="dxa"/>
            </w:tcMar>
            <w:tcW w:w="8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436</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5"/>
            <w:tcBorders>
              <w:bottom w:val="single" w:color="000000" w:sz="8" w:space="0"/>
              <w:right w:val="single" w:color="000000" w:sz="8" w:space="0"/>
            </w:tcBorders>
            <w:tcMar>
              <w:left w:w="108" w:type="dxa"/>
              <w:top w:w="0" w:type="dxa"/>
              <w:right w:w="108" w:type="dxa"/>
              <w:bottom w:w="0" w:type="dxa"/>
            </w:tcMar>
            <w:tcW w:w="6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Xã Nhân Hoà, huyện Mỹ Hào, tỉnh Hưng Yên (nay là phường Mỹ Hào, tỉnh Hưng 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85,0 </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 </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1.7</w:t>
            </w:r>
            <w:r/>
          </w:p>
        </w:tc>
        <w:tc>
          <w:tcPr>
            <w:gridSpan w:val="6"/>
            <w:tcBorders>
              <w:bottom w:val="single" w:color="000000" w:sz="8" w:space="0"/>
              <w:right w:val="single" w:color="000000" w:sz="8" w:space="0"/>
            </w:tcBorders>
            <w:tcMar>
              <w:left w:w="108" w:type="dxa"/>
              <w:top w:w="0" w:type="dxa"/>
              <w:right w:w="108" w:type="dxa"/>
              <w:bottom w:w="0" w:type="dxa"/>
            </w:tcMar>
            <w:tcW w:w="8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437</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5"/>
            <w:tcBorders>
              <w:bottom w:val="single" w:color="000000" w:sz="8" w:space="0"/>
              <w:right w:val="single" w:color="000000" w:sz="8" w:space="0"/>
            </w:tcBorders>
            <w:tcMar>
              <w:left w:w="108" w:type="dxa"/>
              <w:top w:w="0" w:type="dxa"/>
              <w:right w:w="108" w:type="dxa"/>
              <w:bottom w:w="0" w:type="dxa"/>
            </w:tcMar>
            <w:tcW w:w="6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Xã Nhân Hoà, huyện Mỹ Hào, tỉnh Hưng Yên (nay là phường Mỹ Hào, tỉnh Hưng 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85,0 </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 </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1.8</w:t>
            </w:r>
            <w:r/>
          </w:p>
        </w:tc>
        <w:tc>
          <w:tcPr>
            <w:gridSpan w:val="6"/>
            <w:tcBorders>
              <w:bottom w:val="single" w:color="000000" w:sz="8" w:space="0"/>
              <w:right w:val="single" w:color="000000" w:sz="8" w:space="0"/>
            </w:tcBorders>
            <w:tcMar>
              <w:left w:w="108" w:type="dxa"/>
              <w:top w:w="0" w:type="dxa"/>
              <w:right w:w="108" w:type="dxa"/>
              <w:bottom w:w="0" w:type="dxa"/>
            </w:tcMar>
            <w:tcW w:w="8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438</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5"/>
            <w:tcBorders>
              <w:bottom w:val="single" w:color="000000" w:sz="8" w:space="0"/>
              <w:right w:val="single" w:color="000000" w:sz="8" w:space="0"/>
            </w:tcBorders>
            <w:tcMar>
              <w:left w:w="108" w:type="dxa"/>
              <w:top w:w="0" w:type="dxa"/>
              <w:right w:w="108" w:type="dxa"/>
              <w:bottom w:w="0" w:type="dxa"/>
            </w:tcMar>
            <w:tcW w:w="6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Xã Nhân Hoà, huyện Mỹ Hào, tỉnh Hưng Yên (nay là phường Mỹ Hào, tỉnh Hưng 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85,0 </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gridSpan w:val="2"/>
            <w:tcBorders>
              <w:bottom w:val="single" w:color="000000" w:sz="8" w:space="0"/>
              <w:right w:val="single" w:color="000000" w:sz="8" w:space="0"/>
            </w:tcBorders>
            <w:tcMar>
              <w:left w:w="108" w:type="dxa"/>
              <w:top w:w="0" w:type="dxa"/>
              <w:right w:w="108" w:type="dxa"/>
              <w:bottom w:w="0" w:type="dxa"/>
            </w:tcMar>
            <w:tcW w:w="259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 </w:t>
            </w:r>
            <w:r/>
          </w:p>
        </w:tc>
        <w:tc>
          <w:tcPr>
            <w:gridSpan w:val="2"/>
            <w:tcBorders>
              <w:bottom w:val="single" w:color="000000" w:sz="8" w:space="0"/>
              <w:right w:val="single" w:color="000000" w:sz="8" w:space="0"/>
            </w:tcBorders>
            <w:tcMar>
              <w:left w:w="108" w:type="dxa"/>
              <w:top w:w="0" w:type="dxa"/>
              <w:right w:w="108" w:type="dxa"/>
              <w:bottom w:w="0" w:type="dxa"/>
            </w:tcMar>
            <w:tcW w:w="22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6"/>
            <w:tcBorders>
              <w:bottom w:val="single" w:color="000000" w:sz="8" w:space="0"/>
              <w:right w:val="single" w:color="000000" w:sz="8" w:space="0"/>
            </w:tcBorders>
            <w:tcMar>
              <w:left w:w="108" w:type="dxa"/>
              <w:top w:w="0" w:type="dxa"/>
              <w:right w:w="108" w:type="dxa"/>
              <w:bottom w:w="0" w:type="dxa"/>
            </w:tcMar>
            <w:tcW w:w="8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 </w:t>
            </w:r>
            <w:r>
              <w:t xml:space="preserve">8 thửa đất có cùng đặc điểm về diện tích, kích thước và hạ tầng. Do đó, bản mô tả dưới đây áp dụng chung cho cả 8 thửa đất.</w:t>
            </w:r>
            <w:r>
              <w:rPr>
                <w:rFonts w:ascii="Times New Roman" w:hAnsi="Times New Roman" w:eastAsia="Times New Roman" w:cs="Times New Roman"/>
                <w:b/>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6"/>
            <w:tcBorders>
              <w:bottom w:val="single" w:color="000000" w:sz="8" w:space="0"/>
              <w:right w:val="single" w:color="000000" w:sz="8" w:space="0"/>
            </w:tcBorders>
            <w:tcMar>
              <w:left w:w="108" w:type="dxa"/>
              <w:top w:w="0" w:type="dxa"/>
              <w:right w:w="108" w:type="dxa"/>
              <w:bottom w:w="0" w:type="dxa"/>
            </w:tcMar>
            <w:tcW w:w="8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nội khu</w:t>
            </w:r>
            <w:r/>
          </w:p>
        </w:tc>
        <w:tc>
          <w:tcPr>
            <w:gridSpan w:val="2"/>
            <w:tcBorders>
              <w:bottom w:val="single" w:color="000000" w:sz="8" w:space="0"/>
              <w:right w:val="single" w:color="000000" w:sz="8" w:space="0"/>
            </w:tcBorders>
            <w:tcMar>
              <w:left w:w="108" w:type="dxa"/>
              <w:top w:w="0" w:type="dxa"/>
              <w:right w:w="108" w:type="dxa"/>
              <w:bottom w:w="0" w:type="dxa"/>
            </w:tcMar>
            <w:tcW w:w="27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gridSpan w:val="2"/>
            <w:tcBorders>
              <w:bottom w:val="single" w:color="000000" w:sz="8" w:space="0"/>
              <w:right w:val="single" w:color="000000" w:sz="8" w:space="0"/>
            </w:tcBorders>
            <w:tcMar>
              <w:left w:w="108" w:type="dxa"/>
              <w:top w:w="0" w:type="dxa"/>
              <w:right w:w="108" w:type="dxa"/>
              <w:bottom w:w="0" w:type="dxa"/>
            </w:tcMar>
            <w:tcW w:w="16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 (m):</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13,5</w:t>
            </w:r>
            <w:r/>
          </w:p>
        </w:tc>
        <w:tc>
          <w:tcPr>
            <w:gridSpan w:val="2"/>
            <w:tcBorders>
              <w:bottom w:val="single" w:color="000000" w:sz="8" w:space="0"/>
              <w:right w:val="single" w:color="000000" w:sz="8" w:space="0"/>
            </w:tcBorders>
            <w:tcMar>
              <w:left w:w="108" w:type="dxa"/>
              <w:top w:w="0" w:type="dxa"/>
              <w:right w:w="108" w:type="dxa"/>
              <w:bottom w:w="0" w:type="dxa"/>
            </w:tcMar>
            <w:tcW w:w="27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 (m):</w:t>
            </w:r>
            <w:r/>
          </w:p>
        </w:tc>
        <w:tc>
          <w:tcPr>
            <w:gridSpan w:val="2"/>
            <w:tcBorders>
              <w:bottom w:val="single" w:color="000000" w:sz="8" w:space="0"/>
              <w:right w:val="single" w:color="000000" w:sz="8" w:space="0"/>
            </w:tcBorders>
            <w:tcMar>
              <w:left w:w="108" w:type="dxa"/>
              <w:top w:w="0" w:type="dxa"/>
              <w:right w:w="108" w:type="dxa"/>
              <w:bottom w:w="0" w:type="dxa"/>
            </w:tcMar>
            <w:tcW w:w="16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 (m):</w:t>
            </w:r>
            <w:r/>
          </w:p>
        </w:tc>
        <w:tc>
          <w:tcPr>
            <w:gridSpan w:val="5"/>
            <w:tcBorders>
              <w:bottom w:val="single" w:color="000000" w:sz="8" w:space="0"/>
              <w:right w:val="single" w:color="000000" w:sz="8" w:space="0"/>
            </w:tcBorders>
            <w:tcMar>
              <w:left w:w="108" w:type="dxa"/>
              <w:top w:w="0" w:type="dxa"/>
              <w:right w:w="108" w:type="dxa"/>
              <w:bottom w:w="0" w:type="dxa"/>
            </w:tcMar>
            <w:tcW w:w="6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8 tài sản nằm liền kền nhau </w:t>
            </w:r>
            <w:r>
              <w:rPr>
                <w:rFonts w:ascii="Times New Roman" w:hAnsi="Times New Roman" w:eastAsia="Times New Roman" w:cs="Times New Roman"/>
                <w:color w:val="000000"/>
                <w:sz w:val="24"/>
              </w:rPr>
              <w:t xml:space="preserve">trong </w:t>
            </w:r>
            <w:r>
              <w:rPr>
                <w:rFonts w:ascii="Times New Roman" w:hAnsi="Times New Roman" w:eastAsia="Times New Roman" w:cs="Times New Roman"/>
                <w:color w:val="000000"/>
                <w:sz w:val="24"/>
              </w:rPr>
              <w:t xml:space="preserve">Khu đô thị Lạc Hồng Phúc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5"/>
            <w:tcBorders>
              <w:bottom w:val="single" w:color="000000" w:sz="8" w:space="0"/>
              <w:right w:val="single" w:color="000000" w:sz="8" w:space="0"/>
            </w:tcBorders>
            <w:tcMar>
              <w:left w:w="108" w:type="dxa"/>
              <w:top w:w="0" w:type="dxa"/>
              <w:right w:w="108" w:type="dxa"/>
              <w:bottom w:w="0" w:type="dxa"/>
            </w:tcMar>
            <w:tcW w:w="6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Đông Nam: Tiếp giáp đường giao thông </w:t>
              <w:br/>
              <w:t xml:space="preserve"> - Các hướng khác: Tiếp giáp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6"/>
            <w:tcBorders>
              <w:bottom w:val="single" w:color="000000" w:sz="8" w:space="0"/>
              <w:right w:val="single" w:color="000000" w:sz="8" w:space="0"/>
            </w:tcBorders>
            <w:tcMar>
              <w:left w:w="108" w:type="dxa"/>
              <w:top w:w="0" w:type="dxa"/>
              <w:right w:w="108" w:type="dxa"/>
              <w:bottom w:w="0" w:type="dxa"/>
            </w:tcMar>
            <w:tcW w:w="8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w:t>
            </w:r>
            <w:r>
              <w:rPr>
                <w:rFonts w:ascii="Times New Roman" w:hAnsi="Times New Roman" w:eastAsia="Times New Roman" w:cs="Times New Roman"/>
                <w:color w:val="000000"/>
                <w:sz w:val="24"/>
              </w:rPr>
              <w:t xml:space="preserve">20°51'47.8"N 106°35'56.5"E</w:t>
            </w: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6"/>
            <w:tcBorders>
              <w:bottom w:val="single" w:color="000000" w:sz="8" w:space="0"/>
              <w:right w:val="single" w:color="000000" w:sz="8" w:space="0"/>
            </w:tcBorders>
            <w:tcMar>
              <w:left w:w="108" w:type="dxa"/>
              <w:top w:w="0" w:type="dxa"/>
              <w:right w:w="108" w:type="dxa"/>
              <w:bottom w:w="0" w:type="dxa"/>
            </w:tcMar>
            <w:tcW w:w="8937"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6048375" cy="2933984"/>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01070" name=""/>
                              <pic:cNvPicPr>
                                <a:picLocks noChangeAspect="1"/>
                              </pic:cNvPicPr>
                              <pic:nvPr/>
                            </pic:nvPicPr>
                            <pic:blipFill rotWithShape="1">
                              <a:blip r:embed="rId17"/>
                              <a:stretch/>
                            </pic:blipFill>
                            <pic:spPr bwMode="auto">
                              <a:xfrm>
                                <a:off x="0" y="0"/>
                                <a:ext cx="6048373" cy="29339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76.25pt;height:231.02pt;mso-wrap-distance-left:0.00pt;mso-wrap-distance-top:0.00pt;mso-wrap-distance-right:0.00pt;mso-wrap-distance-bottom:0.00pt;z-index:1;" stroked="false">
                      <v:imagedata r:id="rId17"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6"/>
            <w:tcBorders>
              <w:bottom w:val="single" w:color="000000" w:sz="8" w:space="0"/>
              <w:right w:val="single" w:color="000000" w:sz="8" w:space="0"/>
            </w:tcBorders>
            <w:tcMar>
              <w:left w:w="108" w:type="dxa"/>
              <w:top w:w="0" w:type="dxa"/>
              <w:right w:w="108" w:type="dxa"/>
              <w:bottom w:w="0" w:type="dxa"/>
            </w:tcMar>
            <w:tcW w:w="8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w:t>
            </w:r>
            <w:r/>
          </w:p>
        </w:tc>
        <w:tc>
          <w:tcPr>
            <w:gridSpan w:val="2"/>
            <w:tcBorders>
              <w:bottom w:val="single" w:color="000000" w:sz="8" w:space="0"/>
              <w:right w:val="single" w:color="000000" w:sz="8" w:space="0"/>
            </w:tcBorders>
            <w:tcMar>
              <w:left w:w="108" w:type="dxa"/>
              <w:top w:w="0" w:type="dxa"/>
              <w:right w:w="108" w:type="dxa"/>
              <w:bottom w:w="0" w:type="dxa"/>
            </w:tcMar>
            <w:tcW w:w="27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gridSpan w:val="2"/>
            <w:tcBorders>
              <w:bottom w:val="single" w:color="000000" w:sz="8" w:space="0"/>
              <w:right w:val="single" w:color="000000" w:sz="8" w:space="0"/>
            </w:tcBorders>
            <w:tcMar>
              <w:left w:w="108" w:type="dxa"/>
              <w:top w:w="0" w:type="dxa"/>
              <w:right w:w="108" w:type="dxa"/>
              <w:bottom w:w="0" w:type="dxa"/>
            </w:tcMar>
            <w:tcW w:w="16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5,0</w:t>
            </w:r>
            <w:r/>
          </w:p>
        </w:tc>
        <w:tc>
          <w:tcPr>
            <w:gridSpan w:val="2"/>
            <w:tcBorders>
              <w:bottom w:val="single" w:color="000000" w:sz="8" w:space="0"/>
              <w:right w:val="single" w:color="000000" w:sz="8" w:space="0"/>
            </w:tcBorders>
            <w:tcMar>
              <w:left w:w="108" w:type="dxa"/>
              <w:top w:w="0" w:type="dxa"/>
              <w:right w:w="108" w:type="dxa"/>
              <w:bottom w:w="0" w:type="dxa"/>
            </w:tcMar>
            <w:tcW w:w="27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gridSpan w:val="2"/>
            <w:tcBorders>
              <w:bottom w:val="single" w:color="000000" w:sz="8" w:space="0"/>
              <w:right w:val="single" w:color="000000" w:sz="8" w:space="0"/>
            </w:tcBorders>
            <w:tcMar>
              <w:left w:w="108" w:type="dxa"/>
              <w:top w:w="0" w:type="dxa"/>
              <w:right w:w="108" w:type="dxa"/>
              <w:bottom w:w="0" w:type="dxa"/>
            </w:tcMar>
            <w:tcW w:w="16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KT mặt hậu (m):</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5,0</w:t>
            </w:r>
            <w:r/>
          </w:p>
        </w:tc>
        <w:tc>
          <w:tcPr>
            <w:gridSpan w:val="2"/>
            <w:tcBorders>
              <w:bottom w:val="single" w:color="000000" w:sz="8" w:space="0"/>
              <w:right w:val="single" w:color="000000" w:sz="8" w:space="0"/>
            </w:tcBorders>
            <w:tcMar>
              <w:left w:w="108" w:type="dxa"/>
              <w:top w:w="0" w:type="dxa"/>
              <w:right w:w="108" w:type="dxa"/>
              <w:bottom w:w="0" w:type="dxa"/>
            </w:tcMar>
            <w:tcW w:w="27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gridSpan w:val="2"/>
            <w:tcBorders>
              <w:bottom w:val="single" w:color="000000" w:sz="8" w:space="0"/>
              <w:right w:val="single" w:color="000000" w:sz="8" w:space="0"/>
            </w:tcBorders>
            <w:tcMar>
              <w:left w:w="108" w:type="dxa"/>
              <w:top w:w="0" w:type="dxa"/>
              <w:right w:w="108" w:type="dxa"/>
              <w:bottom w:w="0" w:type="dxa"/>
            </w:tcMar>
            <w:tcW w:w="16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6"/>
            <w:tcBorders>
              <w:bottom w:val="single" w:color="000000" w:sz="8" w:space="0"/>
              <w:right w:val="single" w:color="000000" w:sz="8" w:space="0"/>
            </w:tcBorders>
            <w:tcMar>
              <w:left w:w="108" w:type="dxa"/>
              <w:top w:w="0" w:type="dxa"/>
              <w:right w:w="108" w:type="dxa"/>
              <w:bottom w:w="0" w:type="dxa"/>
            </w:tcMar>
            <w:tcW w:w="8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5"/>
            <w:tcBorders>
              <w:bottom w:val="single" w:color="000000" w:sz="8" w:space="0"/>
              <w:right w:val="single" w:color="000000" w:sz="8" w:space="0"/>
            </w:tcBorders>
            <w:tcMar>
              <w:left w:w="108" w:type="dxa"/>
              <w:top w:w="0" w:type="dxa"/>
              <w:right w:w="108" w:type="dxa"/>
              <w:bottom w:w="0" w:type="dxa"/>
            </w:tcMar>
            <w:tcW w:w="62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cấp nước: Nước máy, Hạ tầng thoát nước: Rãnh có nắp, Hạ tầng cấp điện: Điện lưới, Hạ tầng thông tin liên lạc: Điện thoại, Mạng internet, Truyền hình cáp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Khu vực tập trung dân cư</w:t>
            </w:r>
            <w:r/>
          </w:p>
        </w:tc>
        <w:tc>
          <w:tcPr>
            <w:gridSpan w:val="2"/>
            <w:tcBorders>
              <w:bottom w:val="single" w:color="000000" w:sz="8" w:space="0"/>
              <w:right w:val="single" w:color="000000" w:sz="8" w:space="0"/>
            </w:tcBorders>
            <w:tcMar>
              <w:left w:w="108" w:type="dxa"/>
              <w:top w:w="0" w:type="dxa"/>
              <w:right w:w="108" w:type="dxa"/>
              <w:bottom w:w="0" w:type="dxa"/>
            </w:tcMar>
            <w:tcW w:w="27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gridSpan w:val="2"/>
            <w:tcBorders>
              <w:bottom w:val="single" w:color="000000" w:sz="8" w:space="0"/>
              <w:right w:val="single" w:color="000000" w:sz="8" w:space="0"/>
            </w:tcBorders>
            <w:tcMar>
              <w:left w:w="108" w:type="dxa"/>
              <w:top w:w="0" w:type="dxa"/>
              <w:right w:w="108" w:type="dxa"/>
              <w:bottom w:w="0" w:type="dxa"/>
            </w:tcMar>
            <w:tcW w:w="16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w:t>
            </w:r>
            <w:r/>
          </w:p>
        </w:tc>
        <w:tc>
          <w:tcPr>
            <w:gridSpan w:val="2"/>
            <w:tcBorders>
              <w:bottom w:val="single" w:color="000000" w:sz="8" w:space="0"/>
              <w:right w:val="single" w:color="000000" w:sz="8" w:space="0"/>
            </w:tcBorders>
            <w:tcMar>
              <w:left w:w="108" w:type="dxa"/>
              <w:top w:w="0" w:type="dxa"/>
              <w:right w:w="108" w:type="dxa"/>
              <w:bottom w:w="0" w:type="dxa"/>
            </w:tcMar>
            <w:tcW w:w="27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gridSpan w:val="2"/>
            <w:tcBorders>
              <w:bottom w:val="single" w:color="000000" w:sz="8" w:space="0"/>
              <w:right w:val="single" w:color="000000" w:sz="8" w:space="0"/>
            </w:tcBorders>
            <w:tcMar>
              <w:left w:w="108" w:type="dxa"/>
              <w:top w:w="0" w:type="dxa"/>
              <w:right w:w="108" w:type="dxa"/>
              <w:bottom w:w="0" w:type="dxa"/>
            </w:tcMar>
            <w:tcW w:w="16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Trung bình</w:t>
            </w:r>
            <w:r/>
          </w:p>
        </w:tc>
      </w:tr>
      <w:tr>
        <w:trPr>
          <w:trHeight w:val="205"/>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6"/>
            <w:tcBorders>
              <w:bottom w:val="single" w:color="000000" w:sz="8" w:space="0"/>
              <w:right w:val="single" w:color="000000" w:sz="8" w:space="0"/>
            </w:tcBorders>
            <w:tcMar>
              <w:left w:w="108" w:type="dxa"/>
              <w:top w:w="0" w:type="dxa"/>
              <w:right w:w="108" w:type="dxa"/>
              <w:bottom w:w="0" w:type="dxa"/>
            </w:tcMar>
            <w:tcW w:w="8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w:t>
            </w:r>
            <w:r>
              <w:rPr>
                <w:rFonts w:ascii="Times New Roman" w:hAnsi="Times New Roman" w:eastAsia="Times New Roman" w:cs="Times New Roman"/>
                <w:b/>
                <w:color w:val="000000"/>
                <w:sz w:val="24"/>
              </w:rPr>
              <w:t xml:space="preserve">i đất: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gridSpan w:val="6"/>
            <w:tcBorders>
              <w:bottom w:val="single" w:color="000000" w:sz="8" w:space="0"/>
              <w:right w:val="single" w:color="000000" w:sz="8" w:space="0"/>
            </w:tcBorders>
            <w:tcMar>
              <w:left w:w="108" w:type="dxa"/>
              <w:top w:w="0" w:type="dxa"/>
              <w:right w:w="108" w:type="dxa"/>
              <w:bottom w:w="0" w:type="dxa"/>
            </w:tcMar>
            <w:tcW w:w="89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khảo sát, </w:t>
            </w:r>
            <w:r>
              <w:t xml:space="preserve">chủ tài sản sử dụng chung 8 thửa đất liền kề làm khuôn viên nhà vườn, có cổng và tường bao quanh toàn bộ khuôn viên. Trên bốn thửa đất </w:t>
            </w:r>
            <w:r>
              <w:rPr>
                <w:rFonts w:ascii="Times New Roman" w:hAnsi="Times New Roman" w:eastAsia="Times New Roman" w:cs="Times New Roman"/>
                <w:color w:val="000000"/>
                <w:sz w:val="24"/>
              </w:rPr>
              <w:t xml:space="preserve">có 01 Nhà 3 tầng, kết cấu tường gạch, bê tông cốt thép, sàn lát gạch men. Tổng diện tích xây dựng khoảng 700m². Công trình được xây dựng năm 2019. </w:t>
            </w:r>
            <w:r>
              <w:t xml:space="preserve">Các thửa đất còn lại được sử dụng làm sân vườn, cảnh quan và lối đi nội bộ</w:t>
            </w:r>
            <w:r>
              <w:rPr>
                <w:rFonts w:ascii="Times New Roman" w:hAnsi="Times New Roman" w:eastAsia="Times New Roman" w:cs="Times New Roman"/>
                <w:color w:val="000000"/>
                <w:sz w:val="24"/>
              </w:rPr>
              <w:t xml:space="preserve">. Hiện tại công trình chưa được chứng nhận trên Giấy chứng nhận QSDĐ</w:t>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3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7"/>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37"/>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Style w:val="1037"/>
        <w:numPr>
          <w:ilvl w:val="0"/>
          <w:numId w:val="3"/>
        </w:numPr>
        <w:pBdr/>
        <w:tabs>
          <w:tab w:val="left" w:leader="none" w:pos="993"/>
        </w:tabs>
        <w:spacing w:after="120" w:before="120" w:line="264" w:lineRule="auto"/>
        <w:ind/>
        <w:jc w:val="both"/>
        <w:rPr>
          <w:spacing w:val="-2"/>
          <w:lang w:val="pt-BR"/>
        </w:rPr>
      </w:pPr>
      <w:r>
        <w:rPr>
          <w:highlight w:val="none"/>
          <w:lang w:val="pt-BR" w:bidi="pt-BR"/>
        </w:rPr>
      </w:r>
      <w:r>
        <w:rPr>
          <w:rFonts w:ascii="Times New Roman" w:hAnsi="Times New Roman" w:eastAsia="Times New Roman" w:cs="Times New Roman"/>
          <w:color w:val="000000"/>
          <w:sz w:val="24"/>
        </w:rPr>
        <w:t xml:space="preserve">Tại thời điểm khảo sát, </w:t>
      </w:r>
      <w:r>
        <w:t xml:space="preserve">chủ tài sản sử dụng chung 8 thửa đất liền kề làm khuôn viên nhà vườn, có cổng và tường bao quanh toàn bộ khuôn viên. Trên bốn thửa đất </w:t>
      </w:r>
      <w:r>
        <w:rPr>
          <w:rFonts w:ascii="Times New Roman" w:hAnsi="Times New Roman" w:eastAsia="Times New Roman" w:cs="Times New Roman"/>
          <w:color w:val="000000"/>
          <w:sz w:val="24"/>
        </w:rPr>
        <w:t xml:space="preserve">có 01 Nhà 3 tầng, kết cấu tường gạch, bê tông cốt thép, sàn lát gạch men. Tổng diện tích xây dựng khoảng 700m². Công trình được xây dựng năm 2019. </w:t>
      </w:r>
      <w:r>
        <w:t xml:space="preserve">Các thửa đất còn lại được sử dụng làm sân vườn, cảnh quan và lối đi nội bộ</w:t>
      </w:r>
      <w:r>
        <w:rPr>
          <w:rFonts w:ascii="Times New Roman" w:hAnsi="Times New Roman" w:eastAsia="Times New Roman" w:cs="Times New Roman"/>
          <w:color w:val="000000"/>
          <w:sz w:val="24"/>
        </w:rPr>
        <w:t xml:space="preserve">. Hiện tại công trình chưa được chứng nhận trên Giấy chứng nhận QSDĐ</w:t>
      </w:r>
      <w:r>
        <w:rPr>
          <w:rFonts w:ascii="Times New Roman" w:hAnsi="Times New Roman" w:eastAsia="Times New Roman" w:cs="Times New Roman"/>
          <w:color w:val="000000"/>
          <w:sz w:val="24"/>
        </w:rPr>
        <w:t xml:space="preserve">. Đồng thời tổ thẩm định cũng không nhận được bất kỳ hồ sơ pháp lý nào liên quan tới CTXD hiện có này. Do đó, theo đề nghị của ngân hàng/khách hàng, tổ thẩm định chỉ xác định giá trị quyền sử dụng đất, không xác định giá trị của công trình xây dựng hiện có</w:t>
      </w:r>
      <w:r>
        <w:rPr>
          <w:rFonts w:ascii="Times New Roman" w:hAnsi="Times New Roman" w:eastAsia="Times New Roman" w:cs="Times New Roman"/>
          <w:color w:val="000000"/>
          <w:sz w:val="24"/>
        </w:rPr>
        <w:t xml:space="preserve"> vào tổng giá trị nhưng vẫn coi công trình xây dựng là phần không thể tách rời của tài sản thẩm định. Kính đề nghị đơn vị sử dụng kết quả lưu ý</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7"/>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7"/>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37"/>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37"/>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37"/>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37"/>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3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7"/>
        <w:numPr>
          <w:ilvl w:val="0"/>
          <w:numId w:val="26"/>
        </w:numPr>
        <w:pBdr/>
        <w:spacing w:after="120" w:before="120" w:line="276" w:lineRule="auto"/>
        <w:ind w:hanging="357" w:left="357"/>
        <w:jc w:val="both"/>
        <w:rPr>
          <w:b/>
          <w:lang w:val="pt-BR"/>
        </w:rPr>
      </w:pPr>
      <w:r>
        <w:rPr>
          <w:b/>
          <w:lang w:val="pt-BR"/>
        </w:rPr>
      </w:r>
      <w:r>
        <w:rPr>
          <w:rFonts w:ascii="Times New Roman" w:hAnsi="Times New Roman" w:eastAsia="Times New Roman" w:cs="Times New Roman"/>
          <w:b/>
          <w:color w:val="000000"/>
          <w:sz w:val="24"/>
        </w:rPr>
        <w:t xml:space="preserve">Xác định đơn giá quyền sử dụng đất Tài sản 1</w:t>
      </w:r>
      <w:r>
        <w:rPr>
          <w:b/>
          <w:lang w:val="pt-BR"/>
        </w:rPr>
      </w:r>
      <w:r>
        <w:rPr>
          <w:b/>
          <w:lang w:val="pt-BR"/>
        </w:rPr>
      </w:r>
    </w:p>
    <w:p>
      <w:pPr>
        <w:pStyle w:val="1037"/>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37"/>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48"/>
        <w:gridCol w:w="1985"/>
        <w:gridCol w:w="1718"/>
        <w:gridCol w:w="1718"/>
        <w:gridCol w:w="1718"/>
        <w:gridCol w:w="1718"/>
      </w:tblGrid>
      <w:tr>
        <w:trPr>
          <w:trHeight w:val="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đô thị Lạc Hồng Phúc, phường Mỹ Hào, Tỉnh Hưng Yên</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đô thị Lạc Hồng Phúc, phường Mỹ Hào, Tỉnh Hưng Yên</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đô thị Lạc Hồng Phúc, phường Mỹ Hào, Tỉnh Hưng Yên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Khu đô thị Lạc Hồng Phúc, phường Mỹ Hào, Tỉnh Hưng Yên</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https://www.facebook.com/share/p/1E8ALnaiKd/</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https://www.facebook.com/share/p/18oWJcYJXd/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https://batdongsan.com.vn/ban-dat-nen-du-an-pho-pho-noi-phuong-nhan-hoa-khu-do-thi-lac-hong/ban-lo-80m2-tai-phuc-my-hao-chinh-chu-gia-re-pr42618142</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Môi giới: 0845.592.999</w:t>
              <w:br/>
              <w:t xml:space="preserve"> (Sale Nam Phong Land)</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Môi giới: 0386161929</w:t>
              <w:br/>
              <w:t xml:space="preserve"> (Sale Diễm My)</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Môi giới: 0983463457</w:t>
              <w:br/>
              <w:t xml:space="preserve"> (Sale Trần Văn Mừng)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6/2026</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6/2026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Tháng 6/2026</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trong Khu đô thị Lạc Hồng Phúc</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trong Khu đô thị Lạc Hồng Phúc</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trong Khu đô thị Lạc Hồng Phúc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nằm trong Khu đô thị Lạc Hồng Phúc</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2"/>
              </w:rPr>
              <w:t xml:space="preserve">iao thô</w:t>
            </w:r>
            <w:r>
              <w:rPr>
                <w:rFonts w:ascii="Times New Roman" w:hAnsi="Times New Roman" w:eastAsia="Times New Roman" w:cs="Times New Roman"/>
                <w:color w:val="000000"/>
                <w:sz w:val="22"/>
              </w:rPr>
              <w:t xml:space="preserve">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 rộng 13,5m</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 rộng 13,5m</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 rộng 13,5m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 rộng 13,5m</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ở</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85,0 m²</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73,3 m²</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80,0 m²</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5,00 m</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5,00 m</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5,00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 m</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 mặt tiền</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vức</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vức</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Vuông vức</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hợp để ở</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 (Yếu tố phong thủy/Yếu tố tâm linh)</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đâm</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tái định cư</w:t>
            </w:r>
            <w:r>
              <w:rPr>
                <w:rFonts w:ascii="Times New Roman" w:hAnsi="Times New Roman" w:eastAsia="Times New Roman" w:cs="Times New Roman"/>
                <w:color w:val="000000"/>
                <w:sz w:val="22"/>
              </w:rPr>
              <w:t xml:space="preserve">: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tái định cư</w:t>
            </w:r>
            <w:r>
              <w:rPr>
                <w:rFonts w:ascii="Times New Roman" w:hAnsi="Times New Roman" w:eastAsia="Times New Roman" w:cs="Times New Roman"/>
                <w:color w:val="000000"/>
                <w:sz w:val="22"/>
              </w:rPr>
              <w:t xml:space="preserve">: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Hạ tầng khu tái định cư</w:t>
            </w:r>
            <w:r>
              <w:rPr>
                <w:rFonts w:ascii="Times New Roman" w:hAnsi="Times New Roman" w:eastAsia="Times New Roman" w:cs="Times New Roman"/>
                <w:color w:val="000000"/>
                <w:sz w:val="22"/>
                <w:highlight w:val="white"/>
              </w:rPr>
              <w:t xml:space="preserve">: Hệ thống cấp </w:t>
            </w:r>
            <w:r>
              <w:rPr>
                <w:rFonts w:ascii="Times New Roman" w:hAnsi="Times New Roman" w:eastAsia="Times New Roman" w:cs="Times New Roman"/>
                <w:color w:val="000000"/>
                <w:sz w:val="22"/>
                <w:highlight w:val="white"/>
              </w:rPr>
              <w:t xml:space="preserve">điện, cấp thoát nước đầy đủ</w:t>
            </w:r>
            <w:r>
              <w:rPr>
                <w:highlight w:val="white"/>
              </w:rPr>
            </w:r>
            <w:r>
              <w:rPr>
                <w:highlight w:val="whit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white"/>
              </w:rPr>
            </w:pPr>
            <w:r>
              <w:rPr>
                <w:rFonts w:ascii="Times New Roman" w:hAnsi="Times New Roman" w:eastAsia="Times New Roman" w:cs="Times New Roman"/>
                <w:color w:val="000000"/>
                <w:sz w:val="22"/>
                <w:highlight w:val="white"/>
              </w:rPr>
              <w:t xml:space="preserve">Hạ tầng khu tái định cư</w:t>
            </w:r>
            <w:r>
              <w:rPr>
                <w:rFonts w:ascii="Times New Roman" w:hAnsi="Times New Roman" w:eastAsia="Times New Roman" w:cs="Times New Roman"/>
                <w:color w:val="000000"/>
                <w:sz w:val="22"/>
                <w:highlight w:val="white"/>
              </w:rPr>
              <w:t xml:space="preserve">: Hệ thống c</w:t>
            </w:r>
            <w:r>
              <w:rPr>
                <w:rFonts w:ascii="Times New Roman" w:hAnsi="Times New Roman" w:eastAsia="Times New Roman" w:cs="Times New Roman"/>
                <w:color w:val="000000"/>
                <w:sz w:val="22"/>
                <w:highlight w:val="white"/>
              </w:rPr>
              <w:t xml:space="preserve">ấp điện, cấp thoát nước đầy đủ</w:t>
            </w:r>
            <w:r>
              <w:rPr>
                <w:highlight w:val="white"/>
              </w:rPr>
            </w:r>
            <w:r>
              <w:rPr>
                <w:highlight w:val="white"/>
              </w:rP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Nhà cấp 4</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tầng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sử dụng (m²)</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73,3</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6.200.000.000</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6.800.000.000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6.800.000.000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5.890.000.000</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6.460.000.000</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6.460.000.000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347.275.228</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xây dựng theo Quyết định 425/QĐ-BXD năm 2026 của Bộ Xây Dựng (đồng/m²)</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5.922.156</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 CLCL</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ở (đồng)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5.542.724.772</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6.460.000.000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6.460.000.000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75.616.982</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80.750.000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spacing w:after="0" w:before="0" w:line="240" w:lineRule="auto"/>
              <w:ind/>
              <w:rPr/>
            </w:pPr>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ở</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đất ở/ tổng diện tích</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 (Yếu tố phong thủy/Yếu tố tâm linh)</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8" w:space="0"/>
              <w:bottom w:val="single" w:color="000000" w:sz="8" w:space="0"/>
              <w:right w:val="single" w:color="000000" w:sz="8" w:space="0"/>
            </w:tcBorders>
            <w:tcMar>
              <w:left w:w="108" w:type="dxa"/>
              <w:top w:w="0" w:type="dxa"/>
              <w:right w:w="108" w:type="dxa"/>
              <w:bottom w:w="0" w:type="dxa"/>
            </w:tcMar>
            <w:tcW w:w="64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98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37"/>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818"/>
        <w:gridCol w:w="1761"/>
        <w:gridCol w:w="992"/>
        <w:gridCol w:w="1476"/>
        <w:gridCol w:w="1476"/>
        <w:gridCol w:w="1476"/>
        <w:gridCol w:w="1476"/>
      </w:tblGrid>
      <w:tr>
        <w:trPr>
          <w:trHeight w:val="0"/>
          <w:tblHeader/>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5.542.724.772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6.460.000.000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6.460.000.000</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75.616.982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spacing w:after="0" w:before="0" w:line="240" w:lineRule="auto"/>
              <w:ind/>
              <w:rPr/>
            </w:pPr>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75.616.982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trong Khu đô thị Lạc Hồng Phúc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trong Khu đô thị Lạc Hồng Phúc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trong Khu đô thị Lạc Hồng Phúc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trong Khu đô thị Lạc Hồng Phúc</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75.616.982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nhựa có vỉa hè rộng 13,5m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nhựa có vỉa hè rộng 13,5m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nhựa có vỉa hè rộng 13,5m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nhựa có vỉa hè rộng 13,5m</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75.616.982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75.616.982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75.616.982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75.616.982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75.616.982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75.616.982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Yếu tố khác (Yếu tố phong thủy/Yếu tố tâm linh)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đâm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3.780.849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79.397.831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tái định cư: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tái định cư: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tái định cư: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tái định cư: Hệ thống cấp điện, cấp thoát nước đầy đủ</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79.397.831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80.750.000</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79.397.831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80.750.000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80.750.000</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spacing w:after="0" w:before="0" w:line="240" w:lineRule="auto"/>
              <w:ind/>
              <w:rPr/>
            </w:pPr>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4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80.299.277</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0,6%</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8" w:space="0"/>
              <w:right w:val="single" w:color="000000" w:sz="8" w:space="0"/>
            </w:tcBorders>
            <w:tcMar>
              <w:left w:w="108" w:type="dxa"/>
              <w:top w:w="0" w:type="dxa"/>
              <w:right w:w="108" w:type="dxa"/>
              <w:bottom w:w="0" w:type="dxa"/>
            </w:tcMar>
            <w:tcW w:w="86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3.780.849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0%-2%</w:t>
            </w:r>
            <w:r/>
          </w:p>
        </w:tc>
      </w:tr>
      <w:tr>
        <w:trPr>
          <w:trHeight w:val="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1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3.780.849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0,6% đến</w:t>
      </w:r>
      <w:r>
        <w:t xml:space="preserve"> </w:t>
      </w:r>
      <w:r>
        <w:t xml:space="preserve">1,1%,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79.186.371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26.400.736</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80.750.000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26.913.975</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80.750.000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26.913.975</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80.228.686</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80.000.000</w:t>
            </w:r>
            <w:r>
              <w:rPr>
                <w:b/>
                <w:bCs/>
                <w:color w:val="000000"/>
              </w:rPr>
            </w:r>
            <w:r>
              <w:rPr>
                <w:b/>
                <w:bCs/>
                <w:color w:val="000000"/>
              </w:rPr>
            </w:r>
          </w:p>
        </w:tc>
      </w:tr>
    </w:tbl>
    <w:p>
      <w:pPr>
        <w:pBdr/>
        <w:spacing w:after="120" w:before="120" w:line="276" w:lineRule="auto"/>
        <w:ind/>
        <w:jc w:val="both"/>
        <w:rPr>
          <w:b/>
          <w:bCs/>
          <w:highlight w:val="none"/>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80.000.000</w:t>
      </w:r>
      <w:r>
        <w:rPr>
          <w:b/>
          <w:bCs/>
          <w:color w:val="000000" w:themeColor="text1"/>
        </w:rPr>
        <w:t xml:space="preserve"> </w:t>
      </w:r>
      <w:r>
        <w:rPr>
          <w:b/>
          <w:bCs/>
        </w:rPr>
        <w:t xml:space="preserve">đồng/m².</w:t>
      </w:r>
      <w:r>
        <w:rPr>
          <w:b/>
          <w:bCs/>
          <w:highlight w:val="none"/>
        </w:rPr>
      </w:r>
      <w:r>
        <w:rPr>
          <w:b/>
          <w:bCs/>
          <w:highlight w:val="none"/>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color w:val="000000"/>
          <w:sz w:val="24"/>
        </w:rPr>
        <w:t xml:space="preserve">2. Xác định đơn giá quyền sử dụng đất Tài sản 2, Tài sản 3, Tài sản 4, Tài sản 5, Tài sản 6, Tài sản 7, Tài sản 8</w:t>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p>
      <w:pPr>
        <w:pBdr/>
        <w:spacing w:after="120" w:before="120" w:line="276" w:lineRule="auto"/>
        <w:ind/>
        <w:jc w:val="both"/>
        <w:rPr>
          <w:b/>
          <w:bCs/>
        </w:rPr>
      </w:pPr>
      <w:r>
        <w:rPr>
          <w:rFonts w:ascii="Times New Roman" w:hAnsi="Times New Roman" w:eastAsia="Times New Roman" w:cs="Times New Roman"/>
          <w:color w:val="000000"/>
          <w:sz w:val="24"/>
        </w:rPr>
        <w:t xml:space="preserve">Qua khảo sát hiện trạng tài sản thẩm định, tổ thẩm định nhận thấy Tài sản 2, Tài sản 3, Tài sản 4, Tài sản 5, Tài sản 6, Tài sản 7, Tài sản 8 nằm liền kề tương đồng về vị trí, diện tích, mặt tiền, độ rộng đường … với tài sản 1. Do đó, tổ thẩm định xác định</w:t>
      </w:r>
      <w:r>
        <w:rPr>
          <w:rFonts w:ascii="Times New Roman" w:hAnsi="Times New Roman" w:eastAsia="Times New Roman" w:cs="Times New Roman"/>
          <w:color w:val="000000"/>
          <w:sz w:val="24"/>
        </w:rPr>
        <w:t xml:space="preserve"> đơn giá của Tài sản 2, Tài sản 3, Tài sản 4, Tài sản 5, Tài sản 6, Tài sản 7, Tài sản 8 bằng với đơn giá của tài sản 01 là 80.000.000 đồng/m².</w:t>
      </w:r>
      <w:r>
        <w:rPr>
          <w:b/>
          <w:bCs/>
        </w:rPr>
      </w:r>
      <w:r>
        <w:rPr>
          <w:b/>
          <w:bCs/>
        </w:rPr>
      </w:r>
    </w:p>
    <w:p>
      <w:pPr>
        <w:pBdr/>
        <w:spacing w:after="120" w:before="120" w:line="276" w:lineRule="auto"/>
        <w:ind w:firstLine="0" w:left="0"/>
        <w:jc w:val="both"/>
        <w:rPr>
          <w:b/>
          <w:lang w:val="pt-BR"/>
        </w:rPr>
      </w:pPr>
      <w:r>
        <w:rPr>
          <w:b/>
          <w:lang w:val="pt-BR"/>
        </w:rPr>
        <w:t xml:space="preserve">3. Kết quả thẩm định giá:</w:t>
      </w:r>
      <w:r>
        <w:rPr>
          <w:b/>
          <w:lang w:val="pt-BR"/>
        </w:rPr>
      </w:r>
      <w:r>
        <w:rPr>
          <w:b/>
          <w:lang w:val="pt-BR"/>
        </w:rPr>
      </w:r>
    </w:p>
    <w:p>
      <w:pPr>
        <w:pStyle w:val="1037"/>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06/2026</w:t>
      </w:r>
      <w:r>
        <w:t xml:space="preserve"> </w:t>
      </w:r>
      <w:r>
        <w:t xml:space="preserve">ước tính </w:t>
      </w:r>
      <w:r>
        <w:t xml:space="preserve">như sau</w:t>
      </w:r>
      <w:r>
        <w:t xml:space="preserve">:</w:t>
      </w: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737"/>
        <w:gridCol w:w="1843"/>
        <w:gridCol w:w="2551"/>
        <w:gridCol w:w="2126"/>
        <w:gridCol w:w="2269"/>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5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431,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738517, s</w:t>
            </w:r>
            <w:r>
              <w:rPr>
                <w:rFonts w:ascii="Times New Roman" w:hAnsi="Times New Roman" w:eastAsia="Times New Roman" w:cs="Times New Roman"/>
                <w:b/>
                <w:color w:val="000000"/>
                <w:sz w:val="24"/>
              </w:rPr>
              <w:t xml:space="preserve">ố vào sổ cấp GCN: CS00534 do Sở Tài nguyên và Môi trường tỉnh Hưng Yên cấp ngày 27/12/2018 cho Ông Nguyễn Văn Đức và Bà Lê Thị Thu Hải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6.800.000.000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w:t>
            </w:r>
            <w:r/>
          </w:p>
        </w:tc>
        <w:tc>
          <w:tcPr>
            <w:gridSpan w:val="3"/>
            <w:tcBorders>
              <w:bottom w:val="single" w:color="000000" w:sz="8" w:space="0"/>
              <w:right w:val="single" w:color="000000" w:sz="8" w:space="0"/>
            </w:tcBorders>
            <w:tcMar>
              <w:left w:w="108" w:type="dxa"/>
              <w:top w:w="0" w:type="dxa"/>
              <w:right w:w="108" w:type="dxa"/>
              <w:bottom w:w="0" w:type="dxa"/>
            </w:tcMar>
            <w:tcW w:w="6520"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432,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738516, s</w:t>
            </w:r>
            <w:r>
              <w:rPr>
                <w:rFonts w:ascii="Times New Roman" w:hAnsi="Times New Roman" w:eastAsia="Times New Roman" w:cs="Times New Roman"/>
                <w:b/>
                <w:color w:val="000000"/>
                <w:sz w:val="24"/>
              </w:rPr>
              <w:t xml:space="preserve">ố vào sổ cấp GCN: CS00530 do Sở Tài nguyên và Môi trường tỉnh Hưng Yên cấp ngày 27/12/2018 cho Ông Nguyễn Văn Đức và Bà Lê Thị Thu Hải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6.800.000.000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433,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738515, s</w:t>
            </w:r>
            <w:r>
              <w:rPr>
                <w:rFonts w:ascii="Times New Roman" w:hAnsi="Times New Roman" w:eastAsia="Times New Roman" w:cs="Times New Roman"/>
                <w:b/>
                <w:color w:val="000000"/>
                <w:sz w:val="24"/>
              </w:rPr>
              <w:t xml:space="preserve">ố vào sổ cấp GCN: CS00528 do Sở Tài nguyên và Môi trường tỉnh Hưng Yên cấp ngày 27/12/2018 cho Ông Nguyễn Văn Đức và Bà Lê Thị Thu Hải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6.800.000.000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434,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738631, s</w:t>
            </w:r>
            <w:r>
              <w:rPr>
                <w:rFonts w:ascii="Times New Roman" w:hAnsi="Times New Roman" w:eastAsia="Times New Roman" w:cs="Times New Roman"/>
                <w:b/>
                <w:color w:val="000000"/>
                <w:sz w:val="24"/>
              </w:rPr>
              <w:t xml:space="preserve">ố vào sổ cấp GCN: CS00529 do Sở Tài nguyên và Môi trường tỉnh Hưng Yên cấp ngày 27/12/2018 cho Ông Nguyễn Văn Đức và Bà Lê Thị Thu Hải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6.800.000.000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435,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738513, s</w:t>
            </w:r>
            <w:r>
              <w:rPr>
                <w:rFonts w:ascii="Times New Roman" w:hAnsi="Times New Roman" w:eastAsia="Times New Roman" w:cs="Times New Roman"/>
                <w:b/>
                <w:color w:val="000000"/>
                <w:sz w:val="24"/>
              </w:rPr>
              <w:t xml:space="preserve">ố vào sổ cấp GCN: CS00532 do Sở Tài nguyên và Môi trường tỉnh Hưng Yên cấp ngày 27/12/2018 cho Ông Nguyễn Văn Đức và Bà Lê Thị Thu Hải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6.800.000.000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w:t>
            </w:r>
            <w:r/>
          </w:p>
        </w:tc>
        <w:tc>
          <w:tcPr>
            <w:gridSpan w:val="3"/>
            <w:tcBorders>
              <w:bottom w:val="single" w:color="000000" w:sz="8" w:space="0"/>
              <w:right w:val="single" w:color="000000" w:sz="8" w:space="0"/>
            </w:tcBorders>
            <w:tcMar>
              <w:left w:w="108" w:type="dxa"/>
              <w:top w:w="0" w:type="dxa"/>
              <w:right w:w="108" w:type="dxa"/>
              <w:bottom w:w="0" w:type="dxa"/>
            </w:tcMar>
            <w:tcW w:w="6520"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436,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738511, s</w:t>
            </w:r>
            <w:r>
              <w:rPr>
                <w:rFonts w:ascii="Times New Roman" w:hAnsi="Times New Roman" w:eastAsia="Times New Roman" w:cs="Times New Roman"/>
                <w:b/>
                <w:color w:val="000000"/>
                <w:sz w:val="24"/>
              </w:rPr>
              <w:t xml:space="preserve">ố vào sổ cấp GCN: CS00531 do Sở Tài nguyên và Môi trường tỉnh Hưng Yên cấp ngày 27/12/2018 cho Ông Nguyễn Văn Đức và Bà Lê Thị Thu Hải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6.800.000.000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437,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738518, s</w:t>
            </w:r>
            <w:r>
              <w:rPr>
                <w:rFonts w:ascii="Times New Roman" w:hAnsi="Times New Roman" w:eastAsia="Times New Roman" w:cs="Times New Roman"/>
                <w:b/>
                <w:color w:val="000000"/>
                <w:sz w:val="24"/>
              </w:rPr>
              <w:t xml:space="preserve">ố vào sổ cấp GCN: CS00527 do Sở Tài nguyên và Môi trường tỉnh Hưng Yên cấp ngày 27/12/2018 cho Ông Nguyễn Văn Đức và Bà Lê Thị Thu Hải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6.800.000.000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thửa đất số: 438, tờ bản đồ số: 23 có địa chỉ: Xã Nhân Hoà, huyện Mỹ Hào, tỉnh Hưng Yên (nay là phường Mỹ Hào, tỉnh Hưng Yên) theo Giấy chứng nhận quyền sử dụng đất, quyền sở hữu nhà ở và tài sản khác gắn liền với đất số: CN 738512, s</w:t>
            </w:r>
            <w:r>
              <w:rPr>
                <w:rFonts w:ascii="Times New Roman" w:hAnsi="Times New Roman" w:eastAsia="Times New Roman" w:cs="Times New Roman"/>
                <w:b/>
                <w:color w:val="000000"/>
                <w:sz w:val="24"/>
              </w:rPr>
              <w:t xml:space="preserve">ố vào sổ cấp GCN: CS00533 do Sở Tài nguyên và Môi trường tỉnh Hưng Yên cấp ngày 27/12/2018 cho Ông Nguyễn Văn Đức và Bà Lê Thị Thu Hải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6.800.000.000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5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Tổng cộng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54.400.000.000</w:t>
            </w:r>
            <w:r/>
          </w:p>
        </w:tc>
      </w:tr>
      <w:tr>
        <w:trPr>
          <w:trHeight w:val="20"/>
        </w:trPr>
        <w:tc>
          <w:tcPr>
            <w:gridSpan w:val="5"/>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i/>
                <w:color w:val="000000"/>
                <w:sz w:val="24"/>
              </w:rPr>
              <w:t xml:space="preserve">(Bằng chữ: Năm mươi tư tỷ bốn trăm triệu đồng chẵn ./.)</w:t>
            </w:r>
            <w:r/>
          </w:p>
        </w:tc>
      </w:tr>
    </w:tbl>
    <w:p>
      <w:pPr>
        <w:pStyle w:val="1037"/>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7"/>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37"/>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7"/>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37"/>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37"/>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37"/>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37"/>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37"/>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37"/>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37"/>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7"/>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3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3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37"/>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37"/>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37"/>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37"/>
        <w:numPr>
          <w:ilvl w:val="0"/>
          <w:numId w:val="5"/>
        </w:numPr>
        <w:pBdr/>
        <w:spacing w:after="120" w:before="120" w:line="288" w:lineRule="auto"/>
        <w:ind w:hanging="357" w:left="357"/>
        <w:jc w:val="both"/>
        <w:rPr>
          <w:lang w:val="pt-BR"/>
        </w:rPr>
      </w:pPr>
      <w:r>
        <w:rPr>
          <w:shd w:val="clear" w:color="auto" w:fill="ffffff"/>
          <w:lang w:val="pt-BR"/>
        </w:rPr>
        <w:t xml:space="preserve">Chúng tôi nhấ</w:t>
      </w:r>
      <w:r>
        <w:rPr>
          <w:shd w:val="clear" w:color="auto" w:fill="ffffff"/>
          <w:lang w:val="pt-BR"/>
        </w:rPr>
        <w:t xml:space="preserve">n mạnh rằng việc thẩm định giá kh</w:t>
      </w:r>
      <w:r>
        <w:rPr>
          <w:shd w:val="clear" w:color="auto" w:fill="ffffff"/>
          <w:lang w:val="pt-BR"/>
        </w:rPr>
        <w:t xml:space="preserve">ông phải là môn khoa học chính xác, m</w:t>
      </w:r>
      <w:r>
        <w:rPr>
          <w:shd w:val="clear" w:color="auto" w:fill="ffffff"/>
          <w:lang w:val="pt-BR"/>
        </w:rPr>
        <w:t xml:space="preserve">à là kết luận đưa ra trong nhiều trư</w:t>
      </w:r>
      <w:r>
        <w:rPr>
          <w:shd w:val="clear" w:color="auto" w:fill="ffffff"/>
          <w:lang w:val="pt-BR"/>
        </w:rPr>
        <w:t xml:space="preserve">ờng hợp sẽ mang tính chủ quan</w:t>
      </w:r>
      <w:r>
        <w:rPr>
          <w:shd w:val="clear" w:color="auto" w:fill="ffffff"/>
          <w:lang w:val="pt-BR"/>
        </w:rPr>
        <w:t xml:space="preserve">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37"/>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37"/>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7"/>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7"/>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37"/>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Style w:val="1037"/>
        <w:numPr>
          <w:ilvl w:val="0"/>
          <w:numId w:val="5"/>
        </w:numPr>
        <w:pBdr/>
        <w:tabs>
          <w:tab w:val="left" w:leader="none" w:pos="993"/>
        </w:tabs>
        <w:spacing w:after="120" w:before="120" w:line="288" w:lineRule="auto"/>
        <w:ind w:hanging="357" w:left="357"/>
        <w:jc w:val="both"/>
        <w:rPr>
          <w:lang w:val="pt-BR"/>
        </w:rPr>
      </w:pPr>
      <w:r>
        <w:rPr>
          <w:highlight w:val="none"/>
          <w:lang w:val="pt-BR" w:bidi="pt-BR"/>
        </w:rPr>
      </w:r>
      <w:r>
        <w:rPr>
          <w:rFonts w:ascii="Times New Roman" w:hAnsi="Times New Roman" w:eastAsia="Times New Roman" w:cs="Times New Roman"/>
          <w:color w:val="000000"/>
          <w:sz w:val="24"/>
        </w:rPr>
        <w:t xml:space="preserve">Tại thời điểm khảo sát, </w:t>
      </w:r>
      <w:r>
        <w:t xml:space="preserve">chủ tài sản sử dụng chung 8 thửa đất liền kề làm khuôn viên nhà vườn, có cổng và tường bao quanh toàn bộ khuôn viên. Trên bốn thửa đất </w:t>
      </w:r>
      <w:r>
        <w:rPr>
          <w:rFonts w:ascii="Times New Roman" w:hAnsi="Times New Roman" w:eastAsia="Times New Roman" w:cs="Times New Roman"/>
          <w:color w:val="000000"/>
          <w:sz w:val="24"/>
        </w:rPr>
        <w:t xml:space="preserve">có 01 Nhà 3 tầng, kết cấu tường gạch, bê tông cốt thép, sàn lát gạch men. Tổng diện tích xây dựng khoảng 700m². Công trình được xây dựng năm 2019. </w:t>
      </w:r>
      <w:r>
        <w:t xml:space="preserve">Các thửa đất còn lại được sử dụng làm sân vườn, cảnh quan và lối đi nội bộ</w:t>
      </w:r>
      <w:r>
        <w:rPr>
          <w:rFonts w:ascii="Times New Roman" w:hAnsi="Times New Roman" w:eastAsia="Times New Roman" w:cs="Times New Roman"/>
          <w:color w:val="000000"/>
          <w:sz w:val="24"/>
        </w:rPr>
        <w:t xml:space="preserve">. Hiện tại công trình chưa được chứng nhận trên Giấy chứng nhận QSDĐ</w:t>
      </w:r>
      <w:r>
        <w:rPr>
          <w:rFonts w:ascii="Times New Roman" w:hAnsi="Times New Roman" w:eastAsia="Times New Roman" w:cs="Times New Roman"/>
          <w:color w:val="000000"/>
          <w:sz w:val="24"/>
        </w:rPr>
        <w:t xml:space="preserve">. Đồng thời tổ thẩm định cũng không nhận được bất kỳ hồ sơ pháp lý nào liên quan tới CTXD hiện có này. Do đó, theo đề nghị của ngân hàng/khách hàng, tổ thẩm định chỉ xác định giá trị quyền sử dụng đất, không xác định giá trị của công trình xây dựng hiện có</w:t>
      </w:r>
      <w:r>
        <w:rPr>
          <w:rFonts w:ascii="Times New Roman" w:hAnsi="Times New Roman" w:eastAsia="Times New Roman" w:cs="Times New Roman"/>
          <w:color w:val="000000"/>
          <w:sz w:val="24"/>
        </w:rPr>
        <w:t xml:space="preserve"> vào tổng giá trị nhưng vẫn coi công trình xây dựng là phần không thể tách rời của tài sản thẩm định. Kính đề nghị đơn vị sử dụng kết quả lưu ý</w:t>
      </w:r>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7"/>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37"/>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37"/>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275/2026/0970/VFI-CT.48.A</w:t>
      </w:r>
      <w:r>
        <w:rPr>
          <w:color w:val="ff0000"/>
          <w:lang w:val="vi-VN"/>
        </w:rPr>
        <w:t xml:space="preserve"> </w:t>
      </w:r>
      <w:r>
        <w:rPr>
          <w:color w:val="000000" w:themeColor="text1"/>
        </w:rPr>
        <w:t xml:space="preserve">ngày 29 tháng 6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275/2026/0970/VFI-BC.48.A</w:t>
      </w:r>
      <w:r>
        <w:rPr>
          <w:i/>
          <w:lang w:val="pt-BR"/>
        </w:rPr>
        <w:t xml:space="preserve"> </w:t>
      </w:r>
      <w:r>
        <w:rPr>
          <w:i/>
          <w:lang w:val="pt-BR"/>
        </w:rPr>
        <w:t xml:space="preserve">ngày 29 tháng 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4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r>
            <w:r>
              <w:rPr>
                <w:b/>
                <w:bCs/>
                <w:i/>
                <w:lang w:val="pt-BR"/>
              </w:rPr>
              <w:t xml:space="preserve">Tổng quan tài</w:t>
            </w:r>
            <w:r>
              <w:rPr>
                <w:b/>
                <w:bCs/>
                <w:i/>
                <w:lang w:val="pt-BR"/>
              </w:rPr>
              <w:t xml:space="preserve">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431651" cy="1820238"/>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28774" name=""/>
                              <pic:cNvPicPr>
                                <a:picLocks noChangeAspect="1"/>
                              </pic:cNvPicPr>
                              <pic:nvPr/>
                            </pic:nvPicPr>
                            <pic:blipFill rotWithShape="1">
                              <a:blip r:embed="rId18"/>
                              <a:stretch/>
                            </pic:blipFill>
                            <pic:spPr bwMode="auto">
                              <a:xfrm flipH="0" flipV="0">
                                <a:off x="0" y="0"/>
                                <a:ext cx="2431651" cy="182023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91.47pt;height:143.33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445744" cy="1830787"/>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86887" name=""/>
                              <pic:cNvPicPr>
                                <a:picLocks noChangeAspect="1"/>
                              </pic:cNvPicPr>
                              <pic:nvPr/>
                            </pic:nvPicPr>
                            <pic:blipFill rotWithShape="1">
                              <a:blip r:embed="rId19"/>
                              <a:stretch/>
                            </pic:blipFill>
                            <pic:spPr bwMode="auto">
                              <a:xfrm flipH="0" flipV="0">
                                <a:off x="0" y="0"/>
                                <a:ext cx="2445743" cy="183078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92.58pt;height:144.16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85651" cy="2014239"/>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47158" name=""/>
                              <pic:cNvPicPr>
                                <a:picLocks noChangeAspect="1"/>
                              </pic:cNvPicPr>
                              <pic:nvPr/>
                            </pic:nvPicPr>
                            <pic:blipFill rotWithShape="1">
                              <a:blip r:embed="rId20"/>
                              <a:stretch/>
                            </pic:blipFill>
                            <pic:spPr bwMode="auto">
                              <a:xfrm flipH="0" flipV="0">
                                <a:off x="0" y="0"/>
                                <a:ext cx="2685651" cy="201423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11.47pt;height:158.60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62052" cy="1920191"/>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65114" name=""/>
                              <pic:cNvPicPr>
                                <a:picLocks noChangeAspect="1"/>
                              </pic:cNvPicPr>
                              <pic:nvPr/>
                            </pic:nvPicPr>
                            <pic:blipFill rotWithShape="1">
                              <a:blip r:embed="rId21"/>
                              <a:stretch/>
                            </pic:blipFill>
                            <pic:spPr bwMode="auto">
                              <a:xfrm flipH="0" flipV="0">
                                <a:off x="0" y="0"/>
                                <a:ext cx="2562052" cy="192019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01.74pt;height:151.20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14600" cy="33528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17858" name=""/>
                              <pic:cNvPicPr>
                                <a:picLocks noChangeAspect="1"/>
                              </pic:cNvPicPr>
                              <pic:nvPr/>
                            </pic:nvPicPr>
                            <pic:blipFill rotWithShape="1">
                              <a:blip r:embed="rId22"/>
                              <a:stretch/>
                            </pic:blipFill>
                            <pic:spPr bwMode="auto">
                              <a:xfrm>
                                <a:off x="0" y="0"/>
                                <a:ext cx="2514599" cy="3352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98.00pt;height:264.00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495550" cy="332422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85635" name=""/>
                              <pic:cNvPicPr>
                                <a:picLocks noChangeAspect="1"/>
                              </pic:cNvPicPr>
                              <pic:nvPr/>
                            </pic:nvPicPr>
                            <pic:blipFill rotWithShape="1">
                              <a:blip r:embed="rId23"/>
                              <a:stretch/>
                            </pic:blipFill>
                            <pic:spPr bwMode="auto">
                              <a:xfrm>
                                <a:off x="0" y="0"/>
                                <a:ext cx="2495549" cy="33242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96.50pt;height:261.75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275/2026/0970/VFI-BC.48.A</w:t>
      </w:r>
      <w:r>
        <w:rPr>
          <w:i/>
          <w:lang w:val="pt-BR"/>
        </w:rPr>
        <w:t xml:space="preserve"> ngày </w:t>
      </w:r>
      <w:r>
        <w:rPr>
          <w:i/>
          <w:lang w:val="pt-BR"/>
        </w:rPr>
        <w:t xml:space="preserve">29 tháng 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200" w:line="276" w:lineRule="auto"/>
        <w:ind/>
        <w:jc w:val="center"/>
        <w:rPr>
          <w:bCs/>
          <w:i/>
          <w:highlight w:val="none"/>
          <w:lang w:val="pt-BR"/>
        </w:rPr>
      </w:pPr>
      <w:r>
        <w:rPr>
          <w:i/>
          <w:lang w:val="pt-BR"/>
        </w:rPr>
      </w:r>
      <w:r>
        <mc:AlternateContent>
          <mc:Choice Requires="wpg">
            <w:drawing>
              <wp:inline xmlns:wp="http://schemas.openxmlformats.org/drawingml/2006/wordprocessingDrawing" distT="0" distB="0" distL="0" distR="0">
                <wp:extent cx="6048375" cy="5719128"/>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32847" name=""/>
                        <pic:cNvPicPr>
                          <a:picLocks noChangeAspect="1"/>
                        </pic:cNvPicPr>
                        <pic:nvPr/>
                      </pic:nvPicPr>
                      <pic:blipFill rotWithShape="1">
                        <a:blip r:embed="rId24"/>
                        <a:stretch/>
                      </pic:blipFill>
                      <pic:spPr bwMode="auto">
                        <a:xfrm>
                          <a:off x="0" y="0"/>
                          <a:ext cx="6048374" cy="57191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6.25pt;height:450.33pt;mso-wrap-distance-left:0.00pt;mso-wrap-distance-top:0.00pt;mso-wrap-distance-right:0.00pt;mso-wrap-distance-bottom:0.00pt;z-index:1;" stroked="false">
                <v:imagedata r:id="rId24" o:title=""/>
                <o:lock v:ext="edit" rotation="t"/>
              </v:shape>
            </w:pict>
          </mc:Fallback>
        </mc:AlternateContent>
      </w:r>
      <w:r>
        <w:rPr>
          <w:bCs/>
          <w:i/>
          <w:highlight w:val="none"/>
          <w:lang w:val="pt-BR"/>
        </w:rPr>
      </w:r>
      <w:r>
        <w:rPr>
          <w:bCs/>
          <w:i/>
          <w:highlight w:val="none"/>
          <w:lang w:val="pt-BR"/>
        </w:rPr>
      </w:r>
    </w:p>
    <w:p>
      <w:pPr>
        <w:pBdr/>
        <w:spacing w:after="200" w:line="276" w:lineRule="auto"/>
        <w:ind/>
        <w:jc w:val="center"/>
        <w:rPr>
          <w:bCs/>
          <w:i/>
          <w:lang w:val="pt-BR"/>
        </w:rPr>
      </w:pPr>
      <w:r>
        <w:rPr>
          <w:i/>
          <w:highlight w:val="none"/>
          <w:lang w:val="pt-BR" w:bidi="pt-BR"/>
        </w:rPr>
      </w:r>
      <w:r>
        <w:rPr>
          <w:bCs/>
          <w:i/>
          <w:lang w:val="pt-BR"/>
        </w:rPr>
      </w:r>
      <w:r>
        <w:rPr>
          <w:bCs/>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Phạm Thị Dung</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6048375" cy="5871558"/>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50652" name=""/>
                        <pic:cNvPicPr>
                          <a:picLocks noChangeAspect="1"/>
                        </pic:cNvPicPr>
                        <pic:nvPr/>
                      </pic:nvPicPr>
                      <pic:blipFill rotWithShape="1">
                        <a:blip r:embed="rId25"/>
                        <a:stretch/>
                      </pic:blipFill>
                      <pic:spPr bwMode="auto">
                        <a:xfrm>
                          <a:off x="0" y="0"/>
                          <a:ext cx="6048374" cy="587155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462.33pt;mso-wrap-distance-left:0.00pt;mso-wrap-distance-top:0.00pt;mso-wrap-distance-right:0.00pt;mso-wrap-distance-bottom:0.00pt;z-index:1;" stroked="false">
                <v:imagedata r:id="rId25" o:title=""/>
                <o:lock v:ext="edit" rotation="t"/>
              </v:shape>
            </w:pict>
          </mc:Fallback>
        </mc:AlternateContent>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Phạm Thị Dung</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6048375" cy="596301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00079" name=""/>
                        <pic:cNvPicPr>
                          <a:picLocks noChangeAspect="1"/>
                        </pic:cNvPicPr>
                        <pic:nvPr/>
                      </pic:nvPicPr>
                      <pic:blipFill rotWithShape="1">
                        <a:blip r:embed="rId26"/>
                        <a:stretch/>
                      </pic:blipFill>
                      <pic:spPr bwMode="auto">
                        <a:xfrm>
                          <a:off x="0" y="0"/>
                          <a:ext cx="6048374" cy="596301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469.53pt;mso-wrap-distance-left:0.00pt;mso-wrap-distance-top:0.00pt;mso-wrap-distance-right:0.00pt;mso-wrap-distance-bottom:0.00pt;z-index:1;" stroked="false">
                <v:imagedata r:id="rId26" o:title=""/>
                <o:lock v:ext="edit" rotation="t"/>
              </v:shape>
            </w:pict>
          </mc:Fallback>
        </mc:AlternateContent>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t xml:space="preserve">Phạm Thị Dung</w:t>
            </w:r>
            <w:r>
              <w:rPr>
                <w:b/>
                <w:bCs/>
              </w:rPr>
            </w:r>
            <w:r>
              <w:rPr>
                <w:b/>
                <w:bCs/>
              </w:rPr>
            </w:r>
          </w:p>
        </w:tc>
      </w:tr>
    </w:tbl>
    <w:p>
      <w:pPr>
        <w:pBdr/>
        <w:shd w:val="nil" w:color="auto"/>
        <w:spacing/>
        <w:ind/>
        <w:rPr>
          <w:lang w:val="pt-BR"/>
        </w:rPr>
      </w:pPr>
      <w:r>
        <w:rPr>
          <w:iCs/>
          <w:lang w:val="pt-BR"/>
        </w:rPr>
      </w:r>
      <w:r>
        <w:rPr>
          <w:lang w:val="pt-BR"/>
        </w:rPr>
      </w:r>
      <w:r>
        <w:rPr>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8">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9">
    <w:nsid w:val="51BE098A"/>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0">
    <w:nsid w:val="74367FF5"/>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1">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2">
    <w:nsid w:val="7C4389FC"/>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9">
    <w:name w:val="Table Grid Light"/>
    <w:basedOn w:val="102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1"/>
    <w:basedOn w:val="102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2"/>
    <w:basedOn w:val="102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3"/>
    <w:basedOn w:val="102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Plain Table 4"/>
    <w:basedOn w:val="102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Plain Table 5"/>
    <w:basedOn w:val="102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w:basedOn w:val="102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1"/>
    <w:basedOn w:val="102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2"/>
    <w:basedOn w:val="102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3"/>
    <w:basedOn w:val="102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4"/>
    <w:basedOn w:val="102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1 Light - Accent 5"/>
    <w:basedOn w:val="102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1 Light - Accent 6"/>
    <w:basedOn w:val="102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w:basedOn w:val="102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1"/>
    <w:basedOn w:val="102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2"/>
    <w:basedOn w:val="102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3"/>
    <w:basedOn w:val="102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4"/>
    <w:basedOn w:val="102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2 - Accent 5"/>
    <w:basedOn w:val="102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2 - Accent 6"/>
    <w:basedOn w:val="102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w:basedOn w:val="102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1"/>
    <w:basedOn w:val="102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2"/>
    <w:basedOn w:val="102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3"/>
    <w:basedOn w:val="102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4"/>
    <w:basedOn w:val="102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3 - Accent 5"/>
    <w:basedOn w:val="102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3 - Accent 6"/>
    <w:basedOn w:val="102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w:basedOn w:val="102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1"/>
    <w:basedOn w:val="102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2"/>
    <w:basedOn w:val="102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3"/>
    <w:basedOn w:val="102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4"/>
    <w:basedOn w:val="102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4 - Accent 5"/>
    <w:basedOn w:val="102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4 - Accent 6"/>
    <w:basedOn w:val="102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Accent 1"/>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 Accent 2"/>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3"/>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Accent 4"/>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5 Dark - Accent 5"/>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5 Dark - Accent 6"/>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6 Colorful"/>
    <w:basedOn w:val="102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1">
    <w:name w:val="Grid Table 6 Colorful - Accent 1"/>
    <w:basedOn w:val="102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2">
    <w:name w:val="Grid Table 6 Colorful - Accent 2"/>
    <w:basedOn w:val="102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3">
    <w:name w:val="Grid Table 6 Colorful - Accent 3"/>
    <w:basedOn w:val="102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4">
    <w:name w:val="Grid Table 6 Colorful - Accent 4"/>
    <w:basedOn w:val="102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5">
    <w:name w:val="Grid Table 6 Colorful - Accent 5"/>
    <w:basedOn w:val="102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6">
    <w:name w:val="Grid Table 6 Colorful - Accent 6"/>
    <w:basedOn w:val="102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7">
    <w:name w:val="Grid Table 7 Colorful"/>
    <w:basedOn w:val="102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1"/>
    <w:basedOn w:val="102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2"/>
    <w:basedOn w:val="102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3"/>
    <w:basedOn w:val="102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4"/>
    <w:basedOn w:val="102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7 Colorful - Accent 5"/>
    <w:basedOn w:val="102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Grid Table 7 Colorful - Accent 6"/>
    <w:basedOn w:val="102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1"/>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2"/>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3"/>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4"/>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1 Light - Accent 5"/>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1 Light - Accent 6"/>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w:basedOn w:val="102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1"/>
    <w:basedOn w:val="102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2"/>
    <w:basedOn w:val="102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3"/>
    <w:basedOn w:val="102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4"/>
    <w:basedOn w:val="102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2 - Accent 5"/>
    <w:basedOn w:val="102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2 - Accent 6"/>
    <w:basedOn w:val="102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w:basedOn w:val="102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1"/>
    <w:basedOn w:val="102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2"/>
    <w:basedOn w:val="102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3"/>
    <w:basedOn w:val="102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4"/>
    <w:basedOn w:val="102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3 - Accent 5"/>
    <w:basedOn w:val="102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3 - Accent 6"/>
    <w:basedOn w:val="102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w:basedOn w:val="102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1"/>
    <w:basedOn w:val="102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2"/>
    <w:basedOn w:val="102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3"/>
    <w:basedOn w:val="102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4"/>
    <w:basedOn w:val="102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4 - Accent 5"/>
    <w:basedOn w:val="102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4 - Accent 6"/>
    <w:basedOn w:val="102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5 Dark"/>
    <w:basedOn w:val="102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1"/>
    <w:basedOn w:val="102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2"/>
    <w:basedOn w:val="102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3"/>
    <w:basedOn w:val="102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4"/>
    <w:basedOn w:val="102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5 Dark - Accent 5"/>
    <w:basedOn w:val="102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8">
    <w:name w:val="List Table 5 Dark - Accent 6"/>
    <w:basedOn w:val="102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9">
    <w:name w:val="List Table 6 Colorful"/>
    <w:basedOn w:val="102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1"/>
    <w:basedOn w:val="102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2"/>
    <w:basedOn w:val="102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3"/>
    <w:basedOn w:val="102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4"/>
    <w:basedOn w:val="102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6 Colorful - Accent 5"/>
    <w:basedOn w:val="102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6 Colorful - Accent 6"/>
    <w:basedOn w:val="102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7 Colorful"/>
    <w:basedOn w:val="102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7">
    <w:name w:val="List Table 7 Colorful - Accent 1"/>
    <w:basedOn w:val="102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8">
    <w:name w:val="List Table 7 Colorful - Accent 2"/>
    <w:basedOn w:val="102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9">
    <w:name w:val="List Table 7 Colorful - Accent 3"/>
    <w:basedOn w:val="102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50">
    <w:name w:val="List Table 7 Colorful - Accent 4"/>
    <w:basedOn w:val="102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51">
    <w:name w:val="List Table 7 Colorful - Accent 5"/>
    <w:basedOn w:val="102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2">
    <w:name w:val="List Table 7 Colorful - Accent 6"/>
    <w:basedOn w:val="102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3">
    <w:name w:val="Lined - Accent"/>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1"/>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2"/>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3"/>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4"/>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ned - Accent 5"/>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ned - Accent 6"/>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w:basedOn w:val="102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1"/>
    <w:basedOn w:val="102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2"/>
    <w:basedOn w:val="102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3"/>
    <w:basedOn w:val="102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4"/>
    <w:basedOn w:val="102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amp; Lined - Accent 5"/>
    <w:basedOn w:val="102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amp; Lined - Accent 6"/>
    <w:basedOn w:val="102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w:basedOn w:val="102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1"/>
    <w:basedOn w:val="102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2"/>
    <w:basedOn w:val="102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3"/>
    <w:basedOn w:val="102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4"/>
    <w:basedOn w:val="102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 Accent 5"/>
    <w:basedOn w:val="102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 Accent 6"/>
    <w:basedOn w:val="102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4">
    <w:name w:val="Heading 5"/>
    <w:basedOn w:val="1015"/>
    <w:next w:val="1015"/>
    <w:link w:val="97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5">
    <w:name w:val="Heading 6"/>
    <w:basedOn w:val="1015"/>
    <w:next w:val="1015"/>
    <w:link w:val="98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6">
    <w:name w:val="Heading 7"/>
    <w:basedOn w:val="1015"/>
    <w:next w:val="1015"/>
    <w:link w:val="98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7">
    <w:name w:val="Heading 8"/>
    <w:basedOn w:val="1015"/>
    <w:next w:val="1015"/>
    <w:link w:val="98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8">
    <w:name w:val="Heading 9"/>
    <w:basedOn w:val="1015"/>
    <w:next w:val="1015"/>
    <w:link w:val="98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9">
    <w:name w:val="Heading 5 Char"/>
    <w:basedOn w:val="1020"/>
    <w:link w:val="974"/>
    <w:uiPriority w:val="9"/>
    <w:pPr>
      <w:pBdr/>
      <w:spacing/>
      <w:ind/>
    </w:pPr>
    <w:rPr>
      <w:rFonts w:ascii="Arial" w:hAnsi="Arial" w:eastAsia="Arial" w:cs="Arial"/>
      <w:color w:val="0f4761" w:themeColor="accent1" w:themeShade="BF"/>
    </w:rPr>
  </w:style>
  <w:style w:type="character" w:styleId="980">
    <w:name w:val="Heading 6 Char"/>
    <w:basedOn w:val="1020"/>
    <w:link w:val="975"/>
    <w:uiPriority w:val="9"/>
    <w:pPr>
      <w:pBdr/>
      <w:spacing/>
      <w:ind/>
    </w:pPr>
    <w:rPr>
      <w:rFonts w:ascii="Arial" w:hAnsi="Arial" w:eastAsia="Arial" w:cs="Arial"/>
      <w:i/>
      <w:iCs/>
      <w:color w:val="595959" w:themeColor="text1" w:themeTint="A6"/>
    </w:rPr>
  </w:style>
  <w:style w:type="character" w:styleId="981">
    <w:name w:val="Heading 7 Char"/>
    <w:basedOn w:val="1020"/>
    <w:link w:val="976"/>
    <w:uiPriority w:val="9"/>
    <w:pPr>
      <w:pBdr/>
      <w:spacing/>
      <w:ind/>
    </w:pPr>
    <w:rPr>
      <w:rFonts w:ascii="Arial" w:hAnsi="Arial" w:eastAsia="Arial" w:cs="Arial"/>
      <w:color w:val="595959" w:themeColor="text1" w:themeTint="A6"/>
    </w:rPr>
  </w:style>
  <w:style w:type="character" w:styleId="982">
    <w:name w:val="Heading 8 Char"/>
    <w:basedOn w:val="1020"/>
    <w:link w:val="977"/>
    <w:uiPriority w:val="9"/>
    <w:pPr>
      <w:pBdr/>
      <w:spacing/>
      <w:ind/>
    </w:pPr>
    <w:rPr>
      <w:rFonts w:ascii="Arial" w:hAnsi="Arial" w:eastAsia="Arial" w:cs="Arial"/>
      <w:i/>
      <w:iCs/>
      <w:color w:val="272727" w:themeColor="text1" w:themeTint="D8"/>
    </w:rPr>
  </w:style>
  <w:style w:type="character" w:styleId="983">
    <w:name w:val="Heading 9 Char"/>
    <w:basedOn w:val="1020"/>
    <w:link w:val="978"/>
    <w:uiPriority w:val="9"/>
    <w:pPr>
      <w:pBdr/>
      <w:spacing/>
      <w:ind/>
    </w:pPr>
    <w:rPr>
      <w:rFonts w:ascii="Arial" w:hAnsi="Arial" w:eastAsia="Arial" w:cs="Arial"/>
      <w:i/>
      <w:iCs/>
      <w:color w:val="272727" w:themeColor="text1" w:themeTint="D8"/>
    </w:rPr>
  </w:style>
  <w:style w:type="paragraph" w:styleId="984">
    <w:name w:val="Subtitle"/>
    <w:basedOn w:val="1015"/>
    <w:next w:val="1015"/>
    <w:link w:val="985"/>
    <w:uiPriority w:val="11"/>
    <w:qFormat/>
    <w:pPr>
      <w:numPr>
        <w:ilvl w:val="1"/>
      </w:numPr>
      <w:pBdr/>
      <w:spacing/>
      <w:ind/>
    </w:pPr>
    <w:rPr>
      <w:color w:val="595959" w:themeColor="text1" w:themeTint="A6"/>
      <w:spacing w:val="15"/>
      <w:sz w:val="28"/>
      <w:szCs w:val="28"/>
    </w:rPr>
  </w:style>
  <w:style w:type="character" w:styleId="985">
    <w:name w:val="Subtitle Char"/>
    <w:basedOn w:val="1020"/>
    <w:link w:val="984"/>
    <w:uiPriority w:val="11"/>
    <w:pPr>
      <w:pBdr/>
      <w:spacing/>
      <w:ind/>
    </w:pPr>
    <w:rPr>
      <w:color w:val="595959" w:themeColor="text1" w:themeTint="A6"/>
      <w:spacing w:val="15"/>
      <w:sz w:val="28"/>
      <w:szCs w:val="28"/>
    </w:rPr>
  </w:style>
  <w:style w:type="paragraph" w:styleId="986">
    <w:name w:val="Quote"/>
    <w:basedOn w:val="1015"/>
    <w:next w:val="1015"/>
    <w:link w:val="987"/>
    <w:uiPriority w:val="29"/>
    <w:qFormat/>
    <w:pPr>
      <w:pBdr/>
      <w:spacing w:before="160"/>
      <w:ind/>
      <w:jc w:val="center"/>
    </w:pPr>
    <w:rPr>
      <w:i/>
      <w:iCs/>
      <w:color w:val="404040" w:themeColor="text1" w:themeTint="BF"/>
    </w:rPr>
  </w:style>
  <w:style w:type="character" w:styleId="987">
    <w:name w:val="Quote Char"/>
    <w:basedOn w:val="1020"/>
    <w:link w:val="986"/>
    <w:uiPriority w:val="29"/>
    <w:pPr>
      <w:pBdr/>
      <w:spacing/>
      <w:ind/>
    </w:pPr>
    <w:rPr>
      <w:i/>
      <w:iCs/>
      <w:color w:val="404040" w:themeColor="text1" w:themeTint="BF"/>
    </w:rPr>
  </w:style>
  <w:style w:type="character" w:styleId="988">
    <w:name w:val="Intense Emphasis"/>
    <w:basedOn w:val="1020"/>
    <w:uiPriority w:val="21"/>
    <w:qFormat/>
    <w:pPr>
      <w:pBdr/>
      <w:spacing/>
      <w:ind/>
    </w:pPr>
    <w:rPr>
      <w:i/>
      <w:iCs/>
      <w:color w:val="0f4761" w:themeColor="accent1" w:themeShade="BF"/>
    </w:rPr>
  </w:style>
  <w:style w:type="paragraph" w:styleId="989">
    <w:name w:val="Intense Quote"/>
    <w:basedOn w:val="1015"/>
    <w:next w:val="1015"/>
    <w:link w:val="99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90">
    <w:name w:val="Intense Quote Char"/>
    <w:basedOn w:val="1020"/>
    <w:link w:val="989"/>
    <w:uiPriority w:val="30"/>
    <w:pPr>
      <w:pBdr/>
      <w:spacing/>
      <w:ind/>
    </w:pPr>
    <w:rPr>
      <w:i/>
      <w:iCs/>
      <w:color w:val="0f4761" w:themeColor="accent1" w:themeShade="BF"/>
    </w:rPr>
  </w:style>
  <w:style w:type="character" w:styleId="991">
    <w:name w:val="Intense Reference"/>
    <w:basedOn w:val="1020"/>
    <w:uiPriority w:val="32"/>
    <w:qFormat/>
    <w:pPr>
      <w:pBdr/>
      <w:spacing/>
      <w:ind/>
    </w:pPr>
    <w:rPr>
      <w:b/>
      <w:bCs/>
      <w:smallCaps/>
      <w:color w:val="0f4761" w:themeColor="accent1" w:themeShade="BF"/>
      <w:spacing w:val="5"/>
    </w:rPr>
  </w:style>
  <w:style w:type="paragraph" w:styleId="992">
    <w:name w:val="No Spacing"/>
    <w:basedOn w:val="1015"/>
    <w:uiPriority w:val="1"/>
    <w:qFormat/>
    <w:pPr>
      <w:pBdr/>
      <w:spacing w:after="0" w:line="240" w:lineRule="auto"/>
      <w:ind/>
    </w:pPr>
  </w:style>
  <w:style w:type="character" w:styleId="993">
    <w:name w:val="Subtle Emphasis"/>
    <w:basedOn w:val="1020"/>
    <w:uiPriority w:val="19"/>
    <w:qFormat/>
    <w:pPr>
      <w:pBdr/>
      <w:spacing/>
      <w:ind/>
    </w:pPr>
    <w:rPr>
      <w:i/>
      <w:iCs/>
      <w:color w:val="404040" w:themeColor="text1" w:themeTint="BF"/>
    </w:rPr>
  </w:style>
  <w:style w:type="character" w:styleId="994">
    <w:name w:val="Subtle Reference"/>
    <w:basedOn w:val="1020"/>
    <w:uiPriority w:val="31"/>
    <w:qFormat/>
    <w:pPr>
      <w:pBdr/>
      <w:spacing/>
      <w:ind/>
    </w:pPr>
    <w:rPr>
      <w:smallCaps/>
      <w:color w:val="5a5a5a" w:themeColor="text1" w:themeTint="A5"/>
    </w:rPr>
  </w:style>
  <w:style w:type="character" w:styleId="995">
    <w:name w:val="Book Title"/>
    <w:basedOn w:val="1020"/>
    <w:uiPriority w:val="33"/>
    <w:qFormat/>
    <w:pPr>
      <w:pBdr/>
      <w:spacing/>
      <w:ind/>
    </w:pPr>
    <w:rPr>
      <w:b/>
      <w:bCs/>
      <w:i/>
      <w:iCs/>
      <w:spacing w:val="5"/>
    </w:rPr>
  </w:style>
  <w:style w:type="paragraph" w:styleId="996">
    <w:name w:val="Caption"/>
    <w:basedOn w:val="1015"/>
    <w:next w:val="1015"/>
    <w:uiPriority w:val="35"/>
    <w:unhideWhenUsed/>
    <w:qFormat/>
    <w:pPr>
      <w:pBdr/>
      <w:spacing w:after="200" w:line="240" w:lineRule="auto"/>
      <w:ind/>
    </w:pPr>
    <w:rPr>
      <w:i/>
      <w:iCs/>
      <w:color w:val="0e2841" w:themeColor="text2"/>
      <w:sz w:val="18"/>
      <w:szCs w:val="18"/>
    </w:rPr>
  </w:style>
  <w:style w:type="paragraph" w:styleId="997">
    <w:name w:val="footnote text"/>
    <w:basedOn w:val="1015"/>
    <w:link w:val="998"/>
    <w:uiPriority w:val="99"/>
    <w:semiHidden/>
    <w:unhideWhenUsed/>
    <w:pPr>
      <w:pBdr/>
      <w:spacing w:after="0" w:line="240" w:lineRule="auto"/>
      <w:ind/>
    </w:pPr>
    <w:rPr>
      <w:sz w:val="20"/>
      <w:szCs w:val="20"/>
    </w:rPr>
  </w:style>
  <w:style w:type="character" w:styleId="998">
    <w:name w:val="Footnote Text Char"/>
    <w:basedOn w:val="1020"/>
    <w:link w:val="997"/>
    <w:uiPriority w:val="99"/>
    <w:semiHidden/>
    <w:pPr>
      <w:pBdr/>
      <w:spacing/>
      <w:ind/>
    </w:pPr>
    <w:rPr>
      <w:sz w:val="20"/>
      <w:szCs w:val="20"/>
    </w:rPr>
  </w:style>
  <w:style w:type="character" w:styleId="999">
    <w:name w:val="footnote reference"/>
    <w:basedOn w:val="1020"/>
    <w:uiPriority w:val="99"/>
    <w:semiHidden/>
    <w:unhideWhenUsed/>
    <w:pPr>
      <w:pBdr/>
      <w:spacing/>
      <w:ind/>
    </w:pPr>
    <w:rPr>
      <w:vertAlign w:val="superscript"/>
    </w:rPr>
  </w:style>
  <w:style w:type="paragraph" w:styleId="1000">
    <w:name w:val="endnote text"/>
    <w:basedOn w:val="1015"/>
    <w:link w:val="1001"/>
    <w:uiPriority w:val="99"/>
    <w:semiHidden/>
    <w:unhideWhenUsed/>
    <w:pPr>
      <w:pBdr/>
      <w:spacing w:after="0" w:line="240" w:lineRule="auto"/>
      <w:ind/>
    </w:pPr>
    <w:rPr>
      <w:sz w:val="20"/>
      <w:szCs w:val="20"/>
    </w:rPr>
  </w:style>
  <w:style w:type="character" w:styleId="1001">
    <w:name w:val="Endnote Text Char"/>
    <w:basedOn w:val="1020"/>
    <w:link w:val="1000"/>
    <w:uiPriority w:val="99"/>
    <w:semiHidden/>
    <w:pPr>
      <w:pBdr/>
      <w:spacing/>
      <w:ind/>
    </w:pPr>
    <w:rPr>
      <w:sz w:val="20"/>
      <w:szCs w:val="20"/>
    </w:rPr>
  </w:style>
  <w:style w:type="character" w:styleId="1002">
    <w:name w:val="endnote reference"/>
    <w:basedOn w:val="1020"/>
    <w:uiPriority w:val="99"/>
    <w:semiHidden/>
    <w:unhideWhenUsed/>
    <w:pPr>
      <w:pBdr/>
      <w:spacing/>
      <w:ind/>
    </w:pPr>
    <w:rPr>
      <w:vertAlign w:val="superscript"/>
    </w:rPr>
  </w:style>
  <w:style w:type="paragraph" w:styleId="1003">
    <w:name w:val="toc 1"/>
    <w:basedOn w:val="1015"/>
    <w:next w:val="1015"/>
    <w:uiPriority w:val="39"/>
    <w:unhideWhenUsed/>
    <w:pPr>
      <w:pBdr/>
      <w:spacing w:after="100"/>
      <w:ind/>
    </w:pPr>
  </w:style>
  <w:style w:type="paragraph" w:styleId="1004">
    <w:name w:val="toc 2"/>
    <w:basedOn w:val="1015"/>
    <w:next w:val="1015"/>
    <w:uiPriority w:val="39"/>
    <w:unhideWhenUsed/>
    <w:pPr>
      <w:pBdr/>
      <w:spacing w:after="100"/>
      <w:ind w:left="220"/>
    </w:pPr>
  </w:style>
  <w:style w:type="paragraph" w:styleId="1005">
    <w:name w:val="toc 3"/>
    <w:basedOn w:val="1015"/>
    <w:next w:val="1015"/>
    <w:uiPriority w:val="39"/>
    <w:unhideWhenUsed/>
    <w:pPr>
      <w:pBdr/>
      <w:spacing w:after="100"/>
      <w:ind w:left="440"/>
    </w:pPr>
  </w:style>
  <w:style w:type="paragraph" w:styleId="1006">
    <w:name w:val="toc 4"/>
    <w:basedOn w:val="1015"/>
    <w:next w:val="1015"/>
    <w:uiPriority w:val="39"/>
    <w:unhideWhenUsed/>
    <w:pPr>
      <w:pBdr/>
      <w:spacing w:after="100"/>
      <w:ind w:left="660"/>
    </w:pPr>
  </w:style>
  <w:style w:type="paragraph" w:styleId="1007">
    <w:name w:val="toc 5"/>
    <w:basedOn w:val="1015"/>
    <w:next w:val="1015"/>
    <w:uiPriority w:val="39"/>
    <w:unhideWhenUsed/>
    <w:pPr>
      <w:pBdr/>
      <w:spacing w:after="100"/>
      <w:ind w:left="880"/>
    </w:pPr>
  </w:style>
  <w:style w:type="paragraph" w:styleId="1008">
    <w:name w:val="toc 6"/>
    <w:basedOn w:val="1015"/>
    <w:next w:val="1015"/>
    <w:uiPriority w:val="39"/>
    <w:unhideWhenUsed/>
    <w:pPr>
      <w:pBdr/>
      <w:spacing w:after="100"/>
      <w:ind w:left="1100"/>
    </w:pPr>
  </w:style>
  <w:style w:type="paragraph" w:styleId="1009">
    <w:name w:val="toc 7"/>
    <w:basedOn w:val="1015"/>
    <w:next w:val="1015"/>
    <w:uiPriority w:val="39"/>
    <w:unhideWhenUsed/>
    <w:pPr>
      <w:pBdr/>
      <w:spacing w:after="100"/>
      <w:ind w:left="1320"/>
    </w:pPr>
  </w:style>
  <w:style w:type="paragraph" w:styleId="1010">
    <w:name w:val="toc 8"/>
    <w:basedOn w:val="1015"/>
    <w:next w:val="1015"/>
    <w:uiPriority w:val="39"/>
    <w:unhideWhenUsed/>
    <w:pPr>
      <w:pBdr/>
      <w:spacing w:after="100"/>
      <w:ind w:left="1540"/>
    </w:pPr>
  </w:style>
  <w:style w:type="paragraph" w:styleId="1011">
    <w:name w:val="toc 9"/>
    <w:basedOn w:val="1015"/>
    <w:next w:val="1015"/>
    <w:uiPriority w:val="39"/>
    <w:unhideWhenUsed/>
    <w:pPr>
      <w:pBdr/>
      <w:spacing w:after="100"/>
      <w:ind w:left="1760"/>
    </w:pPr>
  </w:style>
  <w:style w:type="character" w:styleId="1012">
    <w:name w:val="Placeholder Text"/>
    <w:basedOn w:val="1020"/>
    <w:uiPriority w:val="99"/>
    <w:semiHidden/>
    <w:pPr>
      <w:pBdr/>
      <w:spacing/>
      <w:ind/>
    </w:pPr>
    <w:rPr>
      <w:color w:val="666666"/>
    </w:rPr>
  </w:style>
  <w:style w:type="paragraph" w:styleId="1013">
    <w:name w:val="TOC Heading"/>
    <w:uiPriority w:val="39"/>
    <w:unhideWhenUsed/>
    <w:pPr>
      <w:pBdr/>
      <w:spacing/>
      <w:ind/>
    </w:pPr>
  </w:style>
  <w:style w:type="paragraph" w:styleId="1014">
    <w:name w:val="table of figures"/>
    <w:basedOn w:val="1015"/>
    <w:next w:val="1015"/>
    <w:uiPriority w:val="99"/>
    <w:unhideWhenUsed/>
    <w:pPr>
      <w:pBdr/>
      <w:spacing w:after="0" w:afterAutospacing="0"/>
      <w:ind/>
    </w:pPr>
  </w:style>
  <w:style w:type="paragraph" w:styleId="1015" w:default="1">
    <w:name w:val="Normal"/>
    <w:qFormat/>
    <w:pPr>
      <w:pBdr/>
      <w:spacing w:after="0" w:line="240" w:lineRule="auto"/>
      <w:ind/>
    </w:pPr>
    <w:rPr>
      <w:rFonts w:ascii="Times New Roman" w:hAnsi="Times New Roman" w:eastAsia="Times New Roman" w:cs="Times New Roman"/>
      <w:sz w:val="24"/>
      <w:szCs w:val="24"/>
    </w:rPr>
  </w:style>
  <w:style w:type="paragraph" w:styleId="1016">
    <w:name w:val="Heading 1"/>
    <w:basedOn w:val="1015"/>
    <w:next w:val="1015"/>
    <w:link w:val="1023"/>
    <w:qFormat/>
    <w:pPr>
      <w:keepNext w:val="true"/>
      <w:pBdr/>
      <w:spacing w:after="120" w:before="120"/>
      <w:ind/>
      <w:jc w:val="center"/>
      <w:outlineLvl w:val="0"/>
    </w:pPr>
    <w:rPr>
      <w:b/>
      <w:bCs/>
      <w:sz w:val="27"/>
      <w:szCs w:val="27"/>
    </w:rPr>
  </w:style>
  <w:style w:type="paragraph" w:styleId="1017">
    <w:name w:val="Heading 2"/>
    <w:basedOn w:val="1015"/>
    <w:next w:val="1015"/>
    <w:link w:val="102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8">
    <w:name w:val="Heading 3"/>
    <w:basedOn w:val="1015"/>
    <w:next w:val="1015"/>
    <w:link w:val="1025"/>
    <w:qFormat/>
    <w:pPr>
      <w:keepNext w:val="true"/>
      <w:pBdr/>
      <w:spacing w:before="60"/>
      <w:ind/>
      <w:outlineLvl w:val="2"/>
    </w:pPr>
    <w:rPr>
      <w:sz w:val="28"/>
      <w:szCs w:val="28"/>
    </w:rPr>
  </w:style>
  <w:style w:type="paragraph" w:styleId="1019">
    <w:name w:val="Heading 4"/>
    <w:basedOn w:val="1015"/>
    <w:next w:val="1015"/>
    <w:link w:val="1026"/>
    <w:qFormat/>
    <w:pPr>
      <w:keepNext w:val="true"/>
      <w:pBdr/>
      <w:spacing/>
      <w:ind/>
      <w:jc w:val="center"/>
      <w:outlineLvl w:val="3"/>
    </w:pPr>
    <w:rPr>
      <w:b/>
      <w:bCs/>
    </w:rPr>
  </w:style>
  <w:style w:type="character" w:styleId="1020" w:default="1">
    <w:name w:val="Default Paragraph Font"/>
    <w:uiPriority w:val="1"/>
    <w:semiHidden/>
    <w:unhideWhenUsed/>
    <w:pPr>
      <w:pBdr/>
      <w:spacing/>
      <w:ind/>
    </w:pPr>
  </w:style>
  <w:style w:type="table" w:styleId="102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2" w:default="1">
    <w:name w:val="No List"/>
    <w:uiPriority w:val="99"/>
    <w:semiHidden/>
    <w:unhideWhenUsed/>
    <w:pPr>
      <w:pBdr/>
      <w:spacing/>
      <w:ind/>
    </w:pPr>
  </w:style>
  <w:style w:type="character" w:styleId="1023" w:customStyle="1">
    <w:name w:val="Heading 1 Char"/>
    <w:basedOn w:val="1020"/>
    <w:link w:val="1016"/>
    <w:pPr>
      <w:pBdr/>
      <w:spacing/>
      <w:ind/>
    </w:pPr>
    <w:rPr>
      <w:rFonts w:ascii="Times New Roman" w:hAnsi="Times New Roman" w:eastAsia="Times New Roman" w:cs="Times New Roman"/>
      <w:b/>
      <w:bCs/>
      <w:sz w:val="27"/>
      <w:szCs w:val="27"/>
    </w:rPr>
  </w:style>
  <w:style w:type="character" w:styleId="1024" w:customStyle="1">
    <w:name w:val="Heading 2 Char"/>
    <w:basedOn w:val="1020"/>
    <w:link w:val="1017"/>
    <w:uiPriority w:val="9"/>
    <w:pPr>
      <w:pBdr/>
      <w:spacing/>
      <w:ind/>
    </w:pPr>
    <w:rPr>
      <w:rFonts w:asciiTheme="majorHAnsi" w:hAnsiTheme="majorHAnsi" w:eastAsiaTheme="majorEastAsia" w:cstheme="majorBidi"/>
      <w:color w:val="365f91" w:themeColor="accent1" w:themeShade="BF"/>
      <w:sz w:val="26"/>
      <w:szCs w:val="26"/>
    </w:rPr>
  </w:style>
  <w:style w:type="character" w:styleId="1025" w:customStyle="1">
    <w:name w:val="Heading 3 Char"/>
    <w:basedOn w:val="1020"/>
    <w:link w:val="1018"/>
    <w:pPr>
      <w:pBdr/>
      <w:spacing/>
      <w:ind/>
    </w:pPr>
    <w:rPr>
      <w:rFonts w:ascii="Times New Roman" w:hAnsi="Times New Roman" w:eastAsia="Times New Roman" w:cs="Times New Roman"/>
      <w:sz w:val="28"/>
      <w:szCs w:val="28"/>
    </w:rPr>
  </w:style>
  <w:style w:type="character" w:styleId="1026" w:customStyle="1">
    <w:name w:val="Heading 4 Char"/>
    <w:basedOn w:val="1020"/>
    <w:link w:val="1019"/>
    <w:pPr>
      <w:pBdr/>
      <w:spacing/>
      <w:ind/>
    </w:pPr>
    <w:rPr>
      <w:rFonts w:ascii="Times New Roman" w:hAnsi="Times New Roman" w:eastAsia="Times New Roman" w:cs="Times New Roman"/>
      <w:b/>
      <w:bCs/>
      <w:sz w:val="24"/>
      <w:szCs w:val="24"/>
    </w:rPr>
  </w:style>
  <w:style w:type="character" w:styleId="1027">
    <w:name w:val="Hyperlink"/>
    <w:uiPriority w:val="99"/>
    <w:pPr>
      <w:pBdr/>
      <w:spacing/>
      <w:ind/>
    </w:pPr>
    <w:rPr>
      <w:color w:val="000000"/>
      <w:u w:val="single"/>
    </w:rPr>
  </w:style>
  <w:style w:type="character" w:styleId="1028">
    <w:name w:val="Strong"/>
    <w:uiPriority w:val="22"/>
    <w:qFormat/>
    <w:pPr>
      <w:pBdr/>
      <w:spacing/>
      <w:ind/>
    </w:pPr>
    <w:rPr>
      <w:b/>
      <w:bCs/>
    </w:rPr>
  </w:style>
  <w:style w:type="paragraph" w:styleId="1029">
    <w:name w:val="Balloon Text"/>
    <w:basedOn w:val="1015"/>
    <w:link w:val="1030"/>
    <w:uiPriority w:val="99"/>
    <w:semiHidden/>
    <w:unhideWhenUsed/>
    <w:pPr>
      <w:pBdr/>
      <w:spacing/>
      <w:ind/>
    </w:pPr>
    <w:rPr>
      <w:rFonts w:ascii="Tahoma" w:hAnsi="Tahoma" w:cs="Tahoma"/>
      <w:sz w:val="16"/>
      <w:szCs w:val="16"/>
    </w:rPr>
  </w:style>
  <w:style w:type="character" w:styleId="1030" w:customStyle="1">
    <w:name w:val="Balloon Text Char"/>
    <w:basedOn w:val="1020"/>
    <w:link w:val="1029"/>
    <w:uiPriority w:val="99"/>
    <w:semiHidden/>
    <w:pPr>
      <w:pBdr/>
      <w:spacing/>
      <w:ind/>
    </w:pPr>
    <w:rPr>
      <w:rFonts w:ascii="Tahoma" w:hAnsi="Tahoma" w:eastAsia="Times New Roman" w:cs="Tahoma"/>
      <w:sz w:val="16"/>
      <w:szCs w:val="16"/>
    </w:rPr>
  </w:style>
  <w:style w:type="paragraph" w:styleId="1031">
    <w:name w:val="Header"/>
    <w:basedOn w:val="1015"/>
    <w:link w:val="1032"/>
    <w:unhideWhenUsed/>
    <w:pPr>
      <w:pBdr/>
      <w:tabs>
        <w:tab w:val="center" w:leader="none" w:pos="4680"/>
        <w:tab w:val="right" w:leader="none" w:pos="9360"/>
      </w:tabs>
      <w:spacing/>
      <w:ind/>
    </w:pPr>
  </w:style>
  <w:style w:type="character" w:styleId="1032" w:customStyle="1">
    <w:name w:val="Header Char"/>
    <w:basedOn w:val="1020"/>
    <w:link w:val="1031"/>
    <w:pPr>
      <w:pBdr/>
      <w:spacing/>
      <w:ind/>
    </w:pPr>
    <w:rPr>
      <w:rFonts w:ascii="Times New Roman" w:hAnsi="Times New Roman" w:eastAsia="Times New Roman" w:cs="Times New Roman"/>
      <w:sz w:val="24"/>
      <w:szCs w:val="24"/>
    </w:rPr>
  </w:style>
  <w:style w:type="paragraph" w:styleId="1033">
    <w:name w:val="Footer"/>
    <w:basedOn w:val="1015"/>
    <w:link w:val="1034"/>
    <w:uiPriority w:val="99"/>
    <w:unhideWhenUsed/>
    <w:pPr>
      <w:pBdr/>
      <w:tabs>
        <w:tab w:val="center" w:leader="none" w:pos="4680"/>
        <w:tab w:val="right" w:leader="none" w:pos="9360"/>
      </w:tabs>
      <w:spacing/>
      <w:ind/>
    </w:pPr>
  </w:style>
  <w:style w:type="character" w:styleId="1034" w:customStyle="1">
    <w:name w:val="Footer Char"/>
    <w:basedOn w:val="1020"/>
    <w:link w:val="1033"/>
    <w:uiPriority w:val="99"/>
    <w:pPr>
      <w:pBdr/>
      <w:spacing/>
      <w:ind/>
    </w:pPr>
    <w:rPr>
      <w:rFonts w:ascii="Times New Roman" w:hAnsi="Times New Roman" w:eastAsia="Times New Roman" w:cs="Times New Roman"/>
      <w:sz w:val="24"/>
      <w:szCs w:val="24"/>
    </w:rPr>
  </w:style>
  <w:style w:type="character" w:styleId="1035" w:customStyle="1">
    <w:name w:val="normal-h1"/>
    <w:pPr>
      <w:pBdr/>
      <w:spacing/>
      <w:ind/>
    </w:pPr>
    <w:rPr>
      <w:rFonts w:hint="default" w:ascii=".VnTime" w:hAnsi=".VnTime"/>
      <w:color w:val="0000ff"/>
      <w:sz w:val="24"/>
      <w:szCs w:val="24"/>
    </w:rPr>
  </w:style>
  <w:style w:type="paragraph" w:styleId="1036" w:customStyle="1">
    <w:name w:val="normal-p"/>
    <w:basedOn w:val="1015"/>
    <w:pPr>
      <w:pBdr/>
      <w:spacing/>
      <w:ind/>
      <w:jc w:val="both"/>
    </w:pPr>
    <w:rPr>
      <w:sz w:val="20"/>
      <w:szCs w:val="20"/>
    </w:rPr>
  </w:style>
  <w:style w:type="paragraph" w:styleId="1037">
    <w:name w:val="List Paragraph"/>
    <w:basedOn w:val="1015"/>
    <w:link w:val="1124"/>
    <w:uiPriority w:val="34"/>
    <w:qFormat/>
    <w:pPr>
      <w:pBdr/>
      <w:spacing/>
      <w:ind w:left="720"/>
    </w:pPr>
  </w:style>
  <w:style w:type="paragraph" w:styleId="1038">
    <w:name w:val="Normal (Web)"/>
    <w:basedOn w:val="1015"/>
    <w:uiPriority w:val="99"/>
    <w:pPr>
      <w:pBdr/>
      <w:spacing w:after="100" w:afterAutospacing="1" w:before="100" w:beforeAutospacing="1"/>
      <w:ind/>
    </w:pPr>
  </w:style>
  <w:style w:type="paragraph" w:styleId="1039">
    <w:name w:val="Body Text"/>
    <w:basedOn w:val="1015"/>
    <w:link w:val="1040"/>
    <w:pPr>
      <w:pBdr/>
      <w:spacing w:after="120"/>
      <w:ind/>
      <w:jc w:val="both"/>
    </w:pPr>
  </w:style>
  <w:style w:type="character" w:styleId="1040" w:customStyle="1">
    <w:name w:val="Body Text Char"/>
    <w:basedOn w:val="1020"/>
    <w:link w:val="1039"/>
    <w:pPr>
      <w:pBdr/>
      <w:spacing/>
      <w:ind/>
    </w:pPr>
    <w:rPr>
      <w:rFonts w:ascii="Times New Roman" w:hAnsi="Times New Roman" w:eastAsia="Times New Roman" w:cs="Times New Roman"/>
      <w:sz w:val="24"/>
      <w:szCs w:val="24"/>
    </w:rPr>
  </w:style>
  <w:style w:type="table" w:styleId="1041">
    <w:name w:val="Table Grid"/>
    <w:basedOn w:val="102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3">
    <w:name w:val="annotation reference"/>
    <w:basedOn w:val="1020"/>
    <w:uiPriority w:val="99"/>
    <w:semiHidden/>
    <w:unhideWhenUsed/>
    <w:pPr>
      <w:pBdr/>
      <w:spacing/>
      <w:ind/>
    </w:pPr>
    <w:rPr>
      <w:sz w:val="16"/>
      <w:szCs w:val="16"/>
    </w:rPr>
  </w:style>
  <w:style w:type="paragraph" w:styleId="1044">
    <w:name w:val="annotation text"/>
    <w:basedOn w:val="1015"/>
    <w:link w:val="1045"/>
    <w:uiPriority w:val="99"/>
    <w:unhideWhenUsed/>
    <w:pPr>
      <w:pBdr/>
      <w:spacing/>
      <w:ind/>
    </w:pPr>
    <w:rPr>
      <w:sz w:val="20"/>
      <w:szCs w:val="20"/>
    </w:rPr>
  </w:style>
  <w:style w:type="character" w:styleId="1045" w:customStyle="1">
    <w:name w:val="Comment Text Char"/>
    <w:basedOn w:val="1020"/>
    <w:link w:val="1044"/>
    <w:uiPriority w:val="99"/>
    <w:pPr>
      <w:pBdr/>
      <w:spacing/>
      <w:ind/>
    </w:pPr>
    <w:rPr>
      <w:rFonts w:ascii="Times New Roman" w:hAnsi="Times New Roman" w:eastAsia="Times New Roman" w:cs="Times New Roman"/>
      <w:sz w:val="20"/>
      <w:szCs w:val="20"/>
    </w:rPr>
  </w:style>
  <w:style w:type="paragraph" w:styleId="1046">
    <w:name w:val="annotation subject"/>
    <w:basedOn w:val="1044"/>
    <w:next w:val="1044"/>
    <w:link w:val="1047"/>
    <w:uiPriority w:val="99"/>
    <w:semiHidden/>
    <w:unhideWhenUsed/>
    <w:pPr>
      <w:pBdr/>
      <w:spacing/>
      <w:ind/>
    </w:pPr>
    <w:rPr>
      <w:b/>
      <w:bCs/>
    </w:rPr>
  </w:style>
  <w:style w:type="character" w:styleId="1047" w:customStyle="1">
    <w:name w:val="Comment Subject Char"/>
    <w:basedOn w:val="1045"/>
    <w:link w:val="1046"/>
    <w:uiPriority w:val="99"/>
    <w:semiHidden/>
    <w:pPr>
      <w:pBdr/>
      <w:spacing/>
      <w:ind/>
    </w:pPr>
    <w:rPr>
      <w:rFonts w:ascii="Times New Roman" w:hAnsi="Times New Roman" w:eastAsia="Times New Roman" w:cs="Times New Roman"/>
      <w:b/>
      <w:bCs/>
      <w:sz w:val="20"/>
      <w:szCs w:val="20"/>
    </w:rPr>
  </w:style>
  <w:style w:type="paragraph" w:styleId="1048" w:customStyle="1">
    <w:name w:val="font5"/>
    <w:basedOn w:val="1015"/>
    <w:pPr>
      <w:pBdr/>
      <w:spacing w:after="100" w:afterAutospacing="1" w:before="100" w:beforeAutospacing="1"/>
      <w:ind/>
    </w:pPr>
    <w:rPr>
      <w:rFonts w:ascii="Tahoma" w:hAnsi="Tahoma" w:cs="Tahoma"/>
      <w:color w:val="000000"/>
      <w:sz w:val="18"/>
      <w:szCs w:val="18"/>
    </w:rPr>
  </w:style>
  <w:style w:type="paragraph" w:styleId="1049" w:customStyle="1">
    <w:name w:val="font6"/>
    <w:basedOn w:val="1015"/>
    <w:pPr>
      <w:pBdr/>
      <w:spacing w:after="100" w:afterAutospacing="1" w:before="100" w:beforeAutospacing="1"/>
      <w:ind/>
    </w:pPr>
    <w:rPr>
      <w:rFonts w:ascii="Tahoma" w:hAnsi="Tahoma" w:cs="Tahoma"/>
      <w:b/>
      <w:bCs/>
      <w:color w:val="000000"/>
      <w:sz w:val="18"/>
      <w:szCs w:val="18"/>
    </w:rPr>
  </w:style>
  <w:style w:type="paragraph" w:styleId="1050" w:customStyle="1">
    <w:name w:val="xl233"/>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1" w:customStyle="1">
    <w:name w:val="xl234"/>
    <w:basedOn w:val="1015"/>
    <w:pPr>
      <w:pBdr/>
      <w:spacing w:after="100" w:afterAutospacing="1" w:before="100" w:beforeAutospacing="1"/>
      <w:ind/>
      <w:jc w:val="center"/>
    </w:pPr>
  </w:style>
  <w:style w:type="paragraph" w:styleId="1052" w:customStyle="1">
    <w:name w:val="xl235"/>
    <w:basedOn w:val="1015"/>
    <w:pPr>
      <w:pBdr/>
      <w:spacing w:after="100" w:afterAutospacing="1" w:before="100" w:beforeAutospacing="1"/>
      <w:ind/>
      <w:jc w:val="center"/>
    </w:pPr>
    <w:rPr>
      <w:b/>
      <w:bCs/>
    </w:rPr>
  </w:style>
  <w:style w:type="paragraph" w:styleId="1053" w:customStyle="1">
    <w:name w:val="xl236"/>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4" w:customStyle="1">
    <w:name w:val="xl237"/>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5" w:customStyle="1">
    <w:name w:val="xl238"/>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6" w:customStyle="1">
    <w:name w:val="xl23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7" w:customStyle="1">
    <w:name w:val="xl240"/>
    <w:basedOn w:val="1015"/>
    <w:pPr>
      <w:pBdr/>
      <w:spacing w:after="100" w:afterAutospacing="1" w:before="100" w:beforeAutospacing="1"/>
      <w:ind/>
    </w:pPr>
  </w:style>
  <w:style w:type="paragraph" w:styleId="1058" w:customStyle="1">
    <w:name w:val="xl241"/>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9" w:customStyle="1">
    <w:name w:val="xl242"/>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43"/>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44"/>
    <w:basedOn w:val="1015"/>
    <w:pPr>
      <w:pBdr/>
      <w:spacing w:after="100" w:afterAutospacing="1" w:before="100" w:beforeAutospacing="1"/>
      <w:ind/>
    </w:pPr>
    <w:rPr>
      <w:b/>
      <w:bCs/>
    </w:rPr>
  </w:style>
  <w:style w:type="paragraph" w:styleId="1062" w:customStyle="1">
    <w:name w:val="xl245"/>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46"/>
    <w:basedOn w:val="101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47"/>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5" w:customStyle="1">
    <w:name w:val="xl248"/>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6" w:customStyle="1">
    <w:name w:val="xl24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7" w:customStyle="1">
    <w:name w:val="xl250"/>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8" w:customStyle="1">
    <w:name w:val="xl251"/>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9" w:customStyle="1">
    <w:name w:val="xl252"/>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3"/>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1" w:customStyle="1">
    <w:name w:val="xl254"/>
    <w:basedOn w:val="101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2" w:customStyle="1">
    <w:name w:val="xl255"/>
    <w:basedOn w:val="101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3" w:customStyle="1">
    <w:name w:val="xl256"/>
    <w:basedOn w:val="101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4" w:customStyle="1">
    <w:name w:val="xl257"/>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58"/>
    <w:basedOn w:val="101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6" w:customStyle="1">
    <w:name w:val="xl25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7" w:customStyle="1">
    <w:name w:val="xl260"/>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8" w:customStyle="1">
    <w:name w:val="xl261"/>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9" w:customStyle="1">
    <w:name w:val="xl262"/>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0" w:customStyle="1">
    <w:name w:val="xl263"/>
    <w:basedOn w:val="1015"/>
    <w:pPr>
      <w:pBdr/>
      <w:shd w:val="clear" w:color="000000" w:fill="ffffff"/>
      <w:spacing w:after="100" w:afterAutospacing="1" w:before="100" w:beforeAutospacing="1"/>
      <w:ind/>
    </w:pPr>
  </w:style>
  <w:style w:type="paragraph" w:styleId="1081" w:customStyle="1">
    <w:name w:val="xl264"/>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2" w:customStyle="1">
    <w:name w:val="xl265"/>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3" w:customStyle="1">
    <w:name w:val="xl266"/>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4" w:customStyle="1">
    <w:name w:val="xl267"/>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5" w:customStyle="1">
    <w:name w:val="xl268"/>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6" w:customStyle="1">
    <w:name w:val="xl269"/>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7" w:customStyle="1">
    <w:name w:val="xl270"/>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71"/>
    <w:basedOn w:val="101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9" w:customStyle="1">
    <w:name w:val="xl272"/>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90" w:customStyle="1">
    <w:name w:val="xl273"/>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1" w:customStyle="1">
    <w:name w:val="xl274"/>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75"/>
    <w:basedOn w:val="1015"/>
    <w:pPr>
      <w:pBdr/>
      <w:spacing w:after="100" w:afterAutospacing="1" w:before="100" w:beforeAutospacing="1"/>
      <w:ind/>
    </w:pPr>
  </w:style>
  <w:style w:type="paragraph" w:styleId="1093" w:customStyle="1">
    <w:name w:val="xl276"/>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4" w:customStyle="1">
    <w:name w:val="xl277"/>
    <w:basedOn w:val="101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5" w:customStyle="1">
    <w:name w:val="xl278"/>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6" w:customStyle="1">
    <w:name w:val="xl27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7" w:customStyle="1">
    <w:name w:val="xl280"/>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8" w:customStyle="1">
    <w:name w:val="xl281"/>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9" w:customStyle="1">
    <w:name w:val="xl282"/>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0" w:customStyle="1">
    <w:name w:val="xl283"/>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84"/>
    <w:basedOn w:val="1015"/>
    <w:pPr>
      <w:pBdr>
        <w:left w:val="single" w:color="000000" w:sz="4" w:space="0"/>
        <w:bottom w:val="single" w:color="000000" w:sz="4" w:space="0"/>
        <w:right w:val="single" w:color="000000" w:sz="4" w:space="0"/>
      </w:pBdr>
      <w:spacing w:after="100" w:afterAutospacing="1" w:before="100" w:beforeAutospacing="1"/>
      <w:ind/>
    </w:pPr>
  </w:style>
  <w:style w:type="paragraph" w:styleId="1102" w:customStyle="1">
    <w:name w:val="xl285"/>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3" w:customStyle="1">
    <w:name w:val="xl286"/>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4" w:customStyle="1">
    <w:name w:val="xl287"/>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88"/>
    <w:basedOn w:val="1015"/>
    <w:pPr>
      <w:pBdr>
        <w:top w:val="single" w:color="000000" w:sz="4" w:space="0"/>
        <w:left w:val="single" w:color="000000" w:sz="4" w:space="0"/>
        <w:right w:val="single" w:color="000000" w:sz="4" w:space="0"/>
      </w:pBdr>
      <w:spacing w:after="100" w:afterAutospacing="1" w:before="100" w:beforeAutospacing="1"/>
      <w:ind/>
    </w:pPr>
  </w:style>
  <w:style w:type="paragraph" w:styleId="1106" w:customStyle="1">
    <w:name w:val="xl289"/>
    <w:basedOn w:val="1015"/>
    <w:pPr>
      <w:pBdr>
        <w:left w:val="single" w:color="000000" w:sz="4" w:space="0"/>
        <w:right w:val="single" w:color="000000" w:sz="4" w:space="0"/>
      </w:pBdr>
      <w:spacing w:after="100" w:afterAutospacing="1" w:before="100" w:beforeAutospacing="1"/>
      <w:ind/>
    </w:pPr>
    <w:rPr>
      <w:b/>
      <w:bCs/>
    </w:rPr>
  </w:style>
  <w:style w:type="paragraph" w:styleId="1107" w:customStyle="1">
    <w:name w:val="xl290"/>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8" w:customStyle="1">
    <w:name w:val="xl291"/>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9" w:customStyle="1">
    <w:name w:val="xl292"/>
    <w:basedOn w:val="1015"/>
    <w:pPr>
      <w:pBdr>
        <w:top w:val="single" w:color="000000" w:sz="4" w:space="0"/>
        <w:left w:val="single" w:color="000000" w:sz="4" w:space="0"/>
        <w:right w:val="single" w:color="000000" w:sz="4" w:space="0"/>
      </w:pBdr>
      <w:spacing w:after="100" w:afterAutospacing="1" w:before="100" w:beforeAutospacing="1"/>
      <w:ind/>
    </w:pPr>
  </w:style>
  <w:style w:type="paragraph" w:styleId="1110" w:customStyle="1">
    <w:name w:val="xl293"/>
    <w:basedOn w:val="1015"/>
    <w:pPr>
      <w:pBdr>
        <w:left w:val="single" w:color="000000" w:sz="4" w:space="0"/>
        <w:bottom w:val="single" w:color="000000" w:sz="4" w:space="0"/>
        <w:right w:val="single" w:color="000000" w:sz="4" w:space="0"/>
      </w:pBdr>
      <w:spacing w:after="100" w:afterAutospacing="1" w:before="100" w:beforeAutospacing="1"/>
      <w:ind/>
    </w:pPr>
  </w:style>
  <w:style w:type="paragraph" w:styleId="1111" w:customStyle="1">
    <w:name w:val="xl294"/>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2">
    <w:name w:val="Title"/>
    <w:basedOn w:val="1015"/>
    <w:link w:val="1113"/>
    <w:qFormat/>
    <w:pPr>
      <w:pBdr/>
      <w:spacing/>
      <w:ind/>
      <w:jc w:val="center"/>
    </w:pPr>
    <w:rPr>
      <w:b/>
      <w:bCs/>
      <w:sz w:val="32"/>
      <w:szCs w:val="26"/>
    </w:rPr>
  </w:style>
  <w:style w:type="character" w:styleId="1113" w:customStyle="1">
    <w:name w:val="Title Char"/>
    <w:basedOn w:val="1020"/>
    <w:link w:val="1112"/>
    <w:pPr>
      <w:pBdr/>
      <w:spacing/>
      <w:ind/>
    </w:pPr>
    <w:rPr>
      <w:rFonts w:ascii="Times New Roman" w:hAnsi="Times New Roman" w:eastAsia="Times New Roman" w:cs="Times New Roman"/>
      <w:b/>
      <w:bCs/>
      <w:sz w:val="32"/>
      <w:szCs w:val="26"/>
    </w:rPr>
  </w:style>
  <w:style w:type="character" w:styleId="1114" w:customStyle="1">
    <w:name w:val="Unresolved Mention1"/>
    <w:basedOn w:val="1020"/>
    <w:uiPriority w:val="99"/>
    <w:semiHidden/>
    <w:unhideWhenUsed/>
    <w:pPr>
      <w:pBdr/>
      <w:spacing/>
      <w:ind/>
    </w:pPr>
    <w:rPr>
      <w:color w:val="605e5c"/>
      <w:shd w:val="clear" w:color="auto" w:fill="e1dfdd"/>
    </w:rPr>
  </w:style>
  <w:style w:type="character" w:styleId="1115" w:customStyle="1">
    <w:name w:val="Body text (3)_"/>
    <w:link w:val="1116"/>
    <w:pPr>
      <w:pBdr/>
      <w:spacing/>
      <w:ind/>
    </w:pPr>
    <w:rPr>
      <w:rFonts w:ascii="Times New Roman" w:hAnsi="Times New Roman" w:cs="Times New Roman"/>
      <w:i/>
      <w:iCs/>
      <w:spacing w:val="4"/>
      <w:shd w:val="clear" w:color="auto" w:fill="ffffff"/>
    </w:rPr>
  </w:style>
  <w:style w:type="paragraph" w:styleId="1116" w:customStyle="1">
    <w:name w:val="Body text (3)1"/>
    <w:basedOn w:val="1015"/>
    <w:link w:val="111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7" w:customStyle="1">
    <w:name w:val="t-j"/>
    <w:basedOn w:val="1015"/>
    <w:pPr>
      <w:pBdr/>
      <w:spacing w:after="100" w:afterAutospacing="1" w:before="100" w:beforeAutospacing="1"/>
      <w:ind/>
    </w:pPr>
  </w:style>
  <w:style w:type="character" w:styleId="1118" w:customStyle="1">
    <w:name w:val="Unresolved Mention2"/>
    <w:basedOn w:val="1020"/>
    <w:uiPriority w:val="99"/>
    <w:semiHidden/>
    <w:unhideWhenUsed/>
    <w:pPr>
      <w:pBdr/>
      <w:spacing/>
      <w:ind/>
    </w:pPr>
    <w:rPr>
      <w:color w:val="605e5c"/>
      <w:shd w:val="clear" w:color="auto" w:fill="e1dfdd"/>
    </w:rPr>
  </w:style>
  <w:style w:type="character" w:styleId="1119">
    <w:name w:val="FollowedHyperlink"/>
    <w:basedOn w:val="1020"/>
    <w:uiPriority w:val="99"/>
    <w:semiHidden/>
    <w:unhideWhenUsed/>
    <w:pPr>
      <w:pBdr/>
      <w:spacing/>
      <w:ind/>
    </w:pPr>
    <w:rPr>
      <w:color w:val="800080" w:themeColor="followedHyperlink"/>
      <w:u w:val="single"/>
    </w:rPr>
  </w:style>
  <w:style w:type="character" w:styleId="1120" w:customStyle="1">
    <w:name w:val="text"/>
    <w:basedOn w:val="1020"/>
    <w:pPr>
      <w:pBdr/>
      <w:spacing/>
      <w:ind/>
    </w:pPr>
  </w:style>
  <w:style w:type="character" w:styleId="1121" w:customStyle="1">
    <w:name w:val="card-send-time__sendtime"/>
    <w:basedOn w:val="1020"/>
    <w:pPr>
      <w:pBdr/>
      <w:spacing/>
      <w:ind/>
    </w:pPr>
  </w:style>
  <w:style w:type="character" w:styleId="1122" w:customStyle="1">
    <w:name w:val="Đề cập Chưa giải quyết1"/>
    <w:basedOn w:val="1020"/>
    <w:uiPriority w:val="99"/>
    <w:semiHidden/>
    <w:unhideWhenUsed/>
    <w:pPr>
      <w:pBdr/>
      <w:spacing/>
      <w:ind/>
    </w:pPr>
    <w:rPr>
      <w:color w:val="605e5c"/>
      <w:shd w:val="clear" w:color="auto" w:fill="e1dfdd"/>
    </w:rPr>
  </w:style>
  <w:style w:type="paragraph" w:styleId="1123" w:customStyle="1">
    <w:name w:val="nqtitle"/>
    <w:basedOn w:val="1015"/>
    <w:pPr>
      <w:pBdr/>
      <w:spacing w:after="100" w:afterAutospacing="1" w:before="100" w:beforeAutospacing="1"/>
      <w:ind/>
    </w:pPr>
    <w:rPr>
      <w:lang w:val="vi-VN" w:eastAsia="vi-VN"/>
    </w:rPr>
  </w:style>
  <w:style w:type="character" w:styleId="1124" w:customStyle="1">
    <w:name w:val="List Paragraph Char"/>
    <w:link w:val="1037"/>
    <w:uiPriority w:val="34"/>
    <w:qFormat/>
    <w:pPr>
      <w:pBdr/>
      <w:spacing/>
      <w:ind/>
    </w:pPr>
    <w:rPr>
      <w:rFonts w:ascii="Times New Roman" w:hAnsi="Times New Roman" w:eastAsia="Times New Roman" w:cs="Times New Roman"/>
      <w:sz w:val="24"/>
      <w:szCs w:val="24"/>
    </w:rPr>
  </w:style>
  <w:style w:type="character" w:styleId="1125" w:customStyle="1">
    <w:name w:val="Đề cập Chưa giải quyết2"/>
    <w:basedOn w:val="1020"/>
    <w:uiPriority w:val="99"/>
    <w:semiHidden/>
    <w:unhideWhenUsed/>
    <w:pPr>
      <w:pBdr/>
      <w:spacing/>
      <w:ind/>
    </w:pPr>
    <w:rPr>
      <w:color w:val="605e5c"/>
      <w:shd w:val="clear" w:color="auto" w:fill="e1dfdd"/>
    </w:rPr>
  </w:style>
  <w:style w:type="character" w:styleId="1126" w:customStyle="1">
    <w:name w:val="Unresolved Mention3"/>
    <w:basedOn w:val="1020"/>
    <w:uiPriority w:val="99"/>
    <w:semiHidden/>
    <w:unhideWhenUsed/>
    <w:pPr>
      <w:pBdr/>
      <w:spacing/>
      <w:ind/>
    </w:pPr>
    <w:rPr>
      <w:color w:val="605e5c"/>
      <w:shd w:val="clear" w:color="auto" w:fill="e1dfdd"/>
    </w:rPr>
  </w:style>
  <w:style w:type="character" w:styleId="1127" w:customStyle="1">
    <w:name w:val="copy"/>
    <w:basedOn w:val="1020"/>
    <w:pPr>
      <w:pBdr/>
      <w:spacing/>
      <w:ind/>
    </w:pPr>
  </w:style>
  <w:style w:type="paragraph" w:styleId="1128" w:customStyle="1">
    <w:name w:val="align-justify"/>
    <w:basedOn w:val="1015"/>
    <w:pPr>
      <w:pBdr/>
      <w:spacing w:after="100" w:afterAutospacing="1" w:before="100" w:beforeAutospacing="1"/>
      <w:ind/>
    </w:pPr>
  </w:style>
  <w:style w:type="character" w:styleId="1129" w:customStyle="1">
    <w:name w:val="btn"/>
    <w:basedOn w:val="1020"/>
    <w:pPr>
      <w:pBdr/>
      <w:spacing/>
      <w:ind/>
    </w:pPr>
  </w:style>
  <w:style w:type="character" w:styleId="1130" w:customStyle="1">
    <w:name w:val="hide_mobile"/>
    <w:basedOn w:val="1020"/>
    <w:pPr>
      <w:pBdr/>
      <w:spacing/>
      <w:ind/>
    </w:pPr>
  </w:style>
  <w:style w:type="character" w:styleId="1131">
    <w:name w:val="Emphasis"/>
    <w:basedOn w:val="1020"/>
    <w:uiPriority w:val="20"/>
    <w:qFormat/>
    <w:pPr>
      <w:pBdr/>
      <w:spacing/>
      <w:ind/>
    </w:pPr>
    <w:rPr>
      <w:i/>
      <w:iCs/>
    </w:rPr>
  </w:style>
  <w:style w:type="character" w:styleId="1132" w:customStyle="1">
    <w:name w:val="t1"/>
    <w:basedOn w:val="1020"/>
    <w:pPr>
      <w:pBdr/>
      <w:spacing/>
      <w:ind/>
    </w:pPr>
  </w:style>
  <w:style w:type="character" w:styleId="1133" w:customStyle="1">
    <w:name w:val="Unresolved Mention4"/>
    <w:basedOn w:val="1020"/>
    <w:uiPriority w:val="99"/>
    <w:semiHidden/>
    <w:unhideWhenUsed/>
    <w:pPr>
      <w:pBdr/>
      <w:spacing/>
      <w:ind/>
    </w:pPr>
    <w:rPr>
      <w:color w:val="605e5c"/>
      <w:shd w:val="clear" w:color="auto" w:fill="e1dfdd"/>
    </w:rPr>
  </w:style>
  <w:style w:type="character" w:styleId="1134">
    <w:name w:val="Unresolved Mention"/>
    <w:basedOn w:val="102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Phạm Thị Dung</cp:lastModifiedBy>
  <cp:revision>283</cp:revision>
  <dcterms:created xsi:type="dcterms:W3CDTF">2025-09-15T09:58:00Z</dcterms:created>
  <dcterms:modified xsi:type="dcterms:W3CDTF">2026-07-02T04:13:19Z</dcterms:modified>
</cp:coreProperties>
</file>