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73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731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highlight w:val="none"/>
                              </w:rPr>
                            </w:pPr>
                            <w:r>
                              <w:rPr>
                                <w:b/>
                              </w:rPr>
                              <w:t xml:space="preserve">Số: </w:t>
                            </w:r>
                            <w:r>
                              <w:rPr>
                                <w:b/>
                                <w:color w:val="000000" w:themeColor="text1"/>
                              </w:rPr>
                              <w:t xml:space="preserve">275/2026/1013/VFI-CT.57.A</w:t>
                            </w:r>
                            <w:r>
                              <w:rPr>
                                <w:b/>
                              </w:rPr>
                            </w:r>
                            <w:r>
                              <w:rPr>
                                <w:b/>
                                <w:bCs/>
                                <w:highlight w:val="none"/>
                              </w:rPr>
                            </w:r>
                          </w:p>
                          <w:p>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highlight w:val="none"/>
                              </w:rPr>
                              <w:t xml:space="preserve">Mã đề nghị: </w:t>
                            </w:r>
                            <w:r>
                              <w:rPr>
                                <w:rFonts w:ascii="Times New Roman" w:hAnsi="Times New Roman" w:eastAsia="Times New Roman" w:cs="Times New Roman"/>
                                <w:b/>
                                <w:bCs/>
                                <w:color w:val="081b3a"/>
                                <w:spacing w:val="3"/>
                                <w:sz w:val="24"/>
                                <w:szCs w:val="24"/>
                                <w:highlight w:val="white"/>
                              </w:rPr>
                              <w:t xml:space="preserve">4808130</w:t>
                            </w:r>
                            <w:r>
                              <w:rPr>
                                <w:rFonts w:ascii="Times New Roman" w:hAnsi="Times New Roman" w:eastAsia="Times New Roman" w:cs="Times New Roman"/>
                                <w:b/>
                                <w:bCs/>
                                <w:sz w:val="24"/>
                                <w:szCs w:val="24"/>
                                <w:highlight w:val="none"/>
                              </w:rPr>
                            </w:r>
                            <w:r>
                              <w:rPr>
                                <w:rFonts w:ascii="Times New Roman" w:hAnsi="Times New Roman" w:cs="Times New Roman"/>
                                <w:b/>
                                <w:bCs/>
                                <w:sz w:val="24"/>
                                <w:szCs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VĂN KHOÁT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i/>
                                <w:iCs/>
                                <w:color w:val="000000"/>
                                <w:sz w:val="24"/>
                              </w:rPr>
                              <w:t xml:space="preserve"> (Nay là phường Phù Khê, tỉnh Bắc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color w:val="000000"/>
                                <w:sz w:val="24"/>
                              </w:rPr>
                              <w:t xml:space="preserve">ào sổ cấp GCN: CS 06911 do Sở Tài nguyên và Môi trường tỉnh Bắc Ninh cấp ngày 11/10/2018 cho ông Lê Văn Khoát và bà Nguyễn Thị Thu.</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7.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bCs/>
                          <w:highlight w:val="none"/>
                        </w:rPr>
                      </w:pPr>
                      <w:r>
                        <w:rPr>
                          <w:b/>
                        </w:rPr>
                        <w:t xml:space="preserve">Số: </w:t>
                      </w:r>
                      <w:r>
                        <w:rPr>
                          <w:b/>
                          <w:color w:val="000000" w:themeColor="text1"/>
                        </w:rPr>
                        <w:t xml:space="preserve">275/2026/1013/VFI-CT.57.A</w:t>
                      </w:r>
                      <w:r>
                        <w:rPr>
                          <w:b/>
                        </w:rPr>
                      </w:r>
                      <w:r>
                        <w:rPr>
                          <w:b/>
                          <w:bCs/>
                          <w:highlight w:val="none"/>
                        </w:rPr>
                      </w:r>
                    </w:p>
                    <w:p>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highlight w:val="none"/>
                        </w:rPr>
                        <w:t xml:space="preserve">Mã đề nghị: </w:t>
                      </w:r>
                      <w:r>
                        <w:rPr>
                          <w:rFonts w:ascii="Times New Roman" w:hAnsi="Times New Roman" w:eastAsia="Times New Roman" w:cs="Times New Roman"/>
                          <w:b/>
                          <w:bCs/>
                          <w:color w:val="081b3a"/>
                          <w:spacing w:val="3"/>
                          <w:sz w:val="24"/>
                          <w:szCs w:val="24"/>
                          <w:highlight w:val="white"/>
                        </w:rPr>
                        <w:t xml:space="preserve">4808130</w:t>
                      </w:r>
                      <w:r>
                        <w:rPr>
                          <w:rFonts w:ascii="Times New Roman" w:hAnsi="Times New Roman" w:eastAsia="Times New Roman" w:cs="Times New Roman"/>
                          <w:b/>
                          <w:bCs/>
                          <w:sz w:val="24"/>
                          <w:szCs w:val="24"/>
                          <w:highlight w:val="none"/>
                        </w:rPr>
                      </w:r>
                      <w:r>
                        <w:rPr>
                          <w:rFonts w:ascii="Times New Roman" w:hAnsi="Times New Roman" w:cs="Times New Roman"/>
                          <w:b/>
                          <w:bCs/>
                          <w:sz w:val="24"/>
                          <w:szCs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VĂN KHOÁT</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i/>
                          <w:iCs/>
                          <w:color w:val="000000"/>
                          <w:sz w:val="24"/>
                        </w:rPr>
                        <w:t xml:space="preserve"> (Nay là phường Phù Khê, tỉnh Bắc Ninh)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color w:val="000000"/>
                          <w:sz w:val="24"/>
                        </w:rPr>
                        <w:t xml:space="preserve">ào sổ cấp GCN: CS 06911 do Sở Tài nguyên và Môi trường tỉnh Bắc Ninh cấp ngày 11/10/2018 cho ông Lê Văn Khoát và bà Nguyễn Thị Thu.</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23-33</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275/2026/1013/VFI-CT.57.A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7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VĂN KHOÁT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275/2026/1013/VFI-HĐTĐ.57.A</w:t>
      </w:r>
      <w:r>
        <w:rPr>
          <w:spacing w:val="-4"/>
          <w:lang w:val="vi-VN"/>
        </w:rPr>
        <w:t xml:space="preserve"> ký ngày </w:t>
      </w:r>
      <w:r>
        <w:rPr>
          <w:color w:val="000000" w:themeColor="text1"/>
          <w:spacing w:val="-4"/>
        </w:rPr>
        <w:t xml:space="preserve">3 tháng 7 năm 2026</w:t>
      </w:r>
      <w:r>
        <w:rPr>
          <w:spacing w:val="-4"/>
          <w:lang w:val="vi-VN"/>
        </w:rPr>
        <w:t xml:space="preserve"> </w:t>
      </w:r>
      <w:r>
        <w:rPr>
          <w:spacing w:val="-4"/>
          <w:lang w:val="vi-VN"/>
        </w:rPr>
        <w:t xml:space="preserve">giữa </w:t>
      </w:r>
      <w:r>
        <w:rPr>
          <w:color w:val="000000" w:themeColor="text1"/>
          <w:spacing w:val="-4"/>
        </w:rPr>
        <w:t xml:space="preserve">Ông Lê Văn Khoát</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275/2026/1013/VFI-BC.57.A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LÊ VĂN KHOÁT</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027061000711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Đông Phú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b w:val="0"/>
          <w:bCs w:val="0"/>
          <w:color w:val="000000" w:themeColor="text1"/>
        </w:rPr>
        <w:t xml:space="preserve"> </w:t>
      </w:r>
      <w:r>
        <w:rPr>
          <w:rFonts w:ascii="Times New Roman" w:hAnsi="Times New Roman" w:eastAsia="Times New Roman" w:cs="Times New Roman"/>
          <w:b w:val="0"/>
          <w:bCs w:val="0"/>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val="0"/>
          <w:bCs w:val="0"/>
          <w:i/>
          <w:iCs/>
          <w:color w:val="000000"/>
          <w:sz w:val="24"/>
        </w:rPr>
        <w:t xml:space="preserve"> (Nay là phường Phù Khê, tỉnh Bắc Ninh)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val="0"/>
          <w:bCs w:val="0"/>
          <w:color w:val="000000"/>
          <w:sz w:val="24"/>
        </w:rPr>
        <w:t xml:space="preserve">ào sổ cấp GCN: CS 06911 do Sở Tài nguyên và Môi trường tỉnh Bắc Ninh cấp ngày 11/10/2018 cho ông Lê Văn Khoát và bà Nguyễn Thị Thu.</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val="0"/>
                <w:bCs w:val="0"/>
                <w:i/>
                <w:iCs/>
                <w:color w:val="000000"/>
                <w:sz w:val="24"/>
              </w:rPr>
              <w:t xml:space="preserve"> (Nay là phường Phù Khê, tỉnh Bắc Ninh)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val="0"/>
                <w:bCs w:val="0"/>
                <w:color w:val="000000"/>
                <w:sz w:val="24"/>
              </w:rPr>
              <w:t xml:space="preserve">ào sổ cấp GCN: CS 06911 do Sở Tài nguyên và Môi trường tỉnh Bắc Ninh cấp ngày 11/10/2018 cho ông Lê Văn Khoát và bà Nguyễn Thị Thu.</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2025" w:type="dxa"/>
            <w:vAlign w:val="center"/>
            <w:textDirection w:val="lrTb"/>
            <w:noWrap w:val="false"/>
          </w:tcPr>
          <w:p>
            <w:pPr>
              <w:pBdr/>
              <w:spacing w:after="40" w:before="40" w:line="288" w:lineRule="auto"/>
              <w:ind/>
              <w:rPr/>
            </w:pPr>
            <w:r>
              <w:rPr>
                <w:b/>
                <w:bCs/>
              </w:rPr>
              <w:t xml:space="preserve">Đất ở nông thôn</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138,7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7.628.500.000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2025" w:type="dxa"/>
            <w:vAlign w:val="center"/>
            <w:textDirection w:val="lrTb"/>
            <w:noWrap w:val="false"/>
          </w:tcPr>
          <w:p>
            <w:pPr>
              <w:pBdr/>
              <w:spacing w:after="40" w:before="40" w:line="288" w:lineRule="auto"/>
              <w:ind/>
              <w:rPr/>
            </w:pPr>
            <w:r>
              <w:rPr>
                <w:b/>
                <w:bCs/>
              </w:rPr>
              <w:t xml:space="preserve">Nhà ở 4 tầng</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368,7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7.233.240</w:t>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86</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2.293.530.206</w:t>
            </w:r>
            <w:r/>
          </w:p>
        </w:tc>
      </w:tr>
      <w:tr>
        <w:trPr>
          <w:trHeight w:val="20"/>
        </w:trPr>
        <w:tc>
          <w:tcPr>
            <w:gridSpan w:val="6"/>
            <w:tcBorders/>
            <w:tcW w:w="7767"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40" w:lineRule="auto"/>
              <w:ind/>
              <w:jc w:val="center"/>
              <w:rPr>
                <w:b/>
                <w:bCs/>
                <w:color w:val="000000"/>
              </w:rPr>
            </w:pPr>
            <w:r>
              <w:t xml:space="preserve">9.922.030.206</w:t>
            </w:r>
            <w:r>
              <w:rPr>
                <w:b/>
                <w:bCs/>
                <w:color w:val="000000"/>
              </w:rPr>
            </w:r>
            <w:r>
              <w:rPr>
                <w:b/>
                <w:bCs/>
                <w:color w:val="000000"/>
              </w:rPr>
            </w:r>
          </w:p>
        </w:tc>
      </w:tr>
      <w:tr>
        <w:trPr>
          <w:trHeight w:val="20"/>
        </w:trPr>
        <w:tc>
          <w:tcPr>
            <w:gridSpan w:val="6"/>
            <w:tcBorders/>
            <w:tcW w:w="7705"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40" w:lineRule="auto"/>
              <w:ind/>
              <w:jc w:val="center"/>
              <w:rPr>
                <w:b/>
                <w:bCs/>
                <w:color w:val="000000"/>
              </w:rPr>
            </w:pPr>
            <w:r>
              <w:rPr>
                <w:b/>
                <w:bCs/>
                <w:color w:val="000000"/>
              </w:rPr>
              <w:t xml:space="preserve">9.922.000.000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chín trăm hai mươi hai triệu đồng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275/2026/1013/VFI-BC.57.A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6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275/2026/1013/VFI-CT.57.A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LÊ VĂN KHOÁT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027061000711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1961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Đông Phú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val="0"/>
                <w:bCs w:val="0"/>
                <w:i/>
                <w:iCs/>
                <w:color w:val="000000"/>
                <w:sz w:val="24"/>
              </w:rPr>
              <w:t xml:space="preserve"> (Nay là phường Phù Khê, tỉnh Bắc Ninh)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val="0"/>
                <w:bCs w:val="0"/>
                <w:color w:val="000000"/>
                <w:sz w:val="24"/>
              </w:rPr>
              <w:t xml:space="preserve">ào sổ cấp GCN: CS 06911 do Sở Tài nguyên và Môi trường tỉnh Bắc Ninh cấp ngày 11/10/2018 cho ông Lê Văn Khoát và bà Nguyễn Thị Thu.</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Phù Khê, Thị xã Từ Sơn,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(21.141861111111, 105.93561111111)</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425/QĐ-BXD-2026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CN 836486, số v</w:t>
      </w:r>
      <w:r>
        <w:rPr>
          <w:rFonts w:ascii="Times New Roman" w:hAnsi="Times New Roman" w:eastAsia="Times New Roman" w:cs="Times New Roman"/>
          <w:b w:val="0"/>
          <w:bCs w:val="0"/>
          <w:color w:val="000000"/>
          <w:sz w:val="24"/>
        </w:rPr>
        <w:t xml:space="preserve">ào sổ cấp GCN: CS 06911 do Sở Tài nguyên và Môi trường tỉnh Bắc Ninh cấp ngày 11/10/2018 cho ông Lê Văn Khoát và bà Nguyễn Thị Thu.</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275/2026/1013/VFI-HĐTĐ.57.A ngày 03/07/2026 giữa Ông Lê Văn Khoát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Sáp nhập Bắc Giang và Bắc Ninh thành tỉnh Bắc Ninh đã mở ra một chương m</w:t>
      </w:r>
      <w:r>
        <w:rPr>
          <w:shd w:val="clear" w:color="auto" w:fill="ffffff"/>
        </w:rPr>
        <w:t xml:space="preserve">ới trong tiến trình phát triển vùng Thủ đô mở rộng.</w:t>
        <w:br/>
        <w:t xml:space="preserve">Một trong những định hướng rõ nét sau sáp nhập là hình thành các đô thị vệ tinh hiện đại, đảm bảo các yếu tố: giao thông liên kết, dịch vụ đô thị đầy đủ, không gian sống xanh và hạ tầng xã hội đồng bộ. Kh</w:t>
      </w:r>
      <w:r>
        <w:rPr>
          <w:shd w:val="clear" w:color="auto" w:fill="ffffff"/>
        </w:rPr>
        <w:t xml:space="preserve">u vục Bắc Giang cũ - với tiềm năng quỹ đất, khả năng quy hoạch mới và chính sách địa phương cởi mở - đang hội tụ đủ điều kiện để phát triển theo mô hình này.</w:t>
        <w:br/>
        <w:t xml:space="preserve">Trong bối cảnh các tỉnh ven Thủ đô đang dần cạn quỹ đất, mật độ dân cư cao, thì sự trỗi dậy của nh</w:t>
      </w:r>
      <w:r>
        <w:rPr>
          <w:shd w:val="clear" w:color="auto" w:fill="ffffff"/>
        </w:rPr>
        <w:t xml:space="preserve">ững “cực phát triển” mới như khu vực phía Tây TP Bắc Giang cũ (nay thuộc tỉnh Bắc Ninh), chính là lời giải cho bài toán giãn dân, giãn đầu tư và phân bổ lại nguồn lực phát triển vùng.</w:t>
        <w:br/>
        <w:t xml:space="preserve">Việc mở rộng đô thị, quy hoạch bài bản, cùng các dự án hạ tầng trọng điể</w:t>
      </w:r>
      <w:r>
        <w:rPr>
          <w:shd w:val="clear" w:color="auto" w:fill="ffffff"/>
        </w:rPr>
        <w:t xml:space="preserve">m đang kéo theo làn sóng dịch chuyển dòng vốn đầu tư, nhu cầu nhà ở và dịch vụ gia tăng đáng kể.</w:t>
        <w:br/>
        <w:t xml:space="preserve">Đặc biệt, so với các khu vực vệ tinh Hà Nội như Gia Lâm, Đông Anh hay Hòa Lạc, mặt bằng giá bất động sản tại phía Tây của Bắc Giang cũ vẫn đang ở mức khá hợp l</w:t>
      </w:r>
      <w:r>
        <w:rPr>
          <w:shd w:val="clear" w:color="auto" w:fill="ffffff"/>
        </w:rPr>
        <w:t xml:space="preserve">ý, tiềm năng tăng giá lớn và chưa bị khai thác quá mức. Mở ra cơ hội cho các nhà đầu tư trung và dài hạn, nhất là trong bối cảnh các chính sách quy hoạch mới sau sáp nhập được thông qua.</w:t>
        <w:br/>
        <w:t xml:space="preserve">Theo đánh giá của Hội Môi giới Bất động sản Việt Nam (VARS), tỉnh Bắc</w:t>
      </w:r>
      <w:r>
        <w:rPr>
          <w:shd w:val="clear" w:color="auto" w:fill="ffffff"/>
        </w:rPr>
        <w:t xml:space="preserve"> Ninh là một trong số những địa phương có thị trường địa ốc “nóng” nhất với câu chuyện sóng sáp nhập trong thời gian qua (cùng với Ninh Bình, Hải Phòng,...).</w:t>
        <w:br/>
        <w:t xml:space="preserve">Từ đầu tháng 3, giá bán và lượng giao dịch gia tăng, nhiều nơi thiết lập mặt bằng giá mới. Chính v</w:t>
      </w:r>
      <w:r>
        <w:rPr>
          <w:shd w:val="clear" w:color="auto" w:fill="ffffff"/>
        </w:rPr>
        <w:t xml:space="preserve">ì vậy, việc sáp nhập Bắc Giang và Bắc Ninh sẽ kéo theo sự điều chỉnh quy hoạch vùng, thúc đẩy hình thành các đô thị vệ tinh kiểu mẫu.</w:t>
        <w:br/>
        <w:t xml:space="preserve">Giá đất khu vực này vẫn đang ở mức hợp lý so với tiềm năng, đồng thời được hậu thuẫn bởi hạ tầng kết nối ngày càng hoàn th</w:t>
      </w:r>
      <w:r>
        <w:rPr>
          <w:shd w:val="clear" w:color="auto" w:fill="ffffff"/>
        </w:rPr>
        <w:t xml:space="preserve">iện. Tâm lý “đi trước đón đầu” đang lan rộng trong cộng đồng nhà đầu tư, tạo làn sóng mới trên thị trường bất động sản địa phương.</w:t>
        <w:br/>
        <w:t xml:space="preserve">(Nguồn: https://laodong.vn/thong-tin-doanh-nghiep/don-bay-cho-thi-truong-bat-dong-san-bac-ninh-sau-sap-nhap-tinh-1536776.ldo)</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54"/>
        <w:gridCol w:w="2094"/>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bCs/>
                <w:i/>
                <w:iCs/>
                <w:color w:val="000000"/>
                <w:sz w:val="24"/>
              </w:rPr>
              <w:t xml:space="preserve"> (Nay là phường Phù Khê, tỉnh Bắc Ninh)</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bCs/>
                <w:color w:val="000000"/>
                <w:sz w:val="24"/>
              </w:rPr>
              <w:t xml:space="preserve">ào sổ cấp GCN: CS 06911 do Sở Tài nguyên và Môi trường tỉnh Bắc Ninh cấp ngày 11/10/2018 cho ông Lê Văn Khoát và bà Nguyễn Thị Thu.</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106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27"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Đông, Xã Phù Khê, thị xã Từ Sơn, tỉnh Bắc Ninh</w:t>
            </w:r>
            <w:r>
              <w:rPr>
                <w:rFonts w:ascii="Times New Roman" w:hAnsi="Times New Roman" w:eastAsia="Times New Roman" w:cs="Times New Roman"/>
                <w:b w:val="0"/>
                <w:bCs w:val="0"/>
                <w:i/>
                <w:iCs/>
                <w:color w:val="000000"/>
                <w:sz w:val="24"/>
              </w:rPr>
              <w:t xml:space="preserve"> (Nay là phường Phù Khê, tỉnh Bắc Ninh)</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138,7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138.7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27"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567698" cy="225039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46467" name=""/>
                              <pic:cNvPicPr>
                                <a:picLocks noChangeAspect="1"/>
                              </pic:cNvPicPr>
                              <pic:nvPr/>
                            </pic:nvPicPr>
                            <pic:blipFill rotWithShape="1">
                              <a:blip r:embed="rId17"/>
                              <a:stretch/>
                            </pic:blipFill>
                            <pic:spPr bwMode="auto">
                              <a:xfrm flipH="0" flipV="0">
                                <a:off x="0" y="0"/>
                                <a:ext cx="3567697" cy="2250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0.92pt;height:177.20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spacing/>
              <w:ind/>
              <w:jc w:val="both"/>
              <w:rPr>
                <w:highlight w:val="none"/>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 </w: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6,3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27" w:type="dxa"/>
            <w:vAlign w:val="center"/>
            <w:textDirection w:val="lrTb"/>
            <w:noWrap w:val="false"/>
          </w:tcPr>
          <w:p>
            <w:pPr>
              <w:pBdr/>
              <w:spacing/>
              <w:ind/>
              <w:jc w:val="both"/>
              <w:rPr>
                <w:color w:val="000000"/>
              </w:rPr>
            </w:pPr>
            <w:r>
              <w:rPr>
                <w:color w:val="000000" w:themeColor="text1"/>
              </w:rPr>
              <w:t xml:space="preserve">Cách đường Nguyễn Văn Cừ khoảng 100m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27" w:type="dxa"/>
            <w:vAlign w:val="center"/>
            <w:textDirection w:val="lrTb"/>
            <w:noWrap w:val="false"/>
          </w:tcPr>
          <w:p>
            <w:pPr>
              <w:pBdr/>
              <w:spacing/>
              <w:ind/>
              <w:rPr>
                <w:color w:val="000000" w:themeColor="text1"/>
                <w:highlight w:val="none"/>
              </w:rPr>
            </w:pPr>
            <w:r>
              <w:rPr>
                <w:color w:val="000000" w:themeColor="text1"/>
              </w:rPr>
              <w:t xml:space="preserve">Hướng Tây Nam và Tây Bắc tiếp giáp với đường giao thông</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(21.141861111111, 105.93561111111)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66420" cy="305184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43678" name=""/>
                              <pic:cNvPicPr>
                                <a:picLocks noChangeAspect="1"/>
                              </pic:cNvPicPr>
                              <pic:nvPr/>
                            </pic:nvPicPr>
                            <pic:blipFill rotWithShape="1">
                              <a:blip r:embed="rId18"/>
                              <a:stretch/>
                            </pic:blipFill>
                            <pic:spPr bwMode="auto">
                              <a:xfrm flipH="0" flipV="0">
                                <a:off x="0" y="0"/>
                                <a:ext cx="5466420" cy="3051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43pt;height:240.3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138,7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themeColor="text1"/>
              </w:rPr>
              <w:t xml:space="preserve">7,16</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27"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27"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094"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094"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 Tại thời điểm khảo sat đưới sự hướng dẫn có khách hàng, tài sản trên đất có nhà 4 tầng diện tích xây dựng 138,7</w:t>
            </w:r>
            <w:r>
              <w:rPr>
                <w:color w:val="000000"/>
              </w:rPr>
              <w:t xml:space="preserve">m²</w:t>
            </w:r>
            <w:r>
              <w:rPr>
                <w:color w:val="000000"/>
              </w:rPr>
              <w:t xml:space="preserve">, tổng diện tích sàn 368,7</w:t>
            </w:r>
            <w:r>
              <w:rPr>
                <w:color w:val="000000"/>
              </w:rPr>
              <w:t xml:space="preserve">m²</w:t>
            </w:r>
            <w:r>
              <w:rPr>
                <w:color w:val="000000"/>
              </w:rPr>
              <w:t xml:space="preserve"> xây dựng hoàn thành năm 2019</w:t>
            </w:r>
            <w:r>
              <w:rPr>
                <w:color w:val="000000"/>
                <w:highlight w:val="none"/>
              </w:rPr>
            </w:r>
            <w:r>
              <w:rPr>
                <w:color w:val="000000"/>
                <w:highlight w:val="none"/>
              </w:rPr>
            </w:r>
          </w:p>
          <w:p>
            <w:pPr>
              <w:pBdr/>
              <w:spacing/>
              <w:ind/>
              <w:jc w:val="both"/>
              <w:rPr>
                <w:color w:val="000000"/>
              </w:rPr>
            </w:pPr>
            <w:r>
              <w:rPr>
                <w:color w:val="000000"/>
                <w:highlight w:val="none"/>
              </w:rPr>
              <w:t xml:space="preserve">+ Công trình được ghi nhận trên Đơn xin xác nhận tính trạng nhà ở do UBND Phường Phù Khê cấp  ngày 19 tháng 3 năm 2024.</w:t>
            </w:r>
            <w:r>
              <w:rPr>
                <w:color w:val="000000"/>
              </w:rPr>
            </w:r>
            <w:r>
              <w:rPr>
                <w:color w:val="000000"/>
              </w:rPr>
            </w:r>
          </w:p>
        </w:tc>
      </w:tr>
    </w:tbl>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sz w:val="22"/>
                <w:szCs w:val="22"/>
              </w:rPr>
            </w:pPr>
            <w:r>
              <w:rPr>
                <w:b w:val="0"/>
                <w:bCs w:val="0"/>
                <w:color w:val="000000" w:themeColor="text1"/>
                <w:sz w:val="22"/>
                <w:szCs w:val="22"/>
              </w:rPr>
              <w:t xml:space="preserve">Xã Phù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sz w:val="22"/>
                <w:szCs w:val="22"/>
              </w:rPr>
            </w:pPr>
            <w:r>
              <w:rPr>
                <w:b w:val="0"/>
                <w:bCs w:val="0"/>
                <w:color w:val="000000" w:themeColor="text1"/>
                <w:sz w:val="22"/>
                <w:szCs w:val="22"/>
              </w:rPr>
              <w:t xml:space="preserve">Xã Đồng Nguyên, Thị xã Từ Sơn, Tỉnh Bắc Ninh (</w:t>
            </w:r>
            <w:r>
              <w:rPr>
                <w:rFonts w:ascii="Times New Roman" w:hAnsi="Times New Roman" w:eastAsia="Times New Roman" w:cs="Times New Roman"/>
                <w:b w:val="0"/>
                <w:bCs w:val="0"/>
                <w:i/>
                <w:iCs/>
                <w:color w:val="000000"/>
                <w:sz w:val="24"/>
              </w:rPr>
              <w:t xml:space="preserve">Nay là phường Đồng Nguyên, tỉnh Bắc Ninh)</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sz w:val="22"/>
                <w:szCs w:val="22"/>
              </w:rPr>
            </w:pPr>
            <w:r>
              <w:rPr>
                <w:b w:val="0"/>
                <w:bCs w:val="0"/>
                <w:color w:val="000000" w:themeColor="text1"/>
                <w:sz w:val="22"/>
                <w:szCs w:val="22"/>
              </w:rPr>
              <w:t xml:space="preserve">Xã Phù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b w:val="0"/>
                <w:bCs w:val="0"/>
                <w:sz w:val="22"/>
                <w:szCs w:val="22"/>
              </w:rPr>
            </w:r>
            <w:r>
              <w:rPr>
                <w:b w:val="0"/>
                <w:bCs w:val="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sz w:val="22"/>
                <w:szCs w:val="22"/>
              </w:rPr>
            </w:pPr>
            <w:r>
              <w:rPr>
                <w:b w:val="0"/>
                <w:bCs w:val="0"/>
                <w:color w:val="000000" w:themeColor="text1"/>
                <w:sz w:val="22"/>
                <w:szCs w:val="22"/>
              </w:rPr>
              <w:t xml:space="preserve">Xã Phù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b w:val="0"/>
                <w:bCs w:val="0"/>
                <w:sz w:val="22"/>
                <w:szCs w:val="22"/>
              </w:rPr>
            </w:r>
            <w:r>
              <w:rPr>
                <w:b w:val="0"/>
                <w:bCs w:val="0"/>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https://guland.vn/post/ban-dat-phan-lo-nam-hong-dong-ky-tu-son-vi-tri-kinh-doanh-sam-uat-1993083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https://guland.vn/post/ban-dat-lo-goc-60m2-full-tho-cu-ngang-55m-gia-35-ty-tai-phuong-phu-khe-2220721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https://guland.vn/post/o-to-tranh-kinh-doanh-gia-dau-tu-ban-dat-62m2-full-tho-cu-ngang-46m-gia-335-ty-tai-phuong-phu-khe-2226682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0828897878</w:t>
            </w:r>
            <w:r>
              <w:rPr>
                <w:sz w:val="22"/>
                <w:szCs w:val="22"/>
              </w:rPr>
              <w:t xml:space="preserve"> </w:t>
            </w:r>
            <w:r>
              <w:rPr>
                <w:sz w:val="22"/>
                <w:szCs w:val="22"/>
              </w:rPr>
              <w:br/>
              <w:t xml:space="preserve">(</w:t>
            </w:r>
            <w:r>
              <w:rPr>
                <w:sz w:val="22"/>
                <w:szCs w:val="22"/>
              </w:rPr>
              <w:t xml:space="preserve">Duyệt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0828897878</w:t>
            </w:r>
            <w:r>
              <w:rPr>
                <w:sz w:val="22"/>
                <w:szCs w:val="22"/>
              </w:rPr>
              <w:br/>
            </w:r>
            <w:r>
              <w:rPr>
                <w:sz w:val="22"/>
                <w:szCs w:val="22"/>
              </w:rPr>
              <w:t xml:space="preserve">(</w:t>
            </w:r>
            <w:r>
              <w:rPr>
                <w:sz w:val="22"/>
                <w:szCs w:val="22"/>
              </w:rPr>
              <w:t xml:space="preserve">Duyệt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0828897878</w:t>
            </w:r>
            <w:r>
              <w:rPr>
                <w:sz w:val="22"/>
                <w:szCs w:val="22"/>
              </w:rPr>
              <w:br/>
            </w:r>
            <w:r>
              <w:rPr>
                <w:sz w:val="22"/>
                <w:szCs w:val="22"/>
              </w:rPr>
              <w:t xml:space="preserve">(</w:t>
            </w:r>
            <w:r>
              <w:rPr>
                <w:sz w:val="22"/>
                <w:szCs w:val="22"/>
              </w:rPr>
              <w:t xml:space="preserve">Duyệt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Cách Đường Nguyễn Văn Cừ khoảng 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Đồng Nguyên, Thị xã Từ Sơn, Tỉnh Bắc Ninh</w:t>
            </w:r>
            <w:r>
              <w:rPr>
                <w:b w:val="0"/>
                <w:bCs w:val="0"/>
                <w:color w:val="000000" w:themeColor="text1"/>
                <w:sz w:val="22"/>
                <w:szCs w:val="22"/>
              </w:rPr>
              <w:t xml:space="preserve">(</w:t>
            </w:r>
            <w:r>
              <w:rPr>
                <w:rFonts w:ascii="Times New Roman" w:hAnsi="Times New Roman" w:eastAsia="Times New Roman" w:cs="Times New Roman"/>
                <w:b w:val="0"/>
                <w:bCs w:val="0"/>
                <w:i/>
                <w:iCs/>
                <w:color w:val="000000"/>
                <w:sz w:val="24"/>
              </w:rPr>
              <w:t xml:space="preserve">Nay là phường Đồng Nguyên, tỉnh Bắc Ninh)</w:t>
            </w:r>
            <w:r>
              <w:rPr>
                <w:color w:val="000000" w:themeColor="text1"/>
                <w:sz w:val="22"/>
                <w:szCs w:val="22"/>
              </w:rPr>
              <w:t xml:space="preserve">, khoảng cách ra đường chính Tài sản nằm trong khu phân lô Nam Hồng, cách nguyễn văn cừ khoảng 400m, độ rộng đườn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49.653.465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48.629.032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5.015.000.000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3.015.000.000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49.653.465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48.629.032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49.653.465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48.629.032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49.653.465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48.629.032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49.653.465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48.629.032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 </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Cách Đường Nguyễn Văn Cừ khoảng 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Đồng Nguyên, Thị xã Từ Sơn, Tỉnh Bắc Ninh</w:t>
            </w:r>
            <w:r>
              <w:rPr>
                <w:b w:val="0"/>
                <w:bCs w:val="0"/>
                <w:color w:val="000000" w:themeColor="text1"/>
                <w:sz w:val="22"/>
                <w:szCs w:val="22"/>
              </w:rPr>
              <w:t xml:space="preserve">(</w:t>
            </w:r>
            <w:r>
              <w:rPr>
                <w:rFonts w:ascii="Times New Roman" w:hAnsi="Times New Roman" w:eastAsia="Times New Roman" w:cs="Times New Roman"/>
                <w:b w:val="0"/>
                <w:bCs w:val="0"/>
                <w:i/>
                <w:iCs/>
                <w:color w:val="000000"/>
                <w:sz w:val="24"/>
              </w:rPr>
              <w:t xml:space="preserve">Nay là phường Đồng Nguyên, tỉnh Bắc Ninh)</w:t>
            </w:r>
            <w:r>
              <w:rPr>
                <w:color w:val="000000" w:themeColor="text1"/>
                <w:sz w:val="22"/>
                <w:szCs w:val="22"/>
              </w:rPr>
              <w:t xml:space="preserve">, khoảng cách ra đường chính Tài sản nằm trong khu phân lô Nam Hồng, cách nguyễn văn cừ khoảng 400m, độ rộng đườn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 Khê, Thị xã Từ Sơn, Tỉnh Bắc Ninh</w:t>
            </w:r>
            <w:r>
              <w:rPr>
                <w:rFonts w:ascii="Times New Roman" w:hAnsi="Times New Roman" w:eastAsia="Times New Roman" w:cs="Times New Roman"/>
                <w:b w:val="0"/>
                <w:bCs w:val="0"/>
                <w:i/>
                <w:iCs/>
                <w:color w:val="000000"/>
                <w:sz w:val="24"/>
              </w:rPr>
              <w:t xml:space="preserve">(Nay là phường Phù Khê, tỉnh Bắc Ninh)</w:t>
            </w:r>
            <w:r>
              <w:rPr>
                <w:color w:val="000000" w:themeColor="text1"/>
                <w:sz w:val="22"/>
                <w:szCs w:val="22"/>
              </w:rPr>
              <w:t xml:space="preserve">, khoảng cách ra đường chính 300m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3.972.277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3.890.323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53.625.742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52.519.355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-1.489.604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52.136.138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52.519.355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1.458.871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52.136.138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58.275.000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53.978.226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993.069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-5.835.484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53.129.207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48.142.742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3.475.743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3.890.323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56.604.950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52.033.065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1.489.604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1.458.871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58.094.554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56.175.000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53.491.936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-1.489.604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56.604.950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53.491.936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56.604.950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53.491.936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54.898.962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12.909.901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17.850.000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16.533.872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6.951.485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4.862.904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-2,56</w:t>
      </w:r>
      <w:r>
        <w:t xml:space="preserve">% đến </w:t>
      </w:r>
      <w:r>
        <w:t xml:space="preserve">3,11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56.604.950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18.872.090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18.198.180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53.491.936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17.828.862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54.899.132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-Quyết định số 425/QĐ-BXD ngày 30 tháng 3 năm 2026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rFonts w:ascii="Times New Roman" w:hAnsi="Times New Roman" w:eastAsia="Times New Roman" w:cs="Times New Roman"/>
          <w:sz w:val="24"/>
        </w:rPr>
      </w:pPr>
      <w:r>
        <w:rPr>
          <w:rFonts w:ascii="Times New Roman" w:hAnsi="Times New Roman" w:eastAsia="Times New Roman" w:cs="Times New Roman"/>
          <w:i/>
          <w:color w:val="000000"/>
          <w:sz w:val="24"/>
        </w:rPr>
        <w:t xml:space="preserve">“S</w:t>
      </w:r>
      <w:r>
        <w:rPr>
          <w:rFonts w:ascii="Times New Roman" w:hAnsi="Times New Roman" w:eastAsia="Times New Roman" w:cs="Times New Roman"/>
          <w:i/>
          <w:color w:val="000000"/>
          <w:sz w:val="22"/>
          <w:szCs w:val="22"/>
        </w:rPr>
        <w:t xml:space="preserve">uất vốn đầy t</w:t>
      </w:r>
      <w:r>
        <w:rPr>
          <w:rFonts w:ascii="Times New Roman" w:hAnsi="Times New Roman" w:eastAsia="Times New Roman" w:cs="Times New Roman"/>
          <w:i/>
          <w:iCs/>
          <w:color w:val="000000"/>
          <w:sz w:val="22"/>
          <w:szCs w:val="22"/>
        </w:rPr>
        <w:t xml:space="preserve">ư</w:t>
      </w:r>
      <w:r>
        <w:rPr>
          <w:rFonts w:ascii="Times New Roman" w:hAnsi="Times New Roman" w:eastAsia="Times New Roman" w:cs="Times New Roman"/>
          <w:i/>
          <w:iCs/>
          <w:color w:val="000000"/>
          <w:sz w:val="22"/>
          <w:szCs w:val="22"/>
          <w:highlight w:val="none"/>
        </w:rPr>
        <w:t xml:space="preserve"> </w:t>
      </w:r>
      <w:r>
        <w:rPr>
          <w:rFonts w:ascii="Times New Roman" w:hAnsi="Times New Roman" w:eastAsia="Times New Roman" w:cs="Times New Roman"/>
          <w:i/>
          <w:iCs/>
          <w:color w:val="000000"/>
          <w:sz w:val="22"/>
          <w:szCs w:val="22"/>
          <w:highlight w:val="white"/>
        </w:rPr>
        <w:t xml:space="preserve">Nhà từ 4 đến 5 tầng, kết cấu khung chịu lực BTCT; tường bao xây gạch; sàn, mái BTCT đổ tại chỗ,</w:t>
      </w:r>
      <w:r>
        <w:rPr>
          <w:rFonts w:ascii="Times New Roman" w:hAnsi="Times New Roman" w:eastAsia="Times New Roman" w:cs="Times New Roman"/>
          <w:i/>
          <w:iCs/>
          <w:color w:val="000000"/>
          <w:sz w:val="22"/>
          <w:szCs w:val="22"/>
        </w:rPr>
        <w:t xml:space="preserve"> chỗ k</w:t>
      </w:r>
      <w:r>
        <w:rPr>
          <w:rFonts w:ascii="Times New Roman" w:hAnsi="Times New Roman" w:eastAsia="Times New Roman" w:cs="Times New Roman"/>
          <w:i/>
          <w:color w:val="000000"/>
          <w:sz w:val="22"/>
          <w:szCs w:val="22"/>
        </w:rPr>
        <w:t xml:space="preserve">hông có hầm. </w:t>
      </w:r>
      <w:r>
        <w:rPr>
          <w:rFonts w:ascii="Times New Roman" w:hAnsi="Times New Roman" w:eastAsia="Times New Roman" w:cs="Times New Roman"/>
          <w:i/>
          <w:color w:val="000000"/>
          <w:sz w:val="22"/>
          <w:szCs w:val="22"/>
        </w:rPr>
        <w:t xml:space="preserve">Diện tích xây dựng từ 90 - dưới 140m2</w:t>
      </w:r>
      <w:r>
        <w:rPr>
          <w:rFonts w:ascii="Times New Roman" w:hAnsi="Times New Roman" w:eastAsia="Times New Roman" w:cs="Times New Roman"/>
          <w:i/>
          <w:color w:val="000000"/>
          <w:sz w:val="24"/>
        </w:rPr>
        <w:t xml:space="preserve"> : 7.630.000 đồng/m² sàn.</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Bắc Ninh thuộc vùng 2 có hệ số điều chỉnh là 0,948.”</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7.630.000  x 0,948 = </w:t>
      </w:r>
      <w:r>
        <w:rPr>
          <w:rFonts w:ascii="Times New Roman" w:hAnsi="Times New Roman" w:eastAsia="Times New Roman" w:cs="Times New Roman"/>
          <w:i/>
          <w:color w:val="000000"/>
          <w:sz w:val="24"/>
        </w:rPr>
        <w:t xml:space="preserve">7.233.240</w:t>
      </w:r>
      <w:r>
        <w:rPr>
          <w:rFonts w:ascii="Times New Roman" w:hAnsi="Times New Roman" w:eastAsia="Times New Roman" w:cs="Times New Roman"/>
          <w:i/>
          <w:color w:val="000000"/>
          <w:sz w:val="24"/>
        </w:rPr>
        <w:t xml:space="preserve"> đồng/m² sàn. </w:t>
      </w:r>
      <w:r/>
    </w:p>
    <w:p>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i/>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53" w:lineRule="atLeast"/>
        <w:ind w:right="0"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53" w:lineRule="atLeast"/>
        <w:ind w:right="0"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53" w:lineRule="atLeast"/>
        <w:ind w:right="0"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 năm 2019, do vậy tổ thẩm định xác định tuổi đời hiệu quả của công trình là 7 năm.</w:t>
      </w:r>
      <w:r/>
    </w:p>
    <w:p>
      <w:pPr>
        <w:pBdr>
          <w:top w:val="none" w:color="000000" w:sz="4" w:space="0"/>
          <w:left w:val="none" w:color="000000" w:sz="4" w:space="0"/>
          <w:bottom w:val="none" w:color="000000" w:sz="4" w:space="0"/>
          <w:right w:val="none" w:color="000000" w:sz="4" w:space="0"/>
        </w:pBdr>
        <w:spacing w:after="120" w:before="120" w:line="253" w:lineRule="atLeast"/>
        <w:ind w:right="0" w:firstLine="284" w:left="0"/>
        <w:jc w:val="both"/>
        <w:rPr>
          <w:rFonts w:ascii="Times New Roman" w:hAnsi="Times New Roman" w:eastAsia="Times New Roman" w:cs="Times New Roman"/>
          <w:color w:val="ff0000"/>
          <w:sz w:val="24"/>
          <w:szCs w:val="24"/>
          <w:highlight w:val="none"/>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rPr>
          <w:rFonts w:ascii="Times New Roman" w:hAnsi="Times New Roman" w:eastAsia="Times New Roman" w:cs="Times New Roman"/>
          <w:color w:val="ff0000"/>
          <w:sz w:val="24"/>
          <w:szCs w:val="24"/>
          <w:highlight w:val="none"/>
        </w:rPr>
      </w:r>
      <w:r>
        <w:rPr>
          <w:rFonts w:ascii="Times New Roman" w:hAnsi="Times New Roman" w:eastAsia="Times New Roman" w:cs="Times New Roman"/>
          <w:color w:val="ff0000"/>
          <w:sz w:val="24"/>
          <w:szCs w:val="24"/>
          <w:highlight w:val="non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63"/>
        <w:gridCol w:w="1865"/>
        <w:gridCol w:w="2081"/>
        <w:gridCol w:w="2082"/>
        <w:gridCol w:w="2082"/>
        <w:gridCol w:w="2081"/>
      </w:tblGrid>
      <w:tr>
        <w:trPr>
          <w:trHeight w:val="6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6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Tỉ lệ hao mòn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86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w:t>
            </w:r>
            <w:r/>
          </w:p>
        </w:tc>
        <w:tc>
          <w:tcPr>
            <w:tcBorders>
              <w:bottom w:val="single" w:color="000000" w:sz="6" w:space="0"/>
              <w:right w:val="single" w:color="000000" w:sz="6" w:space="0"/>
            </w:tcBorders>
            <w:tcMar>
              <w:left w:w="0" w:type="dxa"/>
              <w:top w:w="0" w:type="dxa"/>
              <w:right w:w="0" w:type="dxa"/>
              <w:bottom w:w="0" w:type="dxa"/>
            </w:tcMar>
            <w:tcW w:w="186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2019</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w:t>
            </w:r>
            <w:r/>
          </w:p>
        </w:tc>
      </w:tr>
    </w:tbl>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1895"/>
      </w:tblGrid>
      <w:tr>
        <w:trPr>
          <w:trHeight w:val="310"/>
        </w:trPr>
        <w:tc>
          <w:tcPr>
            <w:tcBorders/>
            <w:tcMar>
              <w:left w:w="0" w:type="dxa"/>
              <w:top w:w="0" w:type="dxa"/>
              <w:right w:w="0" w:type="dxa"/>
              <w:bottom w:w="0" w:type="dxa"/>
            </w:tcMar>
            <w:tcW w:w="1189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Tổ thẩm định xác định tỉ lệ hao mòn của tài sản thẩm định là: 14%, tương đương tỷ lệ chất lượng còn lại của tài sản là: 86%</w:t>
            </w:r>
            <w:r/>
          </w:p>
        </w:tc>
      </w:tr>
    </w:tbl>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958"/>
      </w:tblGrid>
      <w:tr>
        <w:trPr>
          <w:trHeight w:val="310"/>
        </w:trPr>
        <w:tc>
          <w:tcPr>
            <w:tcBorders/>
            <w:tcMar>
              <w:left w:w="0" w:type="dxa"/>
              <w:top w:w="0" w:type="dxa"/>
              <w:right w:w="0" w:type="dxa"/>
              <w:bottom w:w="0" w:type="dxa"/>
            </w:tcMar>
            <w:tcW w:w="4958" w:type="dxa"/>
            <w:vAlign w:val="center"/>
            <w:textDirection w:val="lrTb"/>
            <w:noWrap/>
          </w:tcPr>
          <w:p>
            <w:pPr>
              <w:pBdr/>
              <w:spacing w:after="0" w:before="0" w:line="240" w:lineRule="auto"/>
              <w:ind/>
              <w:rPr/>
            </w:pPr>
            <w:r>
              <w:rPr>
                <w:rFonts w:ascii="Times New Roman" w:hAnsi="Times New Roman" w:eastAsia="Times New Roman" w:cs="Times New Roman"/>
                <w:b/>
                <w:i/>
                <w:color w:val="000000"/>
                <w:sz w:val="24"/>
              </w:rPr>
              <w:t xml:space="preserve">Xác định giá trị của công trình xây dựng trên đất:</w:t>
            </w:r>
            <w:r/>
          </w:p>
        </w:tc>
      </w:tr>
    </w:tbl>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1856"/>
        <w:gridCol w:w="2081"/>
        <w:gridCol w:w="2087"/>
        <w:gridCol w:w="2084"/>
        <w:gridCol w:w="2088"/>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xây dựng mới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 = (4) - (5)</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Nhà 4 tầng</w:t>
            </w:r>
            <w:r/>
          </w:p>
        </w:tc>
        <w:tc>
          <w:tcPr>
            <w:tcBorders>
              <w:bottom w:val="single" w:color="000000" w:sz="6" w:space="0"/>
              <w:right w:val="single" w:color="000000" w:sz="6" w:space="0"/>
            </w:tcBorders>
            <w:tcMar>
              <w:left w:w="0" w:type="dxa"/>
              <w:top w:w="0" w:type="dxa"/>
              <w:right w:w="0" w:type="dxa"/>
              <w:bottom w:w="0" w:type="dxa"/>
            </w:tcMar>
            <w:tcW w:w="18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368,7</w:t>
            </w:r>
            <w:r/>
          </w:p>
        </w:tc>
        <w:tc>
          <w:tcPr>
            <w:tcBorders/>
            <w:tcMar>
              <w:left w:w="0" w:type="dxa"/>
              <w:top w:w="0" w:type="dxa"/>
              <w:right w:w="0" w:type="dxa"/>
              <w:bottom w:w="0" w:type="dxa"/>
            </w:tcMar>
            <w:tcW w:w="20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7.233.240</w:t>
            </w:r>
            <w:r/>
          </w:p>
        </w:tc>
        <w:tc>
          <w:tcPr>
            <w:tcBorders>
              <w:left w:val="single" w:color="000000" w:sz="6" w:space="0"/>
              <w:bottom w:val="single" w:color="000000" w:sz="6" w:space="0"/>
              <w:right w:val="single" w:color="000000" w:sz="6" w:space="0"/>
            </w:tcBorders>
            <w:tcMar>
              <w:left w:w="0" w:type="dxa"/>
              <w:top w:w="0" w:type="dxa"/>
              <w:right w:w="0" w:type="dxa"/>
              <w:bottom w:w="0" w:type="dxa"/>
            </w:tcMar>
            <w:tcW w:w="208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2.666.895.588</w:t>
            </w:r>
            <w:r/>
          </w:p>
        </w:tc>
        <w:tc>
          <w:tcPr>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373.365.382</w:t>
            </w:r>
            <w:r/>
          </w:p>
        </w:tc>
        <w:tc>
          <w:tcPr>
            <w:tcBorders>
              <w:bottom w:val="single" w:color="000000" w:sz="6" w:space="0"/>
              <w:right w:val="single" w:color="000000" w:sz="6" w:space="0"/>
            </w:tcBorders>
            <w:tcMar>
              <w:left w:w="0" w:type="dxa"/>
              <w:top w:w="0" w:type="dxa"/>
              <w:right w:w="0" w:type="dxa"/>
              <w:bottom w:w="0" w:type="dxa"/>
            </w:tcMar>
            <w:tcW w:w="20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2.293.530.206</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185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Cộng:</w:t>
            </w:r>
            <w:r/>
          </w:p>
        </w:tc>
        <w:tc>
          <w:tcPr>
            <w:tcBorders>
              <w:bottom w:val="single" w:color="000000" w:sz="6" w:space="0"/>
              <w:right w:val="single" w:color="000000" w:sz="6" w:space="0"/>
            </w:tcBorders>
            <w:tcMar>
              <w:left w:w="0" w:type="dxa"/>
              <w:top w:w="0" w:type="dxa"/>
              <w:right w:w="0" w:type="dxa"/>
              <w:bottom w:w="0" w:type="dxa"/>
            </w:tcMar>
            <w:tcW w:w="18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r>
            <w:r/>
          </w:p>
        </w:tc>
        <w:tc>
          <w:tcPr>
            <w:tcBorders>
              <w:top w:val="single" w:color="000000" w:sz="6" w:space="0"/>
              <w:bottom w:val="single" w:color="000000" w:sz="6" w:space="0"/>
              <w:right w:val="single" w:color="000000" w:sz="6" w:space="0"/>
            </w:tcBorders>
            <w:tcMar>
              <w:left w:w="0" w:type="dxa"/>
              <w:top w:w="0" w:type="dxa"/>
              <w:right w:w="0" w:type="dxa"/>
              <w:bottom w:w="0" w:type="dxa"/>
            </w:tcMar>
            <w:tcW w:w="2081"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087" w:type="dxa"/>
            <w:vAlign w:val="bottom"/>
            <w:textDirection w:val="lrTb"/>
            <w:noWrap/>
          </w:tcPr>
          <w:p>
            <w:pPr>
              <w:pBdr/>
              <w:spacing w:after="0" w:before="0" w:line="240" w:lineRule="auto"/>
              <w:ind/>
              <w:rPr/>
            </w:pPr>
            <w:r>
              <w:rPr>
                <w:rFonts w:ascii="Calibri" w:hAnsi="Calibri" w:eastAsia="Calibri" w:cs="Calibr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373.365.382</w:t>
            </w:r>
            <w:r/>
          </w:p>
        </w:tc>
        <w:tc>
          <w:tcPr>
            <w:tcBorders>
              <w:bottom w:val="single" w:color="000000" w:sz="6" w:space="0"/>
              <w:right w:val="single" w:color="000000" w:sz="6" w:space="0"/>
            </w:tcBorders>
            <w:tcMar>
              <w:left w:w="0" w:type="dxa"/>
              <w:top w:w="0" w:type="dxa"/>
              <w:right w:w="0" w:type="dxa"/>
              <w:bottom w:w="0" w:type="dxa"/>
            </w:tcMar>
            <w:tcW w:w="208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2.293.530.206</w:t>
            </w:r>
            <w:r/>
          </w:p>
        </w:tc>
      </w:tr>
    </w:tbl>
    <w:p>
      <w:pPr>
        <w:pStyle w:val="1027"/>
        <w:pBdr/>
        <w:spacing w:after="120" w:before="120" w:line="276" w:lineRule="auto"/>
        <w:ind w:left="0"/>
        <w:jc w:val="both"/>
        <w:rPr>
          <w:b/>
          <w:lang w:val="pt-BR"/>
        </w:rPr>
      </w:pPr>
      <w:r>
        <w:rPr>
          <w:b/>
          <w:lang w:val="pt-BR"/>
        </w:rPr>
      </w:r>
      <w:r>
        <w:rPr>
          <w:b/>
          <w:lang w:val="pt-BR"/>
        </w:rPr>
      </w:r>
      <w:r>
        <w:rPr>
          <w:b/>
          <w:lang w:val="pt-BR"/>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1687"/>
        <w:gridCol w:w="1701"/>
        <w:gridCol w:w="1622"/>
        <w:gridCol w:w="1692"/>
        <w:gridCol w:w="2072"/>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68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62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692"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07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703"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và tài sản gắn liền với đất tại thửa đất số 106, tờ bản đồ số 32 có địa chỉ tại: Thôn Đông, Xã Phù Khê, thị xã Từ Sơn, tỉnh Bắc Ninh</w:t>
            </w:r>
            <w:r>
              <w:rPr>
                <w:rFonts w:ascii="Times New Roman" w:hAnsi="Times New Roman" w:eastAsia="Times New Roman" w:cs="Times New Roman"/>
                <w:b w:val="0"/>
                <w:bCs w:val="0"/>
                <w:i/>
                <w:iCs/>
                <w:color w:val="000000"/>
                <w:sz w:val="24"/>
              </w:rPr>
              <w:t xml:space="preserve"> (Nay là phường Phù Khê, tỉnh Bắc Ninh)</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 đất số CN 836486, số v</w:t>
            </w:r>
            <w:r>
              <w:rPr>
                <w:rFonts w:ascii="Times New Roman" w:hAnsi="Times New Roman" w:eastAsia="Times New Roman" w:cs="Times New Roman"/>
                <w:b w:val="0"/>
                <w:bCs w:val="0"/>
                <w:color w:val="000000"/>
                <w:sz w:val="24"/>
              </w:rPr>
              <w:t xml:space="preserve">ào sổ cấp GCN: CS 06911 do Sở Tài nguyên và Môi trường tỉnh Bắc Ninh cấp ngày 11/10/2018 cho ông Lê Văn Khoát và bà Nguyễn Thị Thu.</w:t>
            </w:r>
            <w:r>
              <w:rPr>
                <w:b/>
                <w:bCs/>
              </w:rPr>
            </w:r>
            <w:r>
              <w:rPr>
                <w:b/>
                <w:bCs/>
              </w:rPr>
            </w:r>
          </w:p>
        </w:tc>
        <w:tc>
          <w:tcPr>
            <w:shd w:val="clear" w:color="000000" w:fill="ffffff"/>
            <w:tcBorders/>
            <w:tcW w:w="207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687" w:type="dxa"/>
            <w:vAlign w:val="center"/>
            <w:textDirection w:val="lrTb"/>
            <w:noWrap w:val="false"/>
          </w:tcPr>
          <w:p>
            <w:pPr>
              <w:pBdr/>
              <w:spacing w:after="40" w:before="40" w:line="288" w:lineRule="auto"/>
              <w:ind/>
              <w:rPr/>
            </w:pPr>
            <w:r>
              <w:rPr>
                <w:b/>
                <w:bCs/>
              </w:rPr>
              <w:t xml:space="preserve">Đất ở nông thôn</w:t>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138,7</w:t>
            </w:r>
            <w:r>
              <w:rPr>
                <w:color w:val="000000"/>
              </w:rPr>
            </w:r>
            <w:r>
              <w:rPr>
                <w:color w:val="000000"/>
              </w:rPr>
            </w:r>
          </w:p>
        </w:tc>
        <w:tc>
          <w:tcPr>
            <w:shd w:val="clear" w:color="000000" w:fill="ffffff"/>
            <w:tcBorders/>
            <w:tcW w:w="1622" w:type="dxa"/>
            <w:vAlign w:val="center"/>
            <w:textDirection w:val="lrTb"/>
            <w:noWrap w:val="false"/>
          </w:tcPr>
          <w:p>
            <w:pPr>
              <w:pBdr/>
              <w:spacing w:after="40" w:before="40" w:line="288" w:lineRule="auto"/>
              <w:ind/>
              <w:jc w:val="center"/>
              <w:rPr/>
            </w:pPr>
            <w:r>
              <w:rPr>
                <w:color w:val="000000" w:themeColor="text1"/>
              </w:rPr>
              <w:t xml:space="preserve">55.000.000</w:t>
            </w:r>
            <w:r/>
          </w:p>
        </w:tc>
        <w:tc>
          <w:tcPr>
            <w:shd w:val="clear" w:color="000000" w:fill="ffffff"/>
            <w:tcBorders/>
            <w:tcW w:w="169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072" w:type="dxa"/>
            <w:vAlign w:val="center"/>
            <w:textDirection w:val="lrTb"/>
            <w:noWrap w:val="false"/>
          </w:tcPr>
          <w:p>
            <w:pPr>
              <w:pBdr/>
              <w:spacing w:after="40" w:before="40" w:line="288" w:lineRule="auto"/>
              <w:ind/>
              <w:jc w:val="center"/>
              <w:rPr/>
            </w:pPr>
            <w:r>
              <w:rPr>
                <w:color w:val="000000" w:themeColor="text1"/>
              </w:rPr>
              <w:t xml:space="preserve">7.628.500.000</w:t>
            </w: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687" w:type="dxa"/>
            <w:vAlign w:val="center"/>
            <w:textDirection w:val="lrTb"/>
            <w:noWrap w:val="false"/>
          </w:tcPr>
          <w:p>
            <w:pPr>
              <w:pBdr/>
              <w:spacing w:after="40" w:before="40" w:line="288" w:lineRule="auto"/>
              <w:ind/>
              <w:rPr/>
            </w:pPr>
            <w:r>
              <w:rPr>
                <w:b/>
                <w:bCs/>
              </w:rPr>
              <w:t xml:space="preserve">Nhà ở 4 tầng</w:t>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368,7</w:t>
            </w:r>
            <w:r>
              <w:rPr>
                <w:color w:val="000000"/>
              </w:rPr>
            </w:r>
            <w:r>
              <w:rPr>
                <w:color w:val="000000"/>
              </w:rPr>
            </w:r>
          </w:p>
        </w:tc>
        <w:tc>
          <w:tcPr>
            <w:shd w:val="clear" w:color="000000" w:fill="ffffff"/>
            <w:tcBorders/>
            <w:tcW w:w="1622" w:type="dxa"/>
            <w:vAlign w:val="center"/>
            <w:textDirection w:val="lrTb"/>
            <w:noWrap w:val="false"/>
          </w:tcPr>
          <w:p>
            <w:pPr>
              <w:pBdr/>
              <w:spacing w:after="40" w:before="40" w:line="288" w:lineRule="auto"/>
              <w:ind/>
              <w:jc w:val="center"/>
              <w:rPr/>
            </w:pPr>
            <w:r>
              <w:rPr>
                <w:color w:val="000000" w:themeColor="text1"/>
              </w:rPr>
              <w:t xml:space="preserve">7.233.240</w:t>
            </w:r>
            <w:r/>
          </w:p>
        </w:tc>
        <w:tc>
          <w:tcPr>
            <w:shd w:val="clear" w:color="000000" w:fill="ffffff"/>
            <w:tcBorders/>
            <w:tcW w:w="1692" w:type="dxa"/>
            <w:vAlign w:val="center"/>
            <w:textDirection w:val="lrTb"/>
            <w:noWrap w:val="false"/>
          </w:tcPr>
          <w:p>
            <w:pPr>
              <w:pBdr/>
              <w:spacing/>
              <w:ind/>
              <w:jc w:val="center"/>
              <w:rPr>
                <w:color w:val="000000" w:themeColor="text1"/>
              </w:rPr>
            </w:pPr>
            <w:r>
              <w:rPr>
                <w:color w:val="000000" w:themeColor="text1"/>
              </w:rPr>
              <w:t xml:space="preserve">86</w:t>
            </w:r>
            <w:r>
              <w:rPr>
                <w:color w:val="000000" w:themeColor="text1"/>
              </w:rPr>
            </w:r>
            <w:r>
              <w:rPr>
                <w:color w:val="000000" w:themeColor="text1"/>
              </w:rPr>
            </w:r>
          </w:p>
        </w:tc>
        <w:tc>
          <w:tcPr>
            <w:shd w:val="clear" w:color="000000" w:fill="ffffff"/>
            <w:tcBorders/>
            <w:tcW w:w="2072" w:type="dxa"/>
            <w:vAlign w:val="center"/>
            <w:textDirection w:val="lrTb"/>
            <w:noWrap w:val="false"/>
          </w:tcPr>
          <w:p>
            <w:pPr>
              <w:pBdr/>
              <w:spacing w:after="40" w:before="40" w:line="288" w:lineRule="auto"/>
              <w:ind/>
              <w:jc w:val="center"/>
              <w:rPr/>
            </w:pPr>
            <w:r>
              <w:rPr>
                <w:color w:val="000000" w:themeColor="text1"/>
              </w:rPr>
              <w:t xml:space="preserve">2.293.530.206</w:t>
            </w:r>
            <w:r/>
          </w:p>
        </w:tc>
      </w:tr>
      <w:tr>
        <w:trPr>
          <w:trHeight w:val="20"/>
        </w:trPr>
        <w:tc>
          <w:tcPr>
            <w:gridSpan w:val="5"/>
            <w:tcBorders/>
            <w:tcW w:w="7453"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072" w:type="dxa"/>
            <w:vAlign w:val="center"/>
            <w:textDirection w:val="lrTb"/>
            <w:noWrap/>
          </w:tcPr>
          <w:p>
            <w:pPr>
              <w:pBdr/>
              <w:spacing w:after="40" w:before="40" w:line="240" w:lineRule="auto"/>
              <w:ind/>
              <w:jc w:val="center"/>
              <w:rPr>
                <w:b/>
                <w:bCs/>
                <w:color w:val="000000"/>
              </w:rPr>
            </w:pPr>
            <w:r>
              <w:t xml:space="preserve">9.922.030.206</w:t>
            </w:r>
            <w:r>
              <w:rPr>
                <w:b/>
                <w:bCs/>
                <w:color w:val="000000"/>
              </w:rPr>
            </w:r>
            <w:r>
              <w:rPr>
                <w:b/>
                <w:bCs/>
                <w:color w:val="000000"/>
              </w:rPr>
            </w:r>
          </w:p>
        </w:tc>
      </w:tr>
      <w:tr>
        <w:trPr>
          <w:trHeight w:val="20"/>
        </w:trPr>
        <w:tc>
          <w:tcPr>
            <w:gridSpan w:val="5"/>
            <w:tcBorders/>
            <w:tcW w:w="7453"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072" w:type="dxa"/>
            <w:vAlign w:val="center"/>
            <w:textDirection w:val="lrTb"/>
            <w:noWrap/>
          </w:tcPr>
          <w:p>
            <w:pPr>
              <w:pBdr/>
              <w:spacing w:after="40" w:before="40" w:line="240" w:lineRule="auto"/>
              <w:ind/>
              <w:jc w:val="center"/>
              <w:rPr>
                <w:b/>
                <w:bCs/>
                <w:color w:val="000000"/>
              </w:rPr>
            </w:pPr>
            <w:r>
              <w:rPr>
                <w:b/>
                <w:bCs/>
                <w:color w:val="000000"/>
              </w:rPr>
              <w:t xml:space="preserve">9.922.000.000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chín trăm hai mươi hai triệu đồng </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275/2026/1013/VFI-CT.57.A</w:t>
      </w:r>
      <w:r>
        <w:rPr>
          <w:color w:val="ff0000"/>
          <w:lang w:val="vi-VN"/>
        </w:rPr>
        <w:t xml:space="preserve"> </w:t>
      </w:r>
      <w:r>
        <w:rPr>
          <w:color w:val="000000" w:themeColor="text1"/>
        </w:rPr>
        <w:t xml:space="preserve">ngày 6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275/2026/1013/VFI-BC.57.A</w:t>
      </w:r>
      <w:r>
        <w:rPr>
          <w:i/>
        </w:rPr>
        <w:t xml:space="preserve"> ngày</w:t>
      </w:r>
      <w:r>
        <w:rPr>
          <w:i/>
          <w:lang w:val="pt-BR"/>
        </w:rPr>
        <w:t xml:space="preserve"> </w:t>
      </w:r>
      <w:r>
        <w:rPr>
          <w:i/>
          <w:lang w:val="pt-BR"/>
        </w:rPr>
        <w:t xml:space="preserve">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364110" cy="30313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09464" name=""/>
                              <pic:cNvPicPr>
                                <a:picLocks noChangeAspect="1"/>
                              </pic:cNvPicPr>
                              <pic:nvPr/>
                            </pic:nvPicPr>
                            <pic:blipFill rotWithShape="1">
                              <a:blip r:embed="rId19"/>
                              <a:stretch/>
                            </pic:blipFill>
                            <pic:spPr bwMode="auto">
                              <a:xfrm flipH="0" flipV="0">
                                <a:off x="0" y="0"/>
                                <a:ext cx="1364110" cy="3031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7.41pt;height:238.6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88129" cy="20001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37573" name=""/>
                              <pic:cNvPicPr>
                                <a:picLocks noChangeAspect="1"/>
                              </pic:cNvPicPr>
                              <pic:nvPr/>
                            </pic:nvPicPr>
                            <pic:blipFill rotWithShape="1">
                              <a:blip r:embed="rId20"/>
                              <a:stretch/>
                            </pic:blipFill>
                            <pic:spPr bwMode="auto">
                              <a:xfrm flipH="0" flipV="0">
                                <a:off x="0" y="0"/>
                                <a:ext cx="2688129" cy="20001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66pt;height:157.4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cạnh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4942" cy="19934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37287" name=""/>
                              <pic:cNvPicPr>
                                <a:picLocks noChangeAspect="1"/>
                              </pic:cNvPicPr>
                              <pic:nvPr/>
                            </pic:nvPicPr>
                            <pic:blipFill rotWithShape="1">
                              <a:blip r:embed="rId21"/>
                              <a:stretch/>
                            </pic:blipFill>
                            <pic:spPr bwMode="auto">
                              <a:xfrm flipH="0" flipV="0">
                                <a:off x="0" y="0"/>
                                <a:ext cx="2674941" cy="1993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63pt;height:156.9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1691" cy="20545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16475" name=""/>
                              <pic:cNvPicPr>
                                <a:picLocks noChangeAspect="1"/>
                              </pic:cNvPicPr>
                              <pic:nvPr/>
                            </pic:nvPicPr>
                            <pic:blipFill rotWithShape="1">
                              <a:blip r:embed="rId22"/>
                              <a:stretch/>
                            </pic:blipFill>
                            <pic:spPr bwMode="auto">
                              <a:xfrm flipH="0" flipV="0">
                                <a:off x="0" y="0"/>
                                <a:ext cx="2731690" cy="20545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09pt;height:161.77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0210" cy="205686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65331" name=""/>
                              <pic:cNvPicPr>
                                <a:picLocks noChangeAspect="1"/>
                              </pic:cNvPicPr>
                              <pic:nvPr/>
                            </pic:nvPicPr>
                            <pic:blipFill rotWithShape="1">
                              <a:blip r:embed="rId23"/>
                              <a:stretch/>
                            </pic:blipFill>
                            <pic:spPr bwMode="auto">
                              <a:xfrm flipH="0" flipV="0">
                                <a:off x="0" y="0"/>
                                <a:ext cx="2770209" cy="2056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13pt;height:161.9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2688" cy="204637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3354" name=""/>
                              <pic:cNvPicPr>
                                <a:picLocks noChangeAspect="1"/>
                              </pic:cNvPicPr>
                              <pic:nvPr/>
                            </pic:nvPicPr>
                            <pic:blipFill rotWithShape="1">
                              <a:blip r:embed="rId24"/>
                              <a:stretch/>
                            </pic:blipFill>
                            <pic:spPr bwMode="auto">
                              <a:xfrm flipH="0" flipV="0">
                                <a:off x="0" y="0"/>
                                <a:ext cx="2742687" cy="20463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5.96pt;height:161.1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275/2026/1013/VFI-BC.57.A</w:t>
      </w:r>
      <w:r>
        <w:rPr>
          <w:i/>
        </w:rPr>
        <w:t xml:space="preserve"> ngày</w:t>
      </w:r>
      <w:r>
        <w:rPr>
          <w:i/>
          <w:lang w:val="pt-BR"/>
        </w:rPr>
        <w:t xml:space="preserve"> </w:t>
      </w:r>
      <w:r>
        <w:rPr>
          <w:i/>
          <w:lang w:val="pt-BR"/>
        </w:rPr>
        <w:t xml:space="preserve">6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https://guland.vn/post/ban-dat-phan-lo-nam-hong-dong-ky-tu-son-vi-tri-kinh-doanh-sam-uat-1993083</w:t>
            </w:r>
            <w:r>
              <w:rPr>
                <w:color w:val="000000" w:themeColor="text1"/>
                <w:sz w:val="22"/>
                <w:szCs w:val="22"/>
              </w:rPr>
              <w:br/>
              <w:t xml:space="preserve">tel:0828897878</w:t>
            </w:r>
            <w:r>
              <w:rPr>
                <w:sz w:val="22"/>
                <w:szCs w:val="22"/>
              </w:rPr>
              <w:t xml:space="preserve"> </w:t>
            </w:r>
            <w:r>
              <w:rPr>
                <w:sz w:val="22"/>
                <w:szCs w:val="22"/>
              </w:rPr>
              <w:br/>
              <w:t xml:space="preserve">(Duyệt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Đồng Nguyên, Thị xã Từ Sơn, Tỉnh Bắc Ninh, khoảng cách ra đường chính Tài sản nằm trong khu phân lô Nam Hồng, cách nguyễn văn cừ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64240" cy="164189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264239" cy="16418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57.03pt;height:129.2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63965" cy="18981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903760515" name="" descr=""/>
                              <pic:cNvPicPr/>
                              <pic:nvPr/>
                            </pic:nvPicPr>
                            <pic:blipFill rotWithShape="1">
                              <a:blip r:embed="rId26"/>
                              <a:stretch/>
                            </pic:blipFill>
                            <pic:spPr bwMode="auto">
                              <a:xfrm rot="0" flipH="0" flipV="0">
                                <a:off x="0" y="0"/>
                                <a:ext cx="1063964" cy="1898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3.78pt;height:149.46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Minh Phúc</w:t>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https://guland.vn/post/ban-dat-lo-goc-60m2-full-tho-cu-ngang-55m-gia-35-ty-tai-phuong-phu-khe-2220721</w:t>
            </w:r>
            <w:r>
              <w:rPr>
                <w:color w:val="000000" w:themeColor="text1"/>
                <w:sz w:val="22"/>
                <w:szCs w:val="22"/>
              </w:rPr>
              <w:br/>
              <w:t xml:space="preserve">0828897878</w:t>
            </w:r>
            <w:r>
              <w:rPr>
                <w:sz w:val="22"/>
                <w:szCs w:val="22"/>
              </w:rPr>
              <w:t xml:space="preserve"> </w:t>
            </w:r>
            <w:r>
              <w:rPr>
                <w:sz w:val="22"/>
                <w:szCs w:val="22"/>
              </w:rPr>
              <w:br/>
              <w:t xml:space="preserve">(Duyệt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 Khê, Thị xã Từ Sơn, Tỉnh Bắc Ninh, khoảng cách ra đường chính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9606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7960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6.3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7010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5701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8.5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72633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7263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0.8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https://guland.vn/post/o-to-tranh-kinh-doanh-gia-dau-tu-ban-dat-62m2-full-tho-cu-ngang-46m-gia-335-ty-tai-phuong-phu-khe-2226682</w:t>
            </w:r>
            <w:r>
              <w:rPr>
                <w:color w:val="000000" w:themeColor="text1"/>
                <w:sz w:val="22"/>
                <w:szCs w:val="22"/>
              </w:rPr>
              <w:br/>
            </w:r>
            <w:r>
              <w:rPr>
                <w:sz w:val="22"/>
                <w:szCs w:val="22"/>
              </w:rPr>
              <w:t xml:space="preserve">SĐT: </w:t>
            </w:r>
            <w:r>
              <w:rPr>
                <w:color w:val="000000" w:themeColor="text1"/>
                <w:sz w:val="22"/>
                <w:szCs w:val="22"/>
              </w:rPr>
              <w:t xml:space="preserve">0828897878</w:t>
            </w:r>
            <w:r>
              <w:rPr>
                <w:sz w:val="22"/>
                <w:szCs w:val="22"/>
              </w:rPr>
              <w:t xml:space="preserve"> </w:t>
            </w:r>
            <w:r>
              <w:rPr>
                <w:sz w:val="22"/>
                <w:szCs w:val="22"/>
              </w:rPr>
              <w:br/>
              <w:t xml:space="preserve">(Duyệt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 Khê, Thị xã Từ Sơn, Tỉnh Bắc Ninh, khoảng cách ra đường chính 300m, độ rộng đường trước mặt tài sản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1903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70190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52.6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1344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8134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57.7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78350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7835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5.39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HỐ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96315" cy="753142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218755" name=""/>
                        <pic:cNvPicPr>
                          <a:picLocks noChangeAspect="1"/>
                        </pic:cNvPicPr>
                        <pic:nvPr/>
                      </pic:nvPicPr>
                      <pic:blipFill rotWithShape="1">
                        <a:blip r:embed="rId34"/>
                        <a:stretch/>
                      </pic:blipFill>
                      <pic:spPr bwMode="auto">
                        <a:xfrm flipH="0" flipV="0">
                          <a:off x="0" y="0"/>
                          <a:ext cx="5896314" cy="7531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4.28pt;height:593.03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707638" cy="595346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76713" name=""/>
                        <pic:cNvPicPr>
                          <a:picLocks noChangeAspect="1"/>
                        </pic:cNvPicPr>
                        <pic:nvPr/>
                      </pic:nvPicPr>
                      <pic:blipFill rotWithShape="1">
                        <a:blip r:embed="rId35"/>
                        <a:stretch/>
                      </pic:blipFill>
                      <pic:spPr bwMode="auto">
                        <a:xfrm rot="16199969" flipH="0" flipV="0">
                          <a:off x="0" y="0"/>
                          <a:ext cx="8707637" cy="5953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685.64pt;height:468.78pt;mso-wrap-distance-left:0.00pt;mso-wrap-distance-top:0.00pt;mso-wrap-distance-right:0.00pt;mso-wrap-distance-bottom:0.00pt;rotation:269;z-index:1;" stroked="false">
                <v:imagedata r:id="rId35"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762750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21133" name=""/>
                        <pic:cNvPicPr>
                          <a:picLocks noChangeAspect="1"/>
                        </pic:cNvPicPr>
                        <pic:nvPr/>
                      </pic:nvPicPr>
                      <pic:blipFill rotWithShape="1">
                        <a:blip r:embed="rId36"/>
                        <a:stretch/>
                      </pic:blipFill>
                      <pic:spPr bwMode="auto">
                        <a:xfrm>
                          <a:off x="0" y="0"/>
                          <a:ext cx="6048374" cy="7627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00.59pt;mso-wrap-distance-left:0.00pt;mso-wrap-distance-top:0.00pt;mso-wrap-distance-right:0.00pt;mso-wrap-distance-bottom:0.00pt;z-index:1;" stroked="false">
                <v:imagedata r:id="rId36"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776521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71235" name=""/>
                        <pic:cNvPicPr>
                          <a:picLocks noChangeAspect="1"/>
                        </pic:cNvPicPr>
                        <pic:nvPr/>
                      </pic:nvPicPr>
                      <pic:blipFill rotWithShape="1">
                        <a:blip r:embed="rId37"/>
                        <a:stretch/>
                      </pic:blipFill>
                      <pic:spPr bwMode="auto">
                        <a:xfrm>
                          <a:off x="0" y="0"/>
                          <a:ext cx="6048374" cy="7765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11.43pt;mso-wrap-distance-left:0.00pt;mso-wrap-distance-top:0.00pt;mso-wrap-distance-right:0.00pt;mso-wrap-distance-bottom:0.00pt;z-index:1;" stroked="false">
                <v:imagedata r:id="rId37"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68912"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BCAEB2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514</cp:revision>
  <dcterms:created xsi:type="dcterms:W3CDTF">2025-09-15T02:01:00Z</dcterms:created>
  <dcterms:modified xsi:type="dcterms:W3CDTF">2026-07-07T02:09:32Z</dcterms:modified>
</cp:coreProperties>
</file>