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lef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588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588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275/2026/1139/VFI-CT.69.A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Hồng Trường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w:t>
                            </w:r>
                            <w:r>
                              <w:rPr>
                                <w:color w:val="000000" w:themeColor="text1"/>
                              </w:rPr>
                              <w:t xml:space="preserve">n sở hữu căn hộ chung cư số AQL22111, toà nhà LAKE 2 (A1), Khu căn hộ Vịnh Thuỷ (Aqua Bay) k</w:t>
                            </w:r>
                            <w:r>
                              <w:rPr>
                                <w:color w:val="000000"/>
                              </w:rPr>
                              <w:t xml:space="preserve">hu đô thị Thương mại và Du lịch Văn Giang, có địa chỉ tại xã Phụng Công, huyện Văn Giang, tỉnh Hưng Yên (Nay là xã Phụng Công, tỉnh Hưng Yên) theo Giấy chứng nhận q</w:t>
                            </w:r>
                            <w:r>
                              <w:rPr>
                                <w:color w:val="000000"/>
                              </w:rPr>
                              <w:t xml:space="preserve">uyền sử dụng đất, quyền sở hữu nhà ở và tài sản khác gắn liền với đất số CV 446722, số vào sổ cấp GCN: CS05625 do Sở Tài nguyên và Môi trường tỉnh Hưng Yên cấp ngày 27/7/2021; chủ sở hữu căn hộ chung cư là Ông Nguyễn Hồng Trường và Bà Dương Thị Minh Thanh.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3.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275/2026/1139/VFI-CT.69.A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Hồng Trường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w:t>
                      </w:r>
                      <w:r>
                        <w:rPr>
                          <w:color w:val="000000" w:themeColor="text1"/>
                        </w:rPr>
                        <w:t xml:space="preserve">n sở hữu căn hộ chung cư số AQL22111, toà nhà LAKE 2 (A1), Khu căn hộ Vịnh Thuỷ (Aqua Bay) k</w:t>
                      </w:r>
                      <w:r>
                        <w:rPr>
                          <w:color w:val="000000"/>
                        </w:rPr>
                        <w:t xml:space="preserve">hu đô thị Thương mại và Du lịch Văn Giang, có địa chỉ tại xã Phụng Công, huyện Văn Giang, tỉnh Hưng Yên (Nay là xã Phụng Công, tỉnh Hưng Yên) theo Giấy chứng nhận q</w:t>
                      </w:r>
                      <w:r>
                        <w:rPr>
                          <w:color w:val="000000"/>
                        </w:rPr>
                        <w:t xml:space="preserve">uyền sử dụng đất, quyền sở hữu nhà ở và tài sản khác gắn liền với đất số CV 446722, số vào sổ cấp GCN: CS05625 do Sở Tài nguyên và Môi trường tỉnh Hưng Yên cấp ngày 27/7/2021; chủ sở hữu căn hộ chung cư là Ông Nguyễn Hồng Trường và Bà Dương Thị Minh Thanh.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4-23</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24-25</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26-29</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29"/>
        <w:gridCol w:w="3543"/>
        <w:gridCol w:w="6378"/>
      </w:tblGrid>
      <w:tr>
        <w:trPr>
          <w:trHeight w:val="1152"/>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37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543"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275/2026/1139/VFI-CT.69.A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378"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27 tháng 7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Hồng Trường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275/2026/1139/VFI-HĐTĐ.69.A</w:t>
      </w:r>
      <w:r>
        <w:rPr>
          <w:spacing w:val="-4"/>
          <w:lang w:val="vi-VN"/>
        </w:rPr>
        <w:t xml:space="preserve"> ký ngày </w:t>
      </w:r>
      <w:r>
        <w:rPr>
          <w:color w:val="000000" w:themeColor="text1"/>
          <w:spacing w:val="-4"/>
        </w:rPr>
        <w:t xml:space="preserve">24 tháng 7 năm 2026</w:t>
      </w:r>
      <w:r>
        <w:rPr>
          <w:spacing w:val="-4"/>
          <w:lang w:val="vi-VN"/>
        </w:rPr>
        <w:t xml:space="preserve"> </w:t>
      </w:r>
      <w:r>
        <w:rPr>
          <w:spacing w:val="-4"/>
          <w:lang w:val="vi-VN"/>
        </w:rPr>
        <w:t xml:space="preserve">giữa </w:t>
      </w:r>
      <w:r>
        <w:rPr>
          <w:color w:val="000000" w:themeColor="text1"/>
          <w:spacing w:val="-4"/>
        </w:rPr>
        <w:t xml:space="preserve">Ông Nguyễn Hồng Trường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275/2026/1139/VFI-BC.69.A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27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w:t>
            </w:r>
            <w:r>
              <w:rPr>
                <w:b/>
                <w:bCs/>
              </w:rPr>
              <w:t xml:space="preserve">Ng</w:t>
            </w:r>
            <w:r>
              <w:rPr>
                <w:b/>
                <w:bCs/>
              </w:rPr>
              <w:t xml:space="preserve">uyễn </w:t>
            </w:r>
            <w:r>
              <w:rPr>
                <w:b/>
                <w:bCs/>
              </w:rPr>
              <w:t xml:space="preserve">Hồng </w:t>
            </w:r>
            <w:r>
              <w:rPr>
                <w:b/>
                <w:bCs/>
              </w:rPr>
              <w:t xml:space="preserve">Trường </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033079001724</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116 </w:t>
            </w:r>
            <w:r>
              <w:rPr>
                <w:color w:val="000000" w:themeColor="text1"/>
                <w:lang w:val="vi-VN"/>
              </w:rPr>
              <w:t xml:space="preserve">Nguyễn </w:t>
            </w:r>
            <w:r>
              <w:rPr>
                <w:color w:val="000000" w:themeColor="text1"/>
                <w:lang w:val="vi-VN"/>
              </w:rPr>
              <w:t xml:space="preserve">H</w:t>
            </w:r>
            <w:r>
              <w:rPr>
                <w:color w:val="000000" w:themeColor="text1"/>
                <w:lang w:val="vi-VN"/>
              </w:rPr>
              <w:t xml:space="preserve">uệ, </w:t>
            </w:r>
            <w:r>
              <w:rPr>
                <w:color w:val="000000" w:themeColor="text1"/>
                <w:lang w:val="vi-VN"/>
              </w:rPr>
              <w:t xml:space="preserve">phường </w:t>
            </w:r>
            <w:r>
              <w:rPr>
                <w:color w:val="000000" w:themeColor="text1"/>
                <w:lang w:val="vi-VN"/>
              </w:rPr>
              <w:t xml:space="preserve">Lê </w:t>
            </w:r>
            <w:r>
              <w:rPr>
                <w:color w:val="000000" w:themeColor="text1"/>
                <w:lang w:val="vi-VN"/>
              </w:rPr>
              <w:t xml:space="preserve">Lợi, </w:t>
            </w:r>
            <w:r>
              <w:rPr>
                <w:color w:val="000000" w:themeColor="text1"/>
                <w:lang w:val="vi-VN"/>
              </w:rPr>
              <w:t xml:space="preserve">thành </w:t>
            </w:r>
            <w:r>
              <w:rPr>
                <w:color w:val="000000" w:themeColor="text1"/>
                <w:lang w:val="vi-VN"/>
              </w:rPr>
              <w:t xml:space="preserve">phố </w:t>
            </w:r>
            <w:r>
              <w:rPr>
                <w:color w:val="000000" w:themeColor="text1"/>
                <w:lang w:val="vi-VN"/>
              </w:rPr>
              <w:t xml:space="preserve">Hưng </w:t>
            </w:r>
            <w:r>
              <w:rPr>
                <w:color w:val="000000" w:themeColor="text1"/>
                <w:lang w:val="vi-VN"/>
              </w:rPr>
              <w:t xml:space="preserve">Yên, </w:t>
            </w:r>
            <w:r>
              <w:rPr>
                <w:color w:val="000000" w:themeColor="text1"/>
                <w:lang w:val="vi-VN"/>
              </w:rPr>
              <w:t xml:space="preserve">tỉnh </w:t>
            </w:r>
            <w:r>
              <w:rPr>
                <w:color w:val="000000" w:themeColor="text1"/>
                <w:lang w:val="vi-VN"/>
              </w:rPr>
              <w:t xml:space="preserve">H</w:t>
            </w:r>
            <w:r>
              <w:rPr>
                <w:color w:val="000000" w:themeColor="text1"/>
                <w:lang w:val="vi-VN"/>
              </w:rPr>
              <w:t xml:space="preserve">ưng </w:t>
            </w:r>
            <w:r>
              <w:rPr>
                <w:color w:val="000000" w:themeColor="text1"/>
                <w:lang w:val="vi-VN"/>
              </w:rPr>
              <w:t xml:space="preserve">Yên. </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w:t>
      </w:r>
      <w:r>
        <w:rPr>
          <w:color w:val="000000" w:themeColor="text1"/>
        </w:rPr>
        <w:t xml:space="preserve">n sở hữu căn hộ chung cư số AQL22111, toà nhà LAKE 2 (A1), Khu căn hộ Vịnh Thuỷ (Aqua Bay) khu đô thị Thương mại và Du lịch Văn Giang, có địa chỉ tại xã Phụng Công, huyện Văn Giang, tỉnh Hưng Yên (Nay là xã Phụng Công, tỉnh Hưng Yên) theo Giấy chứng nhận q</w:t>
      </w:r>
      <w:r>
        <w:rPr>
          <w:color w:val="000000" w:themeColor="text1"/>
        </w:rPr>
        <w:t xml:space="preserve">uyền sử dụng đất, quyền sở hữu nhà ở và tài sản khác gắn liền với đất số CV 446722, số vào sổ cấp GCN: CS05625 do Sở Tài nguyên và Môi trường tỉnh Hưng Yên cấp ngày 27/7/2021; chủ sở hữu căn hộ chung cư là Ông Nguyễn Hồng Trường và Bà Dương Thị Minh Thanh.</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w:t>
            </w:r>
            <w:r>
              <w:rPr>
                <w:color w:val="000000"/>
              </w:rPr>
              <w:t xml:space="preserve">n sở hữu căn hộ chung cư số AQL22111, toà nhà LAKE 2 (A1), Khu căn hộ Vịnh Thuỷ (Aqua Bay) khu đô thị Thương mại và Du lịch Văn Giang, có địa chỉ tại xã Phụng Công, huyện Văn Giang, tỉnh Hưng Yên (Nay là xã Phụng Công, tỉnh Hưng Yên) theo Giấy chứng nhận q</w:t>
            </w:r>
            <w:r>
              <w:rPr>
                <w:color w:val="000000"/>
              </w:rPr>
              <w:t xml:space="preserve">uyền sử dụng đất, quyền sở hữu nhà ở và tài sản khác gắn liền với đất số CV 446722, số vào sổ cấp GCN: CS05625 do Sở Tài nguyên và Môi trường tỉnh Hưng Yên cấp ngày 27/7/2021; chủ sở hữu căn hộ chung cư là Ông Nguyễn Hồng Trường và Bà Dương Thị Minh Thanh.</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Căn </w:t>
            </w:r>
            <w:r>
              <w:rPr>
                <w:b w:val="0"/>
                <w:bCs w:val="0"/>
              </w:rPr>
              <w:t xml:space="preserve">hộ </w:t>
            </w:r>
            <w:r>
              <w:rPr>
                <w:b w:val="0"/>
                <w:bCs w:val="0"/>
              </w:rPr>
              <w:t xml:space="preserve">chung </w:t>
            </w:r>
            <w:r>
              <w:rPr>
                <w:b w:val="0"/>
                <w:bCs w:val="0"/>
              </w:rPr>
              <w:t xml:space="preserve">cư</w:t>
            </w:r>
            <w:r>
              <w:rPr>
                <w:b w:val="0"/>
                <w:bCs w:val="0"/>
              </w:rPr>
            </w:r>
            <w:r>
              <w:rPr>
                <w:b w:val="0"/>
                <w:bCs w:val="0"/>
              </w:rPr>
            </w:r>
          </w:p>
        </w:tc>
        <w:tc>
          <w:tcPr>
            <w:tcBorders/>
            <w:tcW w:w="946" w:type="pct"/>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109,13</w:t>
            </w:r>
            <w:r>
              <w:rPr>
                <w:b w:val="0"/>
                <w:bCs w:val="0"/>
                <w:color w:val="000000"/>
              </w:rPr>
            </w:r>
            <w:r>
              <w:rPr>
                <w:b w:val="0"/>
                <w:bCs w:val="0"/>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70.000.000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7.639.100.000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7.639.100.000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7.639.000.000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sáu trăm ba mươi chín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3543"/>
        <w:gridCol w:w="6520"/>
      </w:tblGrid>
      <w:tr>
        <w:trPr>
          <w:trHeight w:val="1843"/>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5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da-DK"/>
              </w:rPr>
              <w:t xml:space="preserve">Website: ilotus.com.vn</w:t>
            </w:r>
            <w:r>
              <w:rPr>
                <w:lang w:val="da-DK"/>
              </w:rPr>
            </w:r>
            <w:r>
              <w:rPr>
                <w:lang w:val="da-DK"/>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275/2026/1139/VFI-</w:t>
            </w:r>
            <w:r>
              <w:rPr>
                <w:rStyle w:val="1023"/>
                <w:rFonts w:ascii="Times New Roman" w:hAnsi="Times New Roman"/>
                <w:color w:val="000000" w:themeColor="text1"/>
                <w:lang w:val="pt-BR"/>
              </w:rPr>
              <w:t xml:space="preserve">BC</w:t>
            </w:r>
            <w:r>
              <w:rPr>
                <w:rStyle w:val="1023"/>
                <w:rFonts w:ascii="Times New Roman" w:hAnsi="Times New Roman"/>
                <w:color w:val="000000" w:themeColor="text1"/>
                <w:lang w:val="pt-BR"/>
              </w:rPr>
              <w:t xml:space="preserve">.69.A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520"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27 tháng 7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auto" w:fill="auto"/>
            <w:tcBorders/>
            <w:tcMar>
              <w:left w:w="108" w:type="dxa"/>
              <w:top w:w="0" w:type="dxa"/>
              <w:right w:w="108" w:type="dxa"/>
              <w:bottom w:w="0" w:type="dxa"/>
            </w:tcMar>
            <w:tcW w:w="6520"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275/2026/1139/VFI-CT.69.A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27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w:t>
            </w:r>
            <w:r>
              <w:rPr>
                <w:b/>
                <w:bCs/>
              </w:rPr>
              <w:t xml:space="preserve">Ng</w:t>
            </w:r>
            <w:r>
              <w:rPr>
                <w:b/>
                <w:bCs/>
              </w:rPr>
              <w:t xml:space="preserve">uyễn </w:t>
            </w:r>
            <w:r>
              <w:rPr>
                <w:b/>
                <w:bCs/>
              </w:rPr>
              <w:t xml:space="preserve">Hồng </w:t>
            </w:r>
            <w:r>
              <w:rPr>
                <w:b/>
                <w:bCs/>
              </w:rPr>
              <w:t xml:space="preserve">Trường </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033079001724</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116 </w:t>
            </w:r>
            <w:r>
              <w:rPr>
                <w:color w:val="000000" w:themeColor="text1"/>
                <w:lang w:val="vi-VN"/>
              </w:rPr>
              <w:t xml:space="preserve">Nguyễn </w:t>
            </w:r>
            <w:r>
              <w:rPr>
                <w:color w:val="000000" w:themeColor="text1"/>
                <w:lang w:val="vi-VN"/>
              </w:rPr>
              <w:t xml:space="preserve">H</w:t>
            </w:r>
            <w:r>
              <w:rPr>
                <w:color w:val="000000" w:themeColor="text1"/>
                <w:lang w:val="vi-VN"/>
              </w:rPr>
              <w:t xml:space="preserve">uệ, </w:t>
            </w:r>
            <w:r>
              <w:rPr>
                <w:color w:val="000000" w:themeColor="text1"/>
                <w:lang w:val="vi-VN"/>
              </w:rPr>
              <w:t xml:space="preserve">phường </w:t>
            </w:r>
            <w:r>
              <w:rPr>
                <w:color w:val="000000" w:themeColor="text1"/>
                <w:lang w:val="vi-VN"/>
              </w:rPr>
              <w:t xml:space="preserve">Lê </w:t>
            </w:r>
            <w:r>
              <w:rPr>
                <w:color w:val="000000" w:themeColor="text1"/>
                <w:lang w:val="vi-VN"/>
              </w:rPr>
              <w:t xml:space="preserve">Lợi, </w:t>
            </w:r>
            <w:r>
              <w:rPr>
                <w:color w:val="000000" w:themeColor="text1"/>
                <w:lang w:val="vi-VN"/>
              </w:rPr>
              <w:t xml:space="preserve">thành </w:t>
            </w:r>
            <w:r>
              <w:rPr>
                <w:color w:val="000000" w:themeColor="text1"/>
                <w:lang w:val="vi-VN"/>
              </w:rPr>
              <w:t xml:space="preserve">phố </w:t>
            </w:r>
            <w:r>
              <w:rPr>
                <w:color w:val="000000" w:themeColor="text1"/>
                <w:lang w:val="vi-VN"/>
              </w:rPr>
              <w:t xml:space="preserve">Hưng </w:t>
            </w:r>
            <w:r>
              <w:rPr>
                <w:color w:val="000000" w:themeColor="text1"/>
                <w:lang w:val="vi-VN"/>
              </w:rPr>
              <w:t xml:space="preserve">Yên, </w:t>
            </w:r>
            <w:r>
              <w:rPr>
                <w:color w:val="000000" w:themeColor="text1"/>
                <w:lang w:val="vi-VN"/>
              </w:rPr>
              <w:t xml:space="preserve">tỉnh </w:t>
            </w:r>
            <w:r>
              <w:rPr>
                <w:color w:val="000000" w:themeColor="text1"/>
                <w:lang w:val="vi-VN"/>
              </w:rPr>
              <w:t xml:space="preserve">H</w:t>
            </w:r>
            <w:r>
              <w:rPr>
                <w:color w:val="000000" w:themeColor="text1"/>
                <w:lang w:val="vi-VN"/>
              </w:rPr>
              <w:t xml:space="preserve">ưng </w:t>
            </w:r>
            <w:r>
              <w:rPr>
                <w:color w:val="000000" w:themeColor="text1"/>
                <w:lang w:val="vi-VN"/>
              </w:rPr>
              <w:t xml:space="preserve">Yên. </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w:t>
            </w:r>
            <w:r>
              <w:rPr>
                <w:bCs/>
                <w:color w:val="000000" w:themeColor="text1"/>
                <w:lang w:val="pt-BR"/>
              </w:rPr>
              <w:t xml:space="preserve">n sở hữu căn hộ chung cư số AQL22111, toà nhà LAKE 2 (A1), Khu căn hộ Vịnh Thuỷ (Aqua Bay) khu đô thị Thương mại và Du lịch Văn Giang, có địa chỉ tại xã Phụng Công, huyện Văn Giang, tỉnh Hưng Yên (Nay là xã Phụng Công, tỉnh Hưng Yên) theo Giấy chứng nhận q</w:t>
            </w:r>
            <w:r>
              <w:rPr>
                <w:bCs/>
                <w:color w:val="000000" w:themeColor="text1"/>
                <w:lang w:val="pt-BR"/>
              </w:rPr>
              <w:t xml:space="preserve">uyền sử dụng đất, quyền sở hữu nhà ở và tài sản khác gắn liền với đất số CV 446722, số vào sổ cấp GCN: CS05625 do Sở Tài nguyên và Môi trường tỉnh Hưng Yên cấp ngày 27/7/2021; chủ sở hữu căn hộ chung cư là Ông Nguyễn Hồng Trường và Bà Dương Thị Minh Thanh.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Phụng Công, Huyện Văn Giang, Tỉnh Hưng Yên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20.9517999, 105.9382877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r>
            <w:commentRangeStart w:id="0"/>
            <w:r>
              <w:rPr>
                <w:lang w:val="pt-BR"/>
              </w:rPr>
              <w:t xml:space="preserve">Ngày </w:t>
            </w:r>
            <w:r>
              <w:rPr>
                <w:lang w:val="pt-BR"/>
              </w:rPr>
              <w:t xml:space="preserve">20/07/2026</w:t>
            </w:r>
            <w:r>
              <w:rPr>
                <w:lang w:val="pt-BR"/>
              </w:rPr>
              <w:t xml:space="preserve">.</w:t>
            </w:r>
            <w:r>
              <w:rPr>
                <w:lang w:val="pt-BR"/>
              </w:rPr>
            </w:r>
            <w:commentRangeEnd w:id="0"/>
            <w:r>
              <w:commentReference w:id="0"/>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w:t>
      </w:r>
      <w:r>
        <w:rPr>
          <w:bCs/>
          <w:color w:val="000000" w:themeColor="text1"/>
          <w:lang w:val="pt-BR"/>
        </w:rPr>
        <w:t xml:space="preserve">uyền sử dụng đất, quyền sở hữu nhà ở và tài sản khác gắn liền với đất số CV 446722, số vào sổ cấp GCN: CS05625 do Sở Tài nguyên và Môi trường tỉnh Hưng Yên cấp ngày 27/7/2021; chủ sở hữu căn hộ chung cư là Ông Nguyễn Hồng Trường và Bà Dương Thị Minh Thanh.</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pacing w:val="-4"/>
          <w:lang w:val="vi-VN"/>
        </w:rPr>
        <w:t xml:space="preserve">275/2026/1139/VFI-HĐTĐ.69.A</w:t>
      </w:r>
      <w:r>
        <w:rPr>
          <w:color w:val="000000" w:themeColor="text1"/>
          <w:highlight w:val="none"/>
          <w:lang w:val="pt-BR"/>
        </w:rPr>
        <w:t xml:space="preserve"> </w:t>
      </w:r>
      <w:r>
        <w:rPr>
          <w:color w:val="000000" w:themeColor="text1"/>
          <w:highlight w:val="none"/>
          <w:lang w:val="pt-BR"/>
        </w:rPr>
        <w:t xml:space="preserve">ký</w:t>
      </w:r>
      <w:r>
        <w:rPr>
          <w:color w:val="000000" w:themeColor="text1"/>
          <w:lang w:val="pt-BR"/>
        </w:rPr>
        <w:t xml:space="preserve"> ngày 24/07/2026 giữa Ông Nguyễn Hồng Trường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b/>
          <w:bCs/>
          <w:i w:val="0"/>
          <w:iCs w:val="0"/>
          <w:shd w:val="clear" w:color="auto" w:fill="ffffff"/>
        </w:rPr>
        <w:t xml:space="preserve">Nguồn cung vẫn áp đảo tại địa phận Hưng Y</w:t>
      </w:r>
      <w:r>
        <w:rPr>
          <w:b/>
          <w:bCs/>
          <w:i w:val="0"/>
          <w:iCs w:val="0"/>
          <w:shd w:val="clear" w:color="auto" w:fill="ffffff"/>
        </w:rPr>
        <w:t xml:space="preserve">ên cũ, chung cư và đất nền dẫn dắt đà tăng giá</w:t>
      </w:r>
      <w:r>
        <w:rPr>
          <w:iCs/>
        </w:rPr>
      </w:r>
      <w:r>
        <w:rPr>
          <w:iCs/>
        </w:rPr>
      </w:r>
    </w:p>
    <w:p>
      <w:pPr>
        <w:pBdr/>
        <w:tabs>
          <w:tab w:val="left" w:leader="none" w:pos="426"/>
        </w:tabs>
        <w:spacing w:after="120" w:before="120" w:line="276" w:lineRule="auto"/>
        <w:ind/>
        <w:jc w:val="both"/>
        <w:rPr/>
      </w:pPr>
      <w:r>
        <w:rPr>
          <w:shd w:val="clear" w:color="auto" w:fill="ffffff"/>
        </w:rPr>
      </w:r>
      <w:r>
        <w:rPr>
          <w:shd w:val="clear" w:color="auto" w:fill="ffffff"/>
        </w:rPr>
        <w:t xml:space="preserve">Dữ liệu từ Batdongsan.com.vn cho thấy chung cư, biệt thự và đất nền tiếp tục tập trung chủ yếu tại Hưng Yên cũ, trong khi Hà Nội vẫn là địa phương đóng góp lượng người tìm kiếm lớn nhất. Cùng với đó, mặt bằng </w:t>
      </w:r>
      <w:r>
        <w:rPr>
          <w:shd w:val="clear" w:color="auto" w:fill="ffffff"/>
        </w:rPr>
        <w:t xml:space="preserve">giá đất nền, biệt thự và chung cư đã tăng mạnh trong hai năm qua, dù một số phân khúc bắt đầu xuất hiện dấu hiệu chững lại.</w:t>
      </w:r>
      <w:r>
        <w:rPr>
          <w:iCs/>
        </w:rPr>
      </w:r>
      <w:r/>
    </w:p>
    <w:p>
      <w:pPr>
        <w:pBdr/>
        <w:tabs>
          <w:tab w:val="left" w:leader="none" w:pos="426"/>
        </w:tabs>
        <w:spacing w:after="120" w:before="120" w:line="276" w:lineRule="auto"/>
        <w:ind/>
        <w:jc w:val="both"/>
        <w:rPr>
          <w:b/>
          <w:bCs/>
        </w:rPr>
      </w:pPr>
      <w:r>
        <w:rPr>
          <w:b/>
          <w:bCs/>
          <w:shd w:val="clear" w:color="auto" w:fill="ffffff"/>
        </w:rPr>
        <w:t xml:space="preserve">Nguồn cung tiếp tục tập trung tại Hưng Yên cũ, Hà Nội vẫn là nguồn cầu chủ đạo</w:t>
      </w:r>
      <w:r>
        <w:rPr>
          <w:b/>
          <w:bCs/>
        </w:rPr>
      </w:r>
      <w:r>
        <w:rPr>
          <w:b/>
          <w:bCs/>
        </w:rPr>
      </w:r>
    </w:p>
    <w:p>
      <w:pPr>
        <w:pBdr/>
        <w:tabs>
          <w:tab w:val="left" w:leader="none" w:pos="426"/>
        </w:tabs>
        <w:spacing w:after="120" w:before="120" w:line="276" w:lineRule="auto"/>
        <w:ind/>
        <w:jc w:val="both"/>
        <w:rPr/>
      </w:pPr>
      <w:r>
        <w:rPr>
          <w:shd w:val="clear" w:color="auto" w:fill="ffffff"/>
        </w:rPr>
        <w:t xml:space="preserve">Theo dữ liệu của Batdongsan.com.vn, sau khi Hưng Yê</w:t>
      </w:r>
      <w:r>
        <w:rPr>
          <w:shd w:val="clear" w:color="auto" w:fill="ffffff"/>
        </w:rPr>
        <w:t xml:space="preserve">n và Thái Bình hợp nhất, nguồn cung bất động sản trên địa bàn mới vẫn chủ yếu đến từ khu vực Hưng Yên cũ. Xét theo cơ cấu loại hình, chung cư chiếm tỷ trọng lớn nhất với 30% tổng nguồn cung, tiếp đến là biệt thự 29%, đất nền 27%, cho thuê 7% và các loại hì</w:t>
      </w:r>
      <w:r>
        <w:rPr>
          <w:shd w:val="clear" w:color="auto" w:fill="ffffff"/>
        </w:rPr>
        <w:t xml:space="preserve">nh khác 6%.</w:t>
      </w:r>
      <w:r/>
    </w:p>
    <w:p>
      <w:pPr>
        <w:pBdr/>
        <w:tabs>
          <w:tab w:val="left" w:leader="none" w:pos="426"/>
        </w:tabs>
        <w:spacing w:after="120" w:before="120" w:line="276" w:lineRule="auto"/>
        <w:ind/>
        <w:jc w:val="both"/>
        <w:rPr/>
      </w:pPr>
      <w:r>
        <w:rPr>
          <w:shd w:val="clear" w:color="auto" w:fill="ffffff"/>
        </w:rPr>
        <w:t xml:space="preserve">Nếu phân tách theo địa bàn trước sáp nhập, Hưng Yên cũ gần như chi phối hoàn toàn các phân khúc có giá trị cao. Đối với chung cư, 98% nguồn cung đến từ Hưng Yên cũ, Thái Bình cũ chỉ chiếm 2%. Phân khúc biệt thự cũng có cơ cấu tương tự khi Hưng</w:t>
      </w:r>
      <w:r>
        <w:rPr>
          <w:shd w:val="clear" w:color="auto" w:fill="ffffff"/>
        </w:rPr>
        <w:t xml:space="preserve"> Yên cũ chiếm 98% và Thái Bình cũ chiếm 2%.</w:t>
      </w:r>
      <w:r/>
    </w:p>
    <w:p>
      <w:pPr>
        <w:pBdr/>
        <w:tabs>
          <w:tab w:val="left" w:leader="none" w:pos="426"/>
        </w:tabs>
        <w:spacing w:after="120" w:before="120" w:line="276" w:lineRule="auto"/>
        <w:ind/>
        <w:jc w:val="both"/>
        <w:rPr/>
      </w:pPr>
      <w:r>
        <w:rPr>
          <w:shd w:val="clear" w:color="auto" w:fill="ffffff"/>
        </w:rPr>
        <w:t xml:space="preserve">Ở phân khúc đất nền, Hưng Yên cũ chiếm 80% nguồn cung, còn Thái Bình cũ đóng góp 20%. Với nhóm bất động sản khác, tỷ trọng lần lượt là 91% và 9%; còn phân khúc cho thuê là 96% và 4%. Riêng phân khúc bán nhà có s</w:t>
      </w:r>
      <w:r>
        <w:rPr>
          <w:shd w:val="clear" w:color="auto" w:fill="ffffff"/>
        </w:rPr>
        <w:t xml:space="preserve">ự khác biệt khi nguồn cung tại Thái Bình cũ chiếm 57%, cao hơn mức 43% của Hưng Yên cũ.</w:t>
      </w:r>
      <w:r/>
    </w:p>
    <w:p>
      <w:pPr>
        <w:pBdr/>
        <w:tabs>
          <w:tab w:val="left" w:leader="none" w:pos="426"/>
        </w:tabs>
        <w:spacing w:after="120" w:before="120" w:line="276" w:lineRule="auto"/>
        <w:ind/>
        <w:jc w:val="both"/>
        <w:rPr/>
      </w:pPr>
      <w:r>
        <w:rPr>
          <w:shd w:val="clear" w:color="auto" w:fill="ffffff"/>
        </w:rPr>
        <w:t xml:space="preserve">Những số liệu này cho thấy sau khi mở rộng địa giới, Hưng Yên cũ vẫn là khu vực phát triển sôi động nhất của thị trường, đặc biệt ở các phân khúc chung cư, biệt thự và</w:t>
      </w:r>
      <w:r>
        <w:rPr>
          <w:shd w:val="clear" w:color="auto" w:fill="ffffff"/>
        </w:rPr>
        <w:t xml:space="preserve"> đất nền. Ở phía cầu, Hà Nội tiếp tục là địa phương mang lại lượng khách tìm kiếm lớn nhất cho thị trường Hưng Yên.</w:t>
        <w:br/>
      </w:r>
      <w:r>
        <w:rPr>
          <w:shd w:val="clear" w:color="auto" w:fill="ffffff"/>
        </w:rPr>
        <w:t xml:space="preserve">Tr</w:t>
      </w:r>
      <w:r>
        <w:rPr>
          <w:shd w:val="clear" w:color="auto" w:fill="ffffff"/>
        </w:rPr>
        <w:t xml:space="preserve">ong giai đoạn từ quý I/2024 đến quý II/2026, tỷ trọng người tìm kiếm đến từ Hà Nội luôn duy trì trên 50%, dao động từ 51% đến 60%. Đến quý II/2026, tỷ lệ này đạt 60%, mức cao nhất trong toàn bộ chuỗi số liệu. TP.HCM đứng thứ hai với tỷ trọng dao động khoản</w:t>
      </w:r>
      <w:r>
        <w:rPr>
          <w:shd w:val="clear" w:color="auto" w:fill="ffffff"/>
        </w:rPr>
        <w:t xml:space="preserve">g 10-18%. Sau khi đạt 18% vào quý I/2024, tỷ trọng này giảm dần xuống còn 12% tại quý II/2026.</w:t>
      </w:r>
      <w:r/>
    </w:p>
    <w:p>
      <w:pPr>
        <w:pBdr/>
        <w:tabs>
          <w:tab w:val="left" w:leader="none" w:pos="426"/>
        </w:tabs>
        <w:spacing w:after="120" w:before="120" w:line="276" w:lineRule="auto"/>
        <w:ind/>
        <w:jc w:val="both"/>
        <w:rPr/>
      </w:pPr>
      <w:r>
        <w:rPr>
          <w:shd w:val="clear" w:color="auto" w:fill="ffffff"/>
        </w:rPr>
        <w:t xml:space="preserve">Nguồn cầu nội tỉnh Hưng Yên tương đối ổn định, chủ yếu duy trì quanh mức 7-8%. Hải Phòng đóng góp khoảng 3-5%, Bắc Ninh khoảng 2-5%, còn Thái Bình dao động từ 2</w:t>
      </w:r>
      <w:r>
        <w:rPr>
          <w:shd w:val="clear" w:color="auto" w:fill="ffffff"/>
        </w:rPr>
        <w:t xml:space="preserve">-4% tổng lượng tìm kiếm. Nhóm các địa phương khác chiếm từ 11% đến 18%, phản ánh sức hút của thị trường đối với nhiều tỉnh, thành ngoài khu vực.</w:t>
      </w:r>
      <w:r/>
    </w:p>
    <w:p>
      <w:pPr>
        <w:pBdr/>
        <w:tabs>
          <w:tab w:val="left" w:leader="none" w:pos="426"/>
        </w:tabs>
        <w:spacing w:after="120" w:before="120" w:line="276" w:lineRule="auto"/>
        <w:ind/>
        <w:jc w:val="both"/>
        <w:rPr>
          <w:b/>
          <w:bCs/>
        </w:rPr>
      </w:pPr>
      <w:r>
        <w:rPr>
          <w:b/>
          <w:bCs/>
          <w:shd w:val="clear" w:color="auto" w:fill="ffffff"/>
        </w:rPr>
        <w:t xml:space="preserve">Đất nền tăng giá mạnh nhất khu vực phía Bắc, Văn Giang tiếp tục là tâm điểm</w:t>
      </w:r>
      <w:r>
        <w:rPr>
          <w:b/>
          <w:bCs/>
        </w:rPr>
      </w:r>
      <w:r>
        <w:rPr>
          <w:b/>
          <w:bCs/>
        </w:rPr>
      </w:r>
    </w:p>
    <w:p>
      <w:pPr>
        <w:pBdr/>
        <w:tabs>
          <w:tab w:val="left" w:leader="none" w:pos="426"/>
        </w:tabs>
        <w:spacing w:after="120" w:before="120" w:line="276" w:lineRule="auto"/>
        <w:ind/>
        <w:jc w:val="both"/>
        <w:rPr/>
      </w:pPr>
      <w:r>
        <w:rPr>
          <w:shd w:val="clear" w:color="auto" w:fill="ffffff"/>
        </w:rPr>
        <w:t xml:space="preserve">Dữ liệu của Batdongsan.com.vn cho</w:t>
      </w:r>
      <w:r>
        <w:rPr>
          <w:shd w:val="clear" w:color="auto" w:fill="ffffff"/>
        </w:rPr>
        <w:t xml:space="preserve"> thấy Hưng Yên là địa phương có tốc độ tăng giá đất nền mạnh nhất trong nhóm các tỉnh phía Bắc được khảo sát. Tại quý I/2024, giá đất nền phổ biến của Hưng Yên ở mức 22 triệu đồng/m2, thấp hơn Bắc Ninh (27 triệu đồng/m²) và Quảng Ninh (23 triệu đồng/m²). T</w:t>
      </w:r>
      <w:r>
        <w:rPr>
          <w:shd w:val="clear" w:color="auto" w:fill="ffffff"/>
        </w:rPr>
        <w:t xml:space="preserve">uy nhiên, từ cuối năm 2024 đến nửa đầu năm 2025, mặt bằng giá tăng nhanh và vượt lên dẫn đầu.</w:t>
      </w:r>
      <w:r/>
    </w:p>
    <w:p>
      <w:pPr>
        <w:pBdr/>
        <w:tabs>
          <w:tab w:val="left" w:leader="none" w:pos="426"/>
        </w:tabs>
        <w:spacing w:after="120" w:before="120" w:line="276" w:lineRule="auto"/>
        <w:ind/>
        <w:jc w:val="both"/>
        <w:rPr/>
      </w:pPr>
      <w:r>
        <w:rPr>
          <w:shd w:val="clear" w:color="auto" w:fill="ffffff"/>
        </w:rPr>
        <w:t xml:space="preserve">Đến quý I/2026, giá đất nền phổ biến tại Hưng Yên đạt 37 triệu đồng/m2, cao hơn Quảng Ninh (25 triệu đồng/m2), Hải Dương (28 triệu đồng/m2), Thái Nguyên (17 triệ</w:t>
      </w:r>
      <w:r>
        <w:rPr>
          <w:shd w:val="clear" w:color="auto" w:fill="ffffff"/>
        </w:rPr>
        <w:t xml:space="preserve">u đồng/m2) và Bắc Giang (14 triệu đồng/m2). Trong khi đó, Bắc Ninh duy trì quanh 27 triệu đồng/m2 trong năm 2024, tăng lên khoảng 31 triệu đồng/m2 trong năm 2025 và giữ ổn định đến quý I/2026.</w:t>
      </w:r>
      <w:r/>
    </w:p>
    <w:p>
      <w:pPr>
        <w:pBdr/>
        <w:tabs>
          <w:tab w:val="left" w:leader="none" w:pos="426"/>
        </w:tabs>
        <w:spacing w:after="120" w:before="120" w:line="276" w:lineRule="auto"/>
        <w:ind/>
        <w:jc w:val="both"/>
        <w:rPr/>
      </w:pPr>
      <w:r>
        <w:rPr>
          <w:shd w:val="clear" w:color="auto" w:fill="ffffff"/>
        </w:rPr>
        <w:t xml:space="preserve">So với quý I/2024, giá đất nền tại Hưng Yên tăng 68%, cao nhất</w:t>
      </w:r>
      <w:r>
        <w:rPr>
          <w:shd w:val="clear" w:color="auto" w:fill="ffffff"/>
        </w:rPr>
        <w:t xml:space="preserve"> trong nhóm khảo sát. Hải Dương tăng 56%, Bắc Ninh tăng 37%, Quảng Ninh tăng 9%, Bắc Giang tăng 8% và Thái Nguyên tăng 6%.</w:t>
      </w:r>
      <w:r/>
    </w:p>
    <w:p>
      <w:pPr>
        <w:pBdr/>
        <w:tabs>
          <w:tab w:val="left" w:leader="none" w:pos="426"/>
        </w:tabs>
        <w:spacing w:after="120" w:before="120" w:line="276" w:lineRule="auto"/>
        <w:ind/>
        <w:jc w:val="both"/>
        <w:rPr/>
      </w:pPr>
      <w:r>
        <w:rPr>
          <w:shd w:val="clear" w:color="auto" w:fill="ffffff"/>
        </w:rPr>
        <w:t xml:space="preserve">Về mức độ quan tâm, Văn Giang tiếp tục là khu vực nổi bật nhất khi chiếm 25% tổng lượng tìm kiếm đất nền. Xếp sau là Khoái Châu với </w:t>
      </w:r>
      <w:r>
        <w:rPr>
          <w:shd w:val="clear" w:color="auto" w:fill="ffffff"/>
        </w:rPr>
        <w:t xml:space="preserve">11%, Mỹ Hào và Yên Mỹ cùng đạt 10%, Văn Lâm 7%. Tiền Hải và Phù Cừ cùng chiếm 5%; Ân Thi, TP.Hưng Yên và Thái Bình cùng đạt 4%; Thái Thụy và Kim Động đạt 3%; Quỳnh Phụ, Tiên Lữ và Kiến Xương cùng 2%; Hưng Hà, Đông Hưng và Vũ Thư cùng chiếm 1%.</w:t>
      </w:r>
      <w:r/>
    </w:p>
    <w:p>
      <w:pPr>
        <w:pBdr/>
        <w:tabs>
          <w:tab w:val="left" w:leader="none" w:pos="426"/>
        </w:tabs>
        <w:spacing w:after="120" w:before="120" w:line="276" w:lineRule="auto"/>
        <w:ind/>
        <w:jc w:val="both"/>
        <w:rPr/>
      </w:pPr>
      <w:r>
        <w:rPr>
          <w:shd w:val="clear" w:color="auto" w:fill="ffffff"/>
        </w:rPr>
        <w:t xml:space="preserve">Nguồn cung </w:t>
      </w:r>
      <w:r>
        <w:rPr>
          <w:shd w:val="clear" w:color="auto" w:fill="ffffff"/>
        </w:rPr>
        <w:t xml:space="preserve">vẫn áp đảo tại địa phận Hưng Yên cũ chung cư và đất nền dẫn dắt đà tăng giá</w:t>
        <w:br/>
        <w:t xml:space="preserve">Tuy nhiên, nếu so với cùng kỳ năm trước, mức độ quan tâm tại các khu vực trọng điểm đều giảm. Văn Giang giảm 41%, Khoái Châu giảm 56%, Mỹ Hào giảm 45% và Yên Mỹ giảm 39%.</w:t>
      </w:r>
      <w:r/>
    </w:p>
    <w:p>
      <w:pPr>
        <w:pBdr/>
        <w:tabs>
          <w:tab w:val="left" w:leader="none" w:pos="426"/>
        </w:tabs>
        <w:spacing w:after="120" w:before="120" w:line="276" w:lineRule="auto"/>
        <w:ind/>
        <w:jc w:val="both"/>
        <w:rPr/>
      </w:pPr>
      <w:r>
        <w:rPr>
          <w:shd w:val="clear" w:color="auto" w:fill="ffffff"/>
        </w:rPr>
        <w:t xml:space="preserve">Trong kh</w:t>
      </w:r>
      <w:r>
        <w:rPr>
          <w:shd w:val="clear" w:color="auto" w:fill="ffffff"/>
        </w:rPr>
        <w:t xml:space="preserve">i nhu cầu tìm kiếm hạ nhiệt, mặt bằng giá tại các khu vực trọng điểm lại có xu hướng đi ngang sau giai đoạn tăng mạnh. Đến quý II/2026, giá đất nền phổ biến tại Văn Giang đạt 47 triệu đồng/m2, Văn Lâm 43 triệu đồng/m2, Mỹ Hào 34 triệu đồng/m2, Khoái Châu 2</w:t>
      </w:r>
      <w:r>
        <w:rPr>
          <w:shd w:val="clear" w:color="auto" w:fill="ffffff"/>
        </w:rPr>
        <w:t xml:space="preserve">9 triệu đồng/m2 và Yên Mỹ 28 triệu đồng/m2.</w:t>
      </w:r>
      <w:r/>
    </w:p>
    <w:p>
      <w:pPr>
        <w:pBdr/>
        <w:tabs>
          <w:tab w:val="left" w:leader="none" w:pos="426"/>
        </w:tabs>
        <w:spacing w:after="120" w:before="120" w:line="276" w:lineRule="auto"/>
        <w:ind/>
        <w:jc w:val="both"/>
        <w:rPr/>
      </w:pPr>
      <w:r>
        <w:rPr>
          <w:shd w:val="clear" w:color="auto" w:fill="ffffff"/>
        </w:rPr>
        <w:t xml:space="preserve">So với đầu năm 2024, Văn Giang tăng từ khoảng 25 triệu đồng/m2 lên 47 triệu đồng/m2; Mỹ Hào tăng từ 20 lên 34 triệu đồng/m2; Yên Mỹ tăng từ 15 lên 28 triệu đồng/m2 sau khi đạt đỉnh 35 triệu đồng/m2 tại quý I/202</w:t>
      </w:r>
      <w:r>
        <w:rPr>
          <w:shd w:val="clear" w:color="auto" w:fill="ffffff"/>
        </w:rPr>
        <w:t xml:space="preserve">6; Khoái Châu tăng từ 13 lên 29 triệu đồng/m2. Riêng Văn Lâm tăng từ 27 triệu đồng/m2 lên đỉnh 52 triệu đồng/m2 tại quý I/2026 trước khi điều chỉnh về 43 triệu đồng/m2 trong quý II/2026.</w:t>
      </w:r>
      <w:r/>
    </w:p>
    <w:p>
      <w:pPr>
        <w:pBdr/>
        <w:tabs>
          <w:tab w:val="left" w:leader="none" w:pos="426"/>
        </w:tabs>
        <w:spacing w:after="120" w:before="120" w:line="276" w:lineRule="auto"/>
        <w:ind/>
        <w:jc w:val="both"/>
        <w:rPr/>
      </w:pPr>
      <w:r>
        <w:rPr>
          <w:shd w:val="clear" w:color="auto" w:fill="ffffff"/>
        </w:rPr>
        <w:t xml:space="preserve">Đối với các khu vực giáp ranh phía Đông Hà Nội, mặt bằng giá tiếp tụ</w:t>
      </w:r>
      <w:r>
        <w:rPr>
          <w:shd w:val="clear" w:color="auto" w:fill="ffffff"/>
        </w:rPr>
        <w:t xml:space="preserve">c ghi nhận mức tăng mạnh trong ba năm qua. Giá phổ biến hiện đạt 48 triệu đồng/m2 tại Văn Giang, 47 triệu đồng/m2 tại Văn Lâm, 42 triệu đồng/m2 tại TP.Hưng Yên, 33 triệu đồng/m2 tại Yên Mỹ, 32 triệu đồng/m2 tại Khoái Châu và 31 triệu đồng/m2 tại Kim Động.</w:t>
      </w:r>
      <w:r/>
    </w:p>
    <w:p>
      <w:pPr>
        <w:pBdr/>
        <w:tabs>
          <w:tab w:val="left" w:leader="none" w:pos="426"/>
        </w:tabs>
        <w:spacing w:after="120" w:before="120" w:line="276" w:lineRule="auto"/>
        <w:ind/>
        <w:jc w:val="both"/>
        <w:rPr/>
      </w:pPr>
      <w:r>
        <w:rPr>
          <w:shd w:val="clear" w:color="auto" w:fill="ffffff"/>
        </w:rPr>
      </w:r>
      <w:r>
        <w:rPr>
          <w:shd w:val="clear" w:color="auto" w:fill="ffffff"/>
        </w:rPr>
        <w:t xml:space="preserve">Nguồn cung vẫn áp đảo tại địa phận Hưng Yên cũ chung cư và đất nền dẫn dắt đà tăng giá</w:t>
        <w:br/>
        <w:t xml:space="preserve">Tính từ quý I/2024 đến quý I/2026, Khoái Châu tăng giá 146%, Yên Mỹ tăng 133%, Văn Lâm tăng 93%, Văn Giang tăng 92% và TP.Hưng Yên tăng 92%. Trong khi đó, một số khu vự</w:t>
      </w:r>
      <w:r>
        <w:rPr>
          <w:shd w:val="clear" w:color="auto" w:fill="ffffff"/>
        </w:rPr>
        <w:t xml:space="preserve">c của Bắc Ninh ghi nhận mức tăng thấp hơn như Thuận Thành 85%, Tiên Du 48%, TP.Bắc Ninh 47%, Từ Sơn 47%, còn Yên Phong giảm 10%.</w:t>
      </w:r>
      <w:r/>
    </w:p>
    <w:p>
      <w:pPr>
        <w:pBdr/>
        <w:tabs>
          <w:tab w:val="left" w:leader="none" w:pos="426"/>
        </w:tabs>
        <w:spacing w:after="120" w:before="120" w:line="276" w:lineRule="auto"/>
        <w:ind/>
        <w:jc w:val="both"/>
        <w:rPr>
          <w:b/>
          <w:bCs/>
        </w:rPr>
      </w:pPr>
      <w:r>
        <w:rPr>
          <w:b/>
          <w:bCs/>
          <w:shd w:val="clear" w:color="auto" w:fill="ffffff"/>
        </w:rPr>
        <w:t xml:space="preserve">Chung cư và biệt thự dịch chuyển lên phân khúc cao cấp</w:t>
      </w:r>
      <w:r>
        <w:rPr>
          <w:b/>
          <w:bCs/>
        </w:rPr>
      </w:r>
      <w:r>
        <w:rPr>
          <w:b/>
          <w:bCs/>
        </w:rPr>
      </w:r>
    </w:p>
    <w:p>
      <w:pPr>
        <w:pBdr/>
        <w:tabs>
          <w:tab w:val="left" w:leader="none" w:pos="426"/>
        </w:tabs>
        <w:spacing w:after="120" w:before="120" w:line="276" w:lineRule="auto"/>
        <w:ind/>
        <w:jc w:val="both"/>
        <w:rPr/>
      </w:pPr>
      <w:r>
        <w:rPr>
          <w:shd w:val="clear" w:color="auto" w:fill="ffffff"/>
        </w:rPr>
        <w:t xml:space="preserve">Ở phân khúc biệt thự, mức độ quan tâm tiếp tục tập trung gần như tuyệt</w:t>
      </w:r>
      <w:r>
        <w:rPr>
          <w:shd w:val="clear" w:color="auto" w:fill="ffffff"/>
        </w:rPr>
        <w:t xml:space="preserve"> đối tại Văn Giang. Khu vực này chiếm tới 92% tổng lượng tìm kiếm biệt thự, trong khi Văn Lâm chỉ chiếm 3%, Mỹ Hào 2% và các khu vực khác 3%. </w:t>
      </w:r>
      <w:r>
        <w:rPr>
          <w:shd w:val="clear" w:color="auto" w:fill="ffffff"/>
        </w:rPr>
        <w:t xml:space="preserve">So với cùng kỳ năm trước, mức độ quan tâm tại Văn Giang giảm 7%, Mỹ Hào tăng 13% và Văn Lâm tăng 692%. Dù vậy, do</w:t>
      </w:r>
      <w:r>
        <w:rPr>
          <w:shd w:val="clear" w:color="auto" w:fill="ffffff"/>
        </w:rPr>
        <w:t xml:space="preserve"> xuất phát từ nền thấp, mức tăng mạnh tại Văn Lâm chưa làm thay đổi cơ cấu thị trường khi Văn Giang vẫn chiếm ưu thế áp đảo.</w:t>
      </w:r>
      <w:r/>
    </w:p>
    <w:p>
      <w:pPr>
        <w:pBdr/>
        <w:tabs>
          <w:tab w:val="left" w:leader="none" w:pos="426"/>
        </w:tabs>
        <w:spacing w:after="120" w:before="120" w:line="276" w:lineRule="auto"/>
        <w:ind/>
        <w:jc w:val="both"/>
        <w:rPr/>
      </w:pPr>
      <w:r>
        <w:rPr>
          <w:shd w:val="clear" w:color="auto" w:fill="ffffff"/>
        </w:rPr>
        <w:t xml:space="preserve">Về giá bán, lấy quý I/2024 làm mốc 100, đến quý II/2026, chỉ số giá biệt thự tại Văn Lâm tăng 98%, Mỹ Hào tăng 81% và Văn Giang tă</w:t>
      </w:r>
      <w:r>
        <w:rPr>
          <w:shd w:val="clear" w:color="auto" w:fill="ffffff"/>
        </w:rPr>
        <w:t xml:space="preserve">ng 22%. Một số dự án biệt thự nổi bật có thể kể đến như Vinhomes Ocean Park 2 với giá phổ biến 135-200 triệu đồng/m2, Vinhomes Ocean Park 3 từ 135-250 triệu đồng/m2, Khu đô thị Ecopark có giá dự kiến 150-250 triệu đồng/m2 và Ecopark Grand – The Island đạt </w:t>
      </w:r>
      <w:r>
        <w:rPr>
          <w:shd w:val="clear" w:color="auto" w:fill="ffffff"/>
        </w:rPr>
        <w:t xml:space="preserve">200-350 triệu đồng/m2.</w:t>
      </w:r>
      <w:r/>
    </w:p>
    <w:p>
      <w:pPr>
        <w:pBdr/>
        <w:tabs>
          <w:tab w:val="left" w:leader="none" w:pos="426"/>
        </w:tabs>
        <w:spacing w:after="120" w:before="120" w:line="276" w:lineRule="auto"/>
        <w:ind/>
        <w:jc w:val="both"/>
        <w:rPr/>
      </w:pPr>
      <w:r>
        <w:rPr>
          <w:shd w:val="clear" w:color="auto" w:fill="ffffff"/>
        </w:rPr>
        <w:t xml:space="preserve">Nguồn cung vẫn áp đảo tại địa phận Hưng Yên cũ chung cư và đất nền dẫn dắt đà tăng giá</w:t>
        <w:br/>
        <w:t xml:space="preserve">Đối với phân khúc căn hộ, nguồn cung tiếp tục dịch chuyển sang nhóm trung và cao cấp. Năm 2023, căn hộ dưới 35 triệu đồng/m2 còn chiếm 41% nguồn </w:t>
      </w:r>
      <w:r>
        <w:rPr>
          <w:shd w:val="clear" w:color="auto" w:fill="ffffff"/>
        </w:rPr>
        <w:t xml:space="preserve">cung và phân khúc 35-50 triệu đồng/m2 chiếm 46%. Đến năm 2024, tỷ trọng căn hộ dưới 35 triệu đồng/m2 giảm xuống còn 12%, trong khi nhóm 50-80 triệu đồng/m2 tăng lên 33%.</w:t>
      </w:r>
      <w:r/>
    </w:p>
    <w:p>
      <w:pPr>
        <w:pBdr/>
        <w:tabs>
          <w:tab w:val="left" w:leader="none" w:pos="426"/>
        </w:tabs>
        <w:spacing w:after="120" w:before="120" w:line="276" w:lineRule="auto"/>
        <w:ind/>
        <w:jc w:val="both"/>
        <w:rPr/>
      </w:pPr>
      <w:r>
        <w:rPr>
          <w:shd w:val="clear" w:color="auto" w:fill="ffffff"/>
        </w:rPr>
        <w:t xml:space="preserve">Sang năm 2025, căn hộ dưới 35 triệu đồng/m2 chỉ còn 1%, còn phân khúc 50-80 triệu đồn</w:t>
      </w:r>
      <w:r>
        <w:rPr>
          <w:shd w:val="clear" w:color="auto" w:fill="ffffff"/>
        </w:rPr>
        <w:t xml:space="preserve">g/m2 tăng lên 74%. Đến năm 2026, phân khúc này tiếp tục chiếm tới 78% nguồn cung, trong khi căn hộ trên 80 triệu đồng/m2 tăng lên 16% và nhóm dưới 35 triệu đồng/m2 gần như không còn xuất hiện.</w:t>
      </w:r>
      <w:r/>
    </w:p>
    <w:p>
      <w:pPr>
        <w:pBdr/>
        <w:tabs>
          <w:tab w:val="left" w:leader="none" w:pos="426"/>
        </w:tabs>
        <w:spacing w:after="120" w:before="120" w:line="276" w:lineRule="auto"/>
        <w:ind/>
        <w:jc w:val="both"/>
        <w:rPr/>
      </w:pPr>
      <w:r>
        <w:rPr>
          <w:shd w:val="clear" w:color="auto" w:fill="ffffff"/>
        </w:rPr>
      </w:r>
      <w:r>
        <w:rPr>
          <w:shd w:val="clear" w:color="auto" w:fill="ffffff"/>
        </w:rPr>
        <w:t xml:space="preserve">Giá bán căn hộ cũng tăng mạnh trong hai năm qua. Từ mức 38 tri</w:t>
      </w:r>
      <w:r>
        <w:rPr>
          <w:shd w:val="clear" w:color="auto" w:fill="ffffff"/>
        </w:rPr>
        <w:t xml:space="preserve">ệu đồng/m2 tại quý I/2023, giá bán tăng lên 55 triệu đồng/m2 vào cuối năm 2024, đạt 65 triệu đồng/m2 ở quý III/2025 và lên đỉnh 69 triệu đồng/m2 vào quý IV/2025. Sau đó, giá giảm nhẹ xuống 68 triệu đồng/m2 ở quý I/2026 và 67 triệu đồng/m2 tại quý II/2026.</w:t>
      </w:r>
      <w:r/>
    </w:p>
    <w:p>
      <w:pPr>
        <w:pBdr/>
        <w:tabs>
          <w:tab w:val="left" w:leader="none" w:pos="426"/>
        </w:tabs>
        <w:spacing w:after="120" w:before="120" w:line="276" w:lineRule="auto"/>
        <w:ind/>
        <w:jc w:val="both"/>
        <w:rPr/>
      </w:pPr>
      <w:r>
        <w:rPr>
          <w:shd w:val="clear" w:color="auto" w:fill="ffffff"/>
        </w:rPr>
      </w:r>
      <w:r>
        <w:rPr>
          <w:shd w:val="clear" w:color="auto" w:fill="ffffff"/>
        </w:rPr>
        <w:t xml:space="preserve">Nguồn cung vẫn áp đảo tại địa phận Hưng Yên cũ chung cư và đất nền dẫn dắt đà tăng giá</w:t>
        <w:br/>
        <w:t xml:space="preserve">Trong khi giá bán tăng nhanh, giá thuê tăng với tốc độ chậm hơn, từ khoảng 7 triệu đồng/căn lên mức 8-8,5 triệu đồng/căn, đạt đỉnh 9 triệu đồng/căn vào cuối năm 2025 tr</w:t>
      </w:r>
      <w:r>
        <w:rPr>
          <w:shd w:val="clear" w:color="auto" w:fill="ffffff"/>
        </w:rPr>
        <w:t xml:space="preserve">ước khi giảm về 8 triệu đồng/căn ở quý I/2026 và tăng trở lại 8,5 triệu đồng/căn trong quý II/2026.</w:t>
      </w:r>
      <w:r/>
    </w:p>
    <w:p>
      <w:pPr>
        <w:pBdr/>
        <w:tabs>
          <w:tab w:val="left" w:leader="none" w:pos="426"/>
        </w:tabs>
        <w:spacing w:after="120" w:before="120" w:line="276" w:lineRule="auto"/>
        <w:ind/>
        <w:jc w:val="both"/>
        <w:rPr/>
      </w:pPr>
      <w:r>
        <w:rPr>
          <w:shd w:val="clear" w:color="auto" w:fill="ffffff"/>
        </w:rPr>
        <w:t xml:space="preserve">Diễn biến này khiến lợi suất cho thuê giảm từ 3,1% tại quý I/2023 xuống quanh 2,1-2,3% trong năm 2026. Cụ thể, lợi suất đạt 2,3% ở quý I/2026 và giảm còn 2</w:t>
      </w:r>
      <w:r>
        <w:rPr>
          <w:shd w:val="clear" w:color="auto" w:fill="ffffff"/>
        </w:rPr>
        <w:t xml:space="preserve">,1% tại quý II/2026, phản ánh tốc độ tăng giá bán nhanh hơn tốc độ tăng giá thuê trên thị trường căn hộ.</w:t>
      </w:r>
      <w:r/>
    </w:p>
    <w:p>
      <w:pPr>
        <w:pBdr/>
        <w:tabs>
          <w:tab w:val="left" w:leader="none" w:pos="426"/>
        </w:tabs>
        <w:spacing w:after="120" w:before="120" w:line="276" w:lineRule="auto"/>
        <w:ind/>
        <w:jc w:val="center"/>
        <w:rPr>
          <w:bCs/>
          <w:i/>
        </w:rPr>
      </w:pPr>
      <w:r>
        <w:rPr>
          <w:i/>
          <w:iCs/>
          <w:shd w:val="clear" w:color="auto" w:fill="ffffff"/>
        </w:rPr>
        <w:t xml:space="preserve">(Nguồn tham khảo: https://thuongtruong.com.vn/news/nguon-cung-van-ap-dao-tai-dia-phan-hung-yen-cu-chung-cu-va-dat-nen-dan-dat-da-tang-gia-165829.html)</w:t>
      </w:r>
      <w:r>
        <w:rPr>
          <w:bCs/>
          <w:i/>
        </w:rPr>
      </w:r>
      <w:r>
        <w:rPr>
          <w:bCs/>
          <w:i/>
        </w:rPr>
      </w:r>
    </w:p>
    <w:p>
      <w:pPr>
        <w:pStyle w:val="1025"/>
        <w:pBdr/>
        <w:tabs>
          <w:tab w:val="left" w:leader="none" w:pos="993"/>
        </w:tabs>
        <w:spacing w:after="120" w:before="120" w:line="276" w:lineRule="auto"/>
        <w:ind w:left="0"/>
        <w:jc w:val="both"/>
        <w:rPr>
          <w:b/>
          <w:bCs/>
          <w:highlight w:val="none"/>
          <w:lang w:val="pt-BR"/>
        </w:rPr>
      </w:pPr>
      <w:r>
        <w:rPr>
          <w:b/>
          <w:bCs/>
          <w:highlight w:val="none"/>
          <w:lang w:val="pt-BR"/>
        </w:rPr>
      </w:r>
      <w:r>
        <w:rPr>
          <w:b/>
          <w:bCs/>
          <w:highlight w:val="none"/>
          <w:lang w:val="pt-BR"/>
        </w:rPr>
      </w:r>
      <w:r>
        <w:rPr>
          <w:b/>
          <w:bCs/>
          <w:highlight w:val="none"/>
          <w:lang w:val="pt-BR"/>
        </w:rPr>
      </w:r>
    </w:p>
    <w:p>
      <w:pPr>
        <w:pStyle w:val="1025"/>
        <w:pBdr/>
        <w:tabs>
          <w:tab w:val="left" w:leader="none" w:pos="993"/>
        </w:tabs>
        <w:spacing w:after="120" w:before="120" w:line="276" w:lineRule="auto"/>
        <w:ind w:left="0"/>
        <w:jc w:val="both"/>
        <w:rPr>
          <w:b/>
          <w:bCs/>
          <w:highlight w:val="none"/>
          <w:lang w:val="pt-BR"/>
        </w:rPr>
      </w:pPr>
      <w:r>
        <w:rPr>
          <w:b/>
          <w:bCs/>
          <w:highlight w:val="none"/>
          <w:lang w:val="pt-BR"/>
        </w:rPr>
      </w:r>
      <w:r>
        <w:rPr>
          <w:b/>
          <w:bCs/>
          <w:highlight w:val="none"/>
          <w:lang w:val="pt-BR"/>
        </w:rPr>
      </w:r>
      <w:r>
        <w:rPr>
          <w:b/>
          <w:bCs/>
          <w:highlight w:val="none"/>
          <w:lang w:val="pt-BR"/>
        </w:rPr>
      </w:r>
    </w:p>
    <w:p>
      <w:pPr>
        <w:pStyle w:val="102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4"/>
        <w:gridCol w:w="2522"/>
        <w:gridCol w:w="1874"/>
        <w:gridCol w:w="2835"/>
        <w:gridCol w:w="1550"/>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w:t>
            </w:r>
            <w:r>
              <w:rPr>
                <w:b/>
                <w:bCs/>
                <w:color w:val="000000"/>
              </w:rPr>
              <w:t xml:space="preserve">n sở hữu căn hộ chung cư số AQL22111, toà nhà LAKE 2</w:t>
            </w:r>
            <w:r>
              <w:rPr>
                <w:b/>
                <w:bCs/>
                <w:color w:val="000000"/>
              </w:rPr>
              <w:t xml:space="preserve"> (A1), Khu căn hộ Vịnh Thuỷ (Aqua Bay) khu đô thị Thương mại và Du lịch Văn Giang, có địa chỉ tại xã Phụng Công, huyện Văn Giang, tỉnh Hưng Yên (Nay là xã Phụng Công, tỉnh Hưng Yên) theo Giấy chứng nhận q</w:t>
            </w:r>
            <w:r>
              <w:rPr>
                <w:b/>
                <w:bCs/>
                <w:color w:val="000000"/>
              </w:rPr>
              <w:t xml:space="preserve">uyền sử dụng đất, quyền sở hữu nhà ở và tài sản khác gắn liền với đất số CV 446722, số vào sổ cấp GCN: CS05625 do Sở Tài nguyên và Môi trường tỉnh Hưng Yên cấp ngày 27/7/2021; chủ sở hữu căn hộ chung cư là Ông Nguyễn Hồng Trường và Bà Dương Thị Minh Thanh.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1874" w:type="dxa"/>
            <w:vAlign w:val="center"/>
            <w:textDirection w:val="lrTb"/>
            <w:noWrap w:val="false"/>
          </w:tcPr>
          <w:p>
            <w:pPr>
              <w:pBdr/>
              <w:spacing/>
              <w:ind/>
              <w:jc w:val="center"/>
              <w:rPr>
                <w:color w:val="000000"/>
              </w:rPr>
            </w:pPr>
            <w:r>
              <w:rPr>
                <w:color w:val="000000" w:themeColor="text1"/>
              </w:rPr>
              <w:t xml:space="preserve">625</w:t>
            </w:r>
            <w:r>
              <w:rPr>
                <w:color w:val="000000"/>
              </w:rPr>
            </w:r>
            <w:r>
              <w:rPr>
                <w:color w:val="000000"/>
              </w:rPr>
            </w:r>
          </w:p>
        </w:tc>
        <w:tc>
          <w:tcPr>
            <w:tcBorders/>
            <w:tcW w:w="2835"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1550" w:type="dxa"/>
            <w:vAlign w:val="center"/>
            <w:textDirection w:val="lrTb"/>
            <w:noWrap w:val="false"/>
          </w:tcPr>
          <w:p>
            <w:pPr>
              <w:pBdr/>
              <w:spacing/>
              <w:ind/>
              <w:jc w:val="center"/>
              <w:rPr>
                <w:color w:val="ee0000"/>
              </w:rPr>
            </w:pPr>
            <w:r>
              <w:rPr>
                <w:color w:val="000000" w:themeColor="text1"/>
              </w:rPr>
              <w:t xml:space="preserve">07</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w:t>
            </w:r>
            <w:r>
              <w:rPr>
                <w:color w:val="000000"/>
              </w:rPr>
              <w:t xml:space="preserve">Phụng </w:t>
            </w:r>
            <w:r>
              <w:rPr>
                <w:color w:val="000000"/>
              </w:rPr>
              <w:t xml:space="preserve">Công, </w:t>
            </w:r>
            <w:r>
              <w:rPr>
                <w:color w:val="000000"/>
              </w:rPr>
              <w:t xml:space="preserve">huyện </w:t>
            </w:r>
            <w:r>
              <w:rPr>
                <w:color w:val="000000"/>
              </w:rPr>
              <w:t xml:space="preserve">Văn </w:t>
            </w:r>
            <w:r>
              <w:rPr>
                <w:color w:val="000000"/>
              </w:rPr>
              <w:t xml:space="preserve">Giang, </w:t>
            </w:r>
            <w:r>
              <w:rPr>
                <w:color w:val="000000"/>
              </w:rPr>
              <w:t xml:space="preserve">tỉnh </w:t>
            </w:r>
            <w:r>
              <w:rPr>
                <w:color w:val="000000"/>
              </w:rPr>
              <w:t xml:space="preserve">Hưng </w:t>
            </w:r>
            <w:r>
              <w:rPr>
                <w:color w:val="000000"/>
              </w:rPr>
              <w:t xml:space="preserve">Yên (</w:t>
            </w:r>
            <w:r>
              <w:rPr>
                <w:color w:val="000000"/>
              </w:rPr>
              <w:t xml:space="preserve">Nay </w:t>
            </w:r>
            <w:r>
              <w:rPr>
                <w:color w:val="000000"/>
              </w:rPr>
              <w:t xml:space="preserve">là </w:t>
            </w:r>
            <w:r>
              <w:rPr>
                <w:color w:val="000000"/>
              </w:rPr>
              <w:t xml:space="preserve">xã </w:t>
            </w:r>
            <w:r>
              <w:rPr>
                <w:color w:val="000000"/>
              </w:rPr>
              <w:t xml:space="preserve">P</w:t>
            </w:r>
            <w:r>
              <w:rPr>
                <w:color w:val="000000"/>
              </w:rPr>
              <w:t xml:space="preserve">hụng </w:t>
            </w:r>
            <w:r>
              <w:rPr>
                <w:color w:val="000000"/>
              </w:rPr>
              <w:t xml:space="preserve">Công, </w:t>
            </w:r>
            <w:r>
              <w:rPr>
                <w:color w:val="000000"/>
              </w:rPr>
              <w:t xml:space="preserve">tỉnh </w:t>
            </w:r>
            <w:r>
              <w:rPr>
                <w:color w:val="000000"/>
              </w:rPr>
              <w:t xml:space="preserve">Hưng </w:t>
            </w:r>
            <w:r>
              <w:rPr>
                <w:color w:val="000000"/>
              </w:rPr>
              <w:t xml:space="preserve">Yên)</w:t>
            </w:r>
            <w:r>
              <w:rPr>
                <w:color w:val="000000"/>
              </w:rPr>
            </w:r>
            <w:r>
              <w:rPr>
                <w:color w:val="000000"/>
              </w:rPr>
            </w:r>
          </w:p>
        </w:tc>
      </w:tr>
      <w:tr>
        <w:trPr>
          <w:trHeight w:val="754"/>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1874" w:type="dxa"/>
            <w:vAlign w:val="center"/>
            <w:textDirection w:val="lrTb"/>
            <w:noWrap w:val="false"/>
          </w:tcPr>
          <w:p>
            <w:pPr>
              <w:pBdr/>
              <w:spacing/>
              <w:ind/>
              <w:jc w:val="center"/>
              <w:rPr>
                <w:color w:val="000000"/>
              </w:rPr>
            </w:pPr>
            <w:r>
              <w:rPr>
                <w:color w:val="000000"/>
              </w:rPr>
              <w:t xml:space="preserve">12.472,6</w:t>
            </w:r>
            <w:r>
              <w:rPr>
                <w:color w:val="000000"/>
              </w:rPr>
            </w:r>
            <w:r>
              <w:rPr>
                <w:color w:val="000000"/>
              </w:rPr>
            </w:r>
          </w:p>
        </w:tc>
        <w:tc>
          <w:tcPr>
            <w:tcBorders/>
            <w:tcW w:w="2835"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1550" w:type="dxa"/>
            <w:vAlign w:val="center"/>
            <w:textDirection w:val="lrTb"/>
            <w:noWrap w:val="false"/>
          </w:tcPr>
          <w:p>
            <w:pPr>
              <w:pBdr/>
              <w:spacing/>
              <w:ind/>
              <w:jc w:val="center"/>
              <w:rPr>
                <w:color w:val="000000"/>
              </w:rPr>
            </w:pPr>
            <w:r>
              <w:rPr>
                <w:color w:val="000000"/>
              </w:rPr>
              <w:t xml:space="preserve">Sử dụng </w:t>
            </w:r>
            <w:r>
              <w:rPr>
                <w:color w:val="000000"/>
              </w:rPr>
              <w:t xml:space="preserve">chung: </w:t>
            </w:r>
            <w:r>
              <w:rPr>
                <w:color w:val="000000"/>
              </w:rPr>
              <w:t xml:space="preserve">12.472,6 </w:t>
            </w:r>
            <w:r>
              <w:rPr>
                <w:color w:val="000000"/>
              </w:rPr>
              <w:t xml:space="preserve">m²</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1874"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835"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1550"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w:t>
            </w:r>
            <w:r>
              <w:rPr>
                <w:color w:val="000000"/>
              </w:rPr>
              <w:t xml:space="preserve">nước </w:t>
            </w:r>
            <w:r>
              <w:rPr>
                <w:color w:val="000000"/>
              </w:rPr>
              <w:t xml:space="preserve">giao </w:t>
            </w:r>
            <w:r>
              <w:rPr>
                <w:color w:val="000000"/>
              </w:rPr>
              <w:t xml:space="preserve">đất </w:t>
            </w:r>
            <w:r>
              <w:rPr>
                <w:color w:val="000000"/>
              </w:rPr>
              <w:t xml:space="preserve">có </w:t>
            </w:r>
            <w:r>
              <w:rPr>
                <w:color w:val="000000"/>
              </w:rPr>
              <w:t xml:space="preserve">th</w:t>
            </w:r>
            <w:r>
              <w:rPr>
                <w:color w:val="000000"/>
              </w:rPr>
              <w:t xml:space="preserve">u </w:t>
            </w:r>
            <w:r>
              <w:rPr>
                <w:color w:val="000000"/>
              </w:rPr>
              <w:t xml:space="preserve">tiền </w:t>
            </w:r>
            <w:r>
              <w:rPr>
                <w:color w:val="000000"/>
              </w:rPr>
              <w:t xml:space="preserve">sử </w:t>
            </w:r>
            <w:r>
              <w:rPr>
                <w:color w:val="000000"/>
              </w:rPr>
              <w:t xml:space="preserve">dụng </w:t>
            </w:r>
            <w:r>
              <w:rPr>
                <w:color w:val="000000"/>
              </w:rPr>
              <w:t xml:space="preserve">đất </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615"/>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gridSpan w:val="3"/>
            <w:tcBorders/>
            <w:tcW w:w="6259" w:type="dxa"/>
            <w:vAlign w:val="center"/>
            <w:textDirection w:val="lrTb"/>
            <w:noWrap w:val="false"/>
          </w:tcPr>
          <w:p>
            <w:pPr>
              <w:pBdr/>
              <w:spacing/>
              <w:ind/>
              <w:jc w:val="center"/>
              <w:rPr>
                <w:color w:val="000000"/>
              </w:rPr>
            </w:pPr>
            <w:r>
              <w:rPr>
                <w:color w:val="000000"/>
              </w:rPr>
              <w:t xml:space="preserve">Đường </w:t>
            </w:r>
            <w:r>
              <w:rPr>
                <w:color w:val="000000"/>
              </w:rPr>
              <w:t xml:space="preserve">Thuỷ </w:t>
            </w:r>
            <w:r>
              <w:rPr>
                <w:color w:val="000000"/>
              </w:rPr>
              <w:t xml:space="preserve">Trúc</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1874" w:type="dxa"/>
            <w:vAlign w:val="center"/>
            <w:textDirection w:val="lrTb"/>
            <w:noWrap w:val="false"/>
          </w:tcPr>
          <w:p>
            <w:pPr>
              <w:pBdr/>
              <w:spacing/>
              <w:ind/>
              <w:jc w:val="center"/>
              <w:rPr>
                <w:color w:val="000000"/>
              </w:rPr>
            </w:pPr>
            <w:r>
              <w:rPr>
                <w:color w:val="000000" w:themeColor="text1"/>
              </w:rPr>
              <w:t xml:space="preserve">10,0</w:t>
            </w:r>
            <w:r>
              <w:rPr>
                <w:color w:val="000000"/>
              </w:rPr>
            </w:r>
            <w:r>
              <w:rPr>
                <w:color w:val="000000"/>
              </w:rPr>
            </w:r>
          </w:p>
        </w:tc>
        <w:tc>
          <w:tcPr>
            <w:tcBorders/>
            <w:tcW w:w="2835"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1550" w:type="dxa"/>
            <w:vAlign w:val="center"/>
            <w:textDirection w:val="lrTb"/>
            <w:noWrap w:val="false"/>
          </w:tcPr>
          <w:p>
            <w:pPr>
              <w:pBdr/>
              <w:spacing/>
              <w:ind/>
              <w:jc w:val="center"/>
              <w:rPr>
                <w:color w:val="000000"/>
              </w:rPr>
            </w:pPr>
            <w:r>
              <w:rPr>
                <w:color w:val="000000" w:themeColor="text1"/>
              </w:rPr>
              <w:t xml:space="preserve">10,0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w:t>
            </w:r>
            <w:r>
              <w:rPr>
                <w:color w:val="000000" w:themeColor="text1"/>
              </w:rPr>
              <w:t xml:space="preserve">ản </w:t>
            </w:r>
            <w:r>
              <w:rPr>
                <w:color w:val="000000" w:themeColor="text1"/>
              </w:rPr>
              <w:t xml:space="preserve">t</w:t>
            </w:r>
            <w:r>
              <w:rPr>
                <w:color w:val="000000" w:themeColor="text1"/>
              </w:rPr>
              <w:t xml:space="preserve">ại </w:t>
            </w:r>
            <w:r>
              <w:rPr>
                <w:color w:val="000000" w:themeColor="text1"/>
              </w:rPr>
              <w:t xml:space="preserve">tầng 21, </w:t>
            </w:r>
            <w:r>
              <w:rPr>
                <w:color w:val="000000" w:themeColor="text1"/>
              </w:rPr>
              <w:t xml:space="preserve">T</w:t>
            </w:r>
            <w:r>
              <w:rPr>
                <w:color w:val="000000" w:themeColor="text1"/>
              </w:rPr>
              <w:t xml:space="preserve">oà </w:t>
            </w:r>
            <w:r>
              <w:rPr>
                <w:color w:val="000000" w:themeColor="text1"/>
              </w:rPr>
              <w:t xml:space="preserve">nhà </w:t>
            </w:r>
            <w:r>
              <w:rPr>
                <w:color w:val="000000" w:themeColor="text1"/>
              </w:rPr>
              <w:t xml:space="preserve">L</w:t>
            </w:r>
            <w:r>
              <w:rPr>
                <w:color w:val="000000" w:themeColor="text1"/>
              </w:rPr>
              <w:t xml:space="preserve">AKE 2 (</w:t>
            </w:r>
            <w:r>
              <w:rPr>
                <w:color w:val="000000" w:themeColor="text1"/>
              </w:rPr>
              <w:t xml:space="preserve">A1), </w:t>
            </w:r>
            <w:r>
              <w:rPr>
                <w:color w:val="000000" w:themeColor="text1"/>
              </w:rPr>
              <w:t xml:space="preserve">Khu </w:t>
            </w:r>
            <w:r>
              <w:rPr>
                <w:color w:val="000000" w:themeColor="text1"/>
              </w:rPr>
              <w:t xml:space="preserve">căn </w:t>
            </w:r>
            <w:r>
              <w:rPr>
                <w:color w:val="000000" w:themeColor="text1"/>
              </w:rPr>
              <w:t xml:space="preserve">hộ </w:t>
            </w:r>
            <w:r>
              <w:rPr>
                <w:color w:val="000000" w:themeColor="text1"/>
              </w:rPr>
              <w:t xml:space="preserve">Vịn</w:t>
            </w:r>
            <w:r>
              <w:rPr>
                <w:color w:val="000000" w:themeColor="text1"/>
              </w:rPr>
              <w:t xml:space="preserve">h </w:t>
            </w:r>
            <w:r>
              <w:rPr>
                <w:color w:val="000000" w:themeColor="text1"/>
              </w:rPr>
              <w:t xml:space="preserve">Thuỷ (</w:t>
            </w:r>
            <w:r>
              <w:rPr>
                <w:color w:val="000000"/>
              </w:rPr>
              <w:t xml:space="preserve">A</w:t>
            </w:r>
            <w:r>
              <w:rPr>
                <w:color w:val="000000"/>
              </w:rPr>
              <w:t xml:space="preserve">qua </w:t>
            </w:r>
            <w:r>
              <w:rPr>
                <w:color w:val="000000"/>
              </w:rPr>
              <w:t xml:space="preserve">Bay) </w:t>
            </w:r>
            <w:r>
              <w:rPr>
                <w:color w:val="000000"/>
              </w:rPr>
              <w:t xml:space="preserve">Khu </w:t>
            </w:r>
            <w:r>
              <w:rPr>
                <w:color w:val="000000"/>
              </w:rPr>
              <w:t xml:space="preserve">đô </w:t>
            </w:r>
            <w:r>
              <w:rPr>
                <w:color w:val="000000"/>
              </w:rPr>
              <w:t xml:space="preserve">thị </w:t>
            </w:r>
            <w:r>
              <w:rPr>
                <w:color w:val="000000"/>
              </w:rPr>
              <w:t xml:space="preserve">Thương </w:t>
            </w:r>
            <w:r>
              <w:rPr>
                <w:color w:val="000000"/>
              </w:rPr>
              <w:t xml:space="preserve">mại </w:t>
            </w:r>
            <w:r>
              <w:rPr>
                <w:color w:val="000000"/>
              </w:rPr>
              <w:t xml:space="preserve">và </w:t>
            </w:r>
            <w:r>
              <w:rPr>
                <w:color w:val="000000"/>
              </w:rPr>
              <w:t xml:space="preserve">Du </w:t>
            </w:r>
            <w:r>
              <w:rPr>
                <w:color w:val="000000"/>
              </w:rPr>
              <w:t xml:space="preserve">lịch </w:t>
            </w:r>
            <w:r>
              <w:rPr>
                <w:color w:val="000000"/>
              </w:rPr>
              <w:t xml:space="preserve">Văn </w:t>
            </w:r>
            <w:r>
              <w:rPr>
                <w:color w:val="000000"/>
              </w:rPr>
              <w:t xml:space="preserve">Giang.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20.9517999</w:t>
            </w:r>
            <w:r>
              <w:rPr>
                <w:color w:val="000000"/>
              </w:rPr>
              <w:t xml:space="preserve">, </w:t>
            </w:r>
            <w:r>
              <w:rPr>
                <w:color w:val="000000"/>
              </w:rPr>
              <w:t xml:space="preserve">105.9382877</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278636"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623481833" name="" descr=""/>
                              <pic:cNvPicPr/>
                              <pic:nvPr/>
                            </pic:nvPicPr>
                            <pic:blipFill rotWithShape="1">
                              <a:blip r:embed="rId17"/>
                              <a:stretch/>
                            </pic:blipFill>
                            <pic:spPr bwMode="auto">
                              <a:xfrm rot="0" flipH="0" flipV="0">
                                <a:off x="0" y="0"/>
                                <a:ext cx="5278635"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5.64pt;height:200.00pt;mso-wrap-distance-left:0.00pt;mso-wrap-distance-top:0.00pt;mso-wrap-distance-right:0.00pt;mso-wrap-distance-bottom:0.00pt;rotation:0;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Thông </w:t>
            </w:r>
            <w:r>
              <w:rPr>
                <w:b/>
                <w:bCs/>
                <w:color w:val="000000"/>
              </w:rPr>
              <w:t xml:space="preserve">tin </w:t>
            </w:r>
            <w:r>
              <w:rPr>
                <w:b/>
                <w:bCs/>
                <w:color w:val="000000"/>
              </w:rPr>
              <w:t xml:space="preserve">về </w:t>
            </w:r>
            <w:r>
              <w:rPr>
                <w:b/>
                <w:bCs/>
                <w:color w:val="000000"/>
              </w:rPr>
              <w:t xml:space="preserve">căn </w:t>
            </w:r>
            <w:r>
              <w:rPr>
                <w:b/>
                <w:bCs/>
                <w:color w:val="000000"/>
              </w:rPr>
              <w:t xml:space="preserve">hộ </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w:t>
            </w:r>
            <w:r>
              <w:rPr>
                <w:color w:val="000000"/>
              </w:rPr>
              <w:t xml:space="preserve">sàn </w:t>
            </w:r>
            <w:r>
              <w:rPr>
                <w:color w:val="000000"/>
              </w:rPr>
              <w:t xml:space="preserve">xây </w:t>
            </w:r>
            <w:r>
              <w:rPr>
                <w:color w:val="000000"/>
              </w:rPr>
              <w:t xml:space="preserve">dựng </w:t>
            </w:r>
            <w:r>
              <w:rPr>
                <w:color w:val="000000"/>
              </w:rPr>
              <w:t xml:space="preserve">căn </w:t>
            </w:r>
            <w:r>
              <w:rPr>
                <w:color w:val="000000"/>
              </w:rPr>
              <w:t xml:space="preserve">hộ</w:t>
            </w:r>
            <w:r>
              <w:rPr>
                <w:color w:val="000000"/>
              </w:rPr>
              <w:t xml:space="preserve"> </w:t>
            </w:r>
            <w:r>
              <w:rPr>
                <w:color w:val="000000"/>
              </w:rPr>
              <w:t xml:space="preserve">(m²):</w:t>
            </w:r>
            <w:r>
              <w:rPr>
                <w:color w:val="000000"/>
              </w:rPr>
            </w:r>
            <w:r>
              <w:rPr>
                <w:color w:val="000000"/>
              </w:rPr>
            </w:r>
          </w:p>
        </w:tc>
        <w:tc>
          <w:tcPr>
            <w:tcBorders/>
            <w:tcW w:w="1874" w:type="dxa"/>
            <w:vAlign w:val="center"/>
            <w:textDirection w:val="lrTb"/>
            <w:noWrap w:val="false"/>
          </w:tcPr>
          <w:p>
            <w:pPr>
              <w:pBdr/>
              <w:spacing/>
              <w:ind/>
              <w:jc w:val="center"/>
              <w:rPr>
                <w:color w:val="000000"/>
              </w:rPr>
            </w:pPr>
            <w:r>
              <w:rPr>
                <w:color w:val="000000"/>
              </w:rPr>
              <w:t xml:space="preserve">117,10</w:t>
            </w:r>
            <w:r>
              <w:rPr>
                <w:color w:val="000000"/>
              </w:rPr>
            </w:r>
            <w:r>
              <w:rPr>
                <w:color w:val="000000"/>
              </w:rPr>
            </w:r>
          </w:p>
        </w:tc>
        <w:tc>
          <w:tcPr>
            <w:tcBorders/>
            <w:tcW w:w="2835" w:type="dxa"/>
            <w:vAlign w:val="center"/>
            <w:textDirection w:val="lrTb"/>
            <w:noWrap w:val="false"/>
          </w:tcPr>
          <w:p>
            <w:pPr>
              <w:pBdr/>
              <w:spacing/>
              <w:ind/>
              <w:rPr>
                <w:color w:val="000000"/>
              </w:rPr>
            </w:pPr>
            <w:r>
              <w:rPr>
                <w:color w:val="000000"/>
              </w:rPr>
              <w:t xml:space="preserve">Diện tích sử dụng </w:t>
            </w:r>
            <w:r>
              <w:rPr>
                <w:color w:val="000000"/>
              </w:rPr>
              <w:t xml:space="preserve">căn </w:t>
            </w:r>
            <w:r>
              <w:rPr>
                <w:color w:val="000000"/>
              </w:rPr>
              <w:t xml:space="preserve">hộ</w:t>
            </w:r>
            <w:r>
              <w:rPr>
                <w:color w:val="000000"/>
              </w:rPr>
              <w:t xml:space="preserve"> (m²):</w:t>
            </w:r>
            <w:r>
              <w:rPr>
                <w:color w:val="000000"/>
              </w:rPr>
            </w:r>
            <w:r>
              <w:rPr>
                <w:color w:val="000000"/>
              </w:rPr>
            </w:r>
          </w:p>
        </w:tc>
        <w:tc>
          <w:tcPr>
            <w:tcBorders/>
            <w:tcW w:w="1550" w:type="dxa"/>
            <w:vAlign w:val="center"/>
            <w:textDirection w:val="lrTb"/>
            <w:noWrap w:val="false"/>
          </w:tcPr>
          <w:p>
            <w:pPr>
              <w:pBdr/>
              <w:spacing/>
              <w:ind/>
              <w:jc w:val="center"/>
              <w:rPr>
                <w:color w:val="000000"/>
              </w:rPr>
            </w:pPr>
            <w:r>
              <w:rPr>
                <w:color w:val="000000" w:themeColor="text1"/>
              </w:rPr>
              <w:t xml:space="preserve">109,13</w:t>
            </w:r>
            <w:r>
              <w:rPr>
                <w:color w:val="000000"/>
              </w:rPr>
            </w:r>
            <w:r>
              <w:rPr>
                <w:color w:val="000000"/>
              </w:rPr>
            </w:r>
          </w:p>
        </w:tc>
      </w:tr>
      <w:tr>
        <w:trPr>
          <w:trHeight w:val="602"/>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Tên </w:t>
            </w:r>
            <w:r>
              <w:rPr>
                <w:color w:val="000000"/>
              </w:rPr>
              <w:t xml:space="preserve">nhà </w:t>
            </w:r>
            <w:r>
              <w:rPr>
                <w:color w:val="000000"/>
              </w:rPr>
              <w:t xml:space="preserve">chung </w:t>
            </w:r>
            <w:r>
              <w:rPr>
                <w:color w:val="000000"/>
              </w:rPr>
              <w:t xml:space="preserve">cư</w:t>
            </w:r>
            <w:r>
              <w:rPr>
                <w:color w:val="000000"/>
              </w:rPr>
            </w:r>
            <w:r>
              <w:rPr>
                <w:color w:val="000000"/>
              </w:rPr>
            </w:r>
          </w:p>
        </w:tc>
        <w:tc>
          <w:tcPr>
            <w:tcBorders/>
            <w:tcW w:w="1874" w:type="dxa"/>
            <w:vAlign w:val="center"/>
            <w:textDirection w:val="lrTb"/>
            <w:noWrap w:val="false"/>
          </w:tcPr>
          <w:p>
            <w:pPr>
              <w:pBdr/>
              <w:spacing/>
              <w:ind/>
              <w:jc w:val="center"/>
              <w:rPr>
                <w:color w:val="000000"/>
              </w:rPr>
            </w:pPr>
            <w:r>
              <w:rPr>
                <w:color w:val="000000" w:themeColor="text1"/>
              </w:rPr>
              <w:t xml:space="preserve">Toà </w:t>
            </w:r>
            <w:r>
              <w:rPr>
                <w:color w:val="000000" w:themeColor="text1"/>
              </w:rPr>
              <w:t xml:space="preserve">nhà </w:t>
            </w:r>
            <w:r>
              <w:rPr>
                <w:color w:val="000000" w:themeColor="text1"/>
              </w:rPr>
              <w:t xml:space="preserve">LAKE 2 (</w:t>
            </w:r>
            <w:r>
              <w:rPr>
                <w:color w:val="000000" w:themeColor="text1"/>
              </w:rPr>
              <w:t xml:space="preserve">A1), </w:t>
            </w:r>
            <w:r>
              <w:rPr>
                <w:color w:val="000000" w:themeColor="text1"/>
              </w:rPr>
              <w:t xml:space="preserve">Khu </w:t>
            </w:r>
            <w:r>
              <w:rPr>
                <w:color w:val="000000" w:themeColor="text1"/>
              </w:rPr>
              <w:t xml:space="preserve">căn </w:t>
            </w:r>
            <w:r>
              <w:rPr>
                <w:color w:val="000000" w:themeColor="text1"/>
              </w:rPr>
              <w:t xml:space="preserve">hộ </w:t>
            </w:r>
            <w:r>
              <w:rPr>
                <w:color w:val="000000" w:themeColor="text1"/>
              </w:rPr>
              <w:t xml:space="preserve">Vịnh </w:t>
            </w:r>
            <w:r>
              <w:rPr>
                <w:color w:val="000000" w:themeColor="text1"/>
              </w:rPr>
              <w:t xml:space="preserve">Thuỷ (</w:t>
            </w:r>
            <w:r>
              <w:rPr>
                <w:color w:val="000000" w:themeColor="text1"/>
              </w:rPr>
              <w:t xml:space="preserve">Aqua </w:t>
            </w:r>
            <w:r>
              <w:rPr>
                <w:color w:val="000000" w:themeColor="text1"/>
              </w:rPr>
              <w:t xml:space="preserve">Bay) </w:t>
            </w:r>
            <w:r>
              <w:rPr>
                <w:color w:val="000000" w:themeColor="text1"/>
              </w:rPr>
              <w:t xml:space="preserve">Khu </w:t>
            </w:r>
            <w:r>
              <w:rPr>
                <w:color w:val="000000" w:themeColor="text1"/>
              </w:rPr>
              <w:t xml:space="preserve">đô </w:t>
            </w:r>
            <w:r>
              <w:rPr>
                <w:color w:val="000000" w:themeColor="text1"/>
              </w:rPr>
              <w:t xml:space="preserve">thị </w:t>
            </w:r>
            <w:r>
              <w:rPr>
                <w:color w:val="000000" w:themeColor="text1"/>
              </w:rPr>
              <w:t xml:space="preserve">Thương </w:t>
            </w:r>
            <w:r>
              <w:rPr>
                <w:color w:val="000000" w:themeColor="text1"/>
              </w:rPr>
              <w:t xml:space="preserve">mại </w:t>
            </w:r>
            <w:r>
              <w:rPr>
                <w:color w:val="000000" w:themeColor="text1"/>
              </w:rPr>
              <w:t xml:space="preserve">và </w:t>
            </w:r>
            <w:r>
              <w:rPr>
                <w:color w:val="000000" w:themeColor="text1"/>
              </w:rPr>
              <w:t xml:space="preserve">Du </w:t>
            </w:r>
            <w:r>
              <w:rPr>
                <w:color w:val="000000" w:themeColor="text1"/>
              </w:rPr>
              <w:t xml:space="preserve">l</w:t>
            </w:r>
            <w:r>
              <w:rPr>
                <w:color w:val="000000" w:themeColor="text1"/>
              </w:rPr>
              <w:t xml:space="preserve">ịch</w:t>
            </w:r>
            <w:r>
              <w:rPr>
                <w:color w:val="000000" w:themeColor="text1"/>
              </w:rPr>
              <w:t xml:space="preserve">Văn </w:t>
            </w:r>
            <w:r>
              <w:rPr>
                <w:color w:val="000000" w:themeColor="text1"/>
              </w:rPr>
              <w:t xml:space="preserve">Giang</w:t>
            </w:r>
            <w:r>
              <w:rPr>
                <w:color w:val="000000"/>
              </w:rPr>
            </w:r>
            <w:r>
              <w:rPr>
                <w:color w:val="000000"/>
              </w:rPr>
            </w:r>
          </w:p>
        </w:tc>
        <w:tc>
          <w:tcPr>
            <w:tcBorders/>
            <w:tcW w:w="2835" w:type="dxa"/>
            <w:vAlign w:val="center"/>
            <w:textDirection w:val="lrTb"/>
            <w:noWrap w:val="false"/>
          </w:tcPr>
          <w:p>
            <w:pPr>
              <w:pBdr/>
              <w:spacing/>
              <w:ind/>
              <w:rPr/>
            </w:pPr>
            <w:r>
              <w:t xml:space="preserve">Thời </w:t>
            </w:r>
            <w:r>
              <w:t xml:space="preserve">hạn </w:t>
            </w:r>
            <w:r>
              <w:t xml:space="preserve">sở </w:t>
            </w:r>
            <w:r>
              <w:t xml:space="preserve">hữu</w:t>
            </w:r>
            <w:r/>
          </w:p>
        </w:tc>
        <w:tc>
          <w:tcPr>
            <w:tcBorders/>
            <w:tcW w:w="1550"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Số </w:t>
            </w:r>
            <w:r>
              <w:rPr>
                <w:color w:val="000000"/>
              </w:rPr>
              <w:t xml:space="preserve">tầng</w:t>
            </w:r>
            <w:r>
              <w:rPr>
                <w:color w:val="000000"/>
              </w:rPr>
            </w:r>
            <w:r>
              <w:rPr>
                <w:color w:val="000000"/>
              </w:rPr>
            </w:r>
          </w:p>
        </w:tc>
        <w:tc>
          <w:tcPr>
            <w:tcBorders/>
            <w:tcW w:w="1874" w:type="dxa"/>
            <w:vAlign w:val="center"/>
            <w:textDirection w:val="lrTb"/>
            <w:noWrap w:val="false"/>
          </w:tcPr>
          <w:p>
            <w:pPr>
              <w:pBdr/>
              <w:spacing/>
              <w:ind/>
              <w:jc w:val="center"/>
              <w:rPr>
                <w:color w:val="000000"/>
              </w:rPr>
            </w:pPr>
            <w:r>
              <w:rPr>
                <w:color w:val="000000"/>
              </w:rPr>
              <w:t xml:space="preserve">Tầng 21</w:t>
            </w:r>
            <w:r>
              <w:rPr>
                <w:color w:val="000000"/>
              </w:rPr>
            </w:r>
            <w:r>
              <w:rPr>
                <w:color w:val="000000"/>
              </w:rPr>
            </w:r>
          </w:p>
        </w:tc>
        <w:tc>
          <w:tcPr>
            <w:tcBorders/>
            <w:tcW w:w="2835" w:type="dxa"/>
            <w:vAlign w:val="center"/>
            <w:textDirection w:val="lrTb"/>
            <w:noWrap w:val="false"/>
          </w:tcPr>
          <w:p>
            <w:pPr>
              <w:pBdr/>
              <w:spacing/>
              <w:ind/>
              <w:rPr>
                <w:color w:val="000000"/>
              </w:rPr>
            </w:pPr>
            <w:r>
              <w:rPr>
                <w:color w:val="000000"/>
              </w:rPr>
              <w:t xml:space="preserve">Hướng </w:t>
            </w:r>
            <w:r>
              <w:rPr>
                <w:color w:val="000000"/>
              </w:rPr>
              <w:t xml:space="preserve">ban </w:t>
            </w:r>
            <w:r>
              <w:rPr>
                <w:color w:val="000000"/>
              </w:rPr>
              <w:t xml:space="preserve">công</w:t>
            </w:r>
            <w:r>
              <w:rPr>
                <w:color w:val="000000"/>
              </w:rPr>
            </w:r>
            <w:r>
              <w:rPr>
                <w:color w:val="000000"/>
              </w:rPr>
            </w:r>
          </w:p>
        </w:tc>
        <w:tc>
          <w:tcPr>
            <w:tcBorders/>
            <w:tcW w:w="1550" w:type="dxa"/>
            <w:vAlign w:val="center"/>
            <w:textDirection w:val="lrTb"/>
            <w:noWrap w:val="false"/>
          </w:tcPr>
          <w:p>
            <w:pPr>
              <w:pBdr/>
              <w:spacing/>
              <w:ind/>
              <w:jc w:val="center"/>
              <w:rPr>
                <w:color w:val="000000"/>
              </w:rPr>
            </w:pPr>
            <w:r>
              <w:rPr>
                <w:color w:val="000000" w:themeColor="text1"/>
              </w:rPr>
            </w:r>
            <w:r>
              <w:rPr>
                <w:color w:val="000000"/>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khu </w:t>
            </w:r>
            <w:r>
              <w:rPr>
                <w:color w:val="000000"/>
              </w:rPr>
              <w:t xml:space="preserve">đô </w:t>
            </w:r>
            <w:r>
              <w:rPr>
                <w:color w:val="000000"/>
              </w:rPr>
              <w:t xml:space="preserve">thị</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1874"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835"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1550"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1874" w:type="dxa"/>
            <w:vAlign w:val="center"/>
            <w:textDirection w:val="lrTb"/>
            <w:noWrap w:val="false"/>
          </w:tcPr>
          <w:p>
            <w:pPr>
              <w:pBdr/>
              <w:spacing/>
              <w:ind/>
              <w:jc w:val="center"/>
              <w:rPr>
                <w:color w:val="000000" w:themeColor="text1"/>
              </w:rPr>
            </w:pPr>
            <w:r>
              <w:rPr>
                <w:color w:val="000000" w:themeColor="text1"/>
              </w:rPr>
              <w:t xml:space="preserve">Phù </w:t>
            </w:r>
            <w:r>
              <w:rPr>
                <w:color w:val="000000" w:themeColor="text1"/>
              </w:rPr>
              <w:t xml:space="preserve">hợp </w:t>
            </w:r>
            <w:r>
              <w:rPr>
                <w:color w:val="000000" w:themeColor="text1"/>
              </w:rPr>
              <w:t xml:space="preserve">để </w:t>
            </w:r>
            <w:r>
              <w:rPr>
                <w:color w:val="000000" w:themeColor="text1"/>
              </w:rPr>
              <w:t xml:space="preserve">ở</w:t>
            </w:r>
            <w:r>
              <w:rPr>
                <w:color w:val="000000" w:themeColor="text1"/>
              </w:rPr>
            </w:r>
            <w:r>
              <w:rPr>
                <w:color w:val="000000" w:themeColor="text1"/>
              </w:rPr>
            </w:r>
          </w:p>
        </w:tc>
        <w:tc>
          <w:tcPr>
            <w:tcBorders/>
            <w:tcW w:w="2835"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1550"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Xã Phụng Công, huyện Văn Giang, tỉnh Hưng Yên</w:t>
            </w:r>
            <w:r/>
          </w:p>
        </w:tc>
        <w:tc>
          <w:tcPr>
            <w:tcBorders/>
            <w:tcW w:w="1605" w:type="dxa"/>
            <w:vAlign w:val="center"/>
            <w:textDirection w:val="lrTb"/>
            <w:noWrap w:val="false"/>
          </w:tcPr>
          <w:p>
            <w:pPr>
              <w:pBdr/>
              <w:spacing/>
              <w:ind/>
              <w:jc w:val="center"/>
              <w:rPr/>
            </w:pPr>
            <w:r>
              <w:t xml:space="preserve">Xã Phụng Công, Tỉnh Hưng Yên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w:t>
            </w:r>
            <w:r>
              <w:t xml:space="preserve">nhập </w:t>
            </w:r>
            <w:r>
              <w:t xml:space="preserve">địa </w:t>
            </w:r>
            <w:r>
              <w:t xml:space="preserve">giới </w:t>
            </w:r>
            <w:r>
              <w:t xml:space="preserve">hành </w:t>
            </w:r>
            <w:r>
              <w:t xml:space="preserve">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 </w:t>
            </w:r>
            <w:r>
              <w:t xml:space="preserve">đất</w:t>
            </w:r>
            <w:r/>
          </w:p>
        </w:tc>
        <w:tc>
          <w:tcPr>
            <w:tcBorders/>
            <w:tcW w:w="1560" w:type="dxa"/>
            <w:vAlign w:val="center"/>
            <w:textDirection w:val="lrTb"/>
            <w:noWrap w:val="false"/>
          </w:tcPr>
          <w:p>
            <w:pPr>
              <w:pBdr/>
              <w:spacing/>
              <w:ind/>
              <w:jc w:val="center"/>
              <w:rPr/>
            </w:pPr>
            <w:r>
              <w:t xml:space="preserve">Lâu </w:t>
            </w:r>
            <w:r>
              <w:t xml:space="preserve">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Diện tích </w:t>
            </w:r>
            <w:r>
              <w:t xml:space="preserve">sử </w:t>
            </w:r>
            <w:r>
              <w:t xml:space="preserve">dụng </w:t>
            </w:r>
            <w:r>
              <w:t xml:space="preserve">căn </w:t>
            </w:r>
            <w:r>
              <w:t xml:space="preserve">hộ</w:t>
            </w:r>
            <w:r/>
          </w:p>
        </w:tc>
        <w:tc>
          <w:tcPr>
            <w:tcBorders/>
            <w:tcW w:w="1560" w:type="dxa"/>
            <w:vAlign w:val="center"/>
            <w:textDirection w:val="lrTb"/>
            <w:noWrap w:val="false"/>
          </w:tcPr>
          <w:p>
            <w:pPr>
              <w:pBdr/>
              <w:spacing/>
              <w:ind/>
              <w:jc w:val="center"/>
              <w:rPr/>
            </w:pPr>
            <w:r>
              <w:t xml:space="preserve">109,13</w:t>
            </w:r>
            <w:r/>
          </w:p>
        </w:tc>
        <w:tc>
          <w:tcPr>
            <w:tcBorders/>
            <w:tcW w:w="1605" w:type="dxa"/>
            <w:vAlign w:val="center"/>
            <w:textDirection w:val="lrTb"/>
            <w:noWrap w:val="false"/>
          </w:tcPr>
          <w:p>
            <w:pPr>
              <w:pBdr/>
              <w:spacing/>
              <w:ind/>
              <w:jc w:val="center"/>
              <w:rPr/>
            </w:pPr>
            <w:r>
              <w:t xml:space="preserve">109,13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1020"/>
        <w:gridCol w:w="3374"/>
        <w:gridCol w:w="1560"/>
        <w:gridCol w:w="3571"/>
      </w:tblGrid>
      <w:tr>
        <w:trPr>
          <w:cantSplit/>
          <w:tblCellSpacing w:w="0" w:type="dxa"/>
          <w:trHeight w:val="300"/>
          <w:tblHeader/>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1304"/>
        <w:gridCol w:w="3090"/>
        <w:gridCol w:w="1560"/>
        <w:gridCol w:w="3571"/>
      </w:tblGrid>
      <w:tr>
        <w:trPr>
          <w:cantSplit/>
          <w:tblCellSpacing w:w="0" w:type="dxa"/>
          <w:trHeight w:val="300"/>
          <w:tblHeader/>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304"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090"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701"/>
        <w:gridCol w:w="1843"/>
        <w:gridCol w:w="1701"/>
        <w:gridCol w:w="1843"/>
        <w:gridCol w:w="1843"/>
      </w:tblGrid>
      <w:tr>
        <w:trPr>
          <w:trHeight w:val="3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A</w:t>
            </w:r>
            <w:r>
              <w:rPr>
                <w:sz w:val="22"/>
                <w:szCs w:val="22"/>
              </w:rPr>
            </w:r>
            <w:r>
              <w:rPr>
                <w:sz w:val="22"/>
                <w:szCs w:val="22"/>
              </w:rPr>
            </w:r>
          </w:p>
        </w:tc>
        <w:tc>
          <w:tcPr>
            <w:tcBorders>
              <w:top w:val="single" w:color="000000" w:sz="4" w:space="0"/>
              <w:bottom w:val="single" w:color="000000" w:sz="4" w:space="0"/>
              <w:right w:val="single" w:color="000000" w:sz="4" w:space="0"/>
            </w:tcBorders>
            <w:tcMar>
              <w:left w:w="0" w:type="dxa"/>
              <w:top w:w="0" w:type="dxa"/>
              <w:right w:w="0" w:type="dxa"/>
              <w:bottom w:w="0" w:type="dxa"/>
            </w:tcMar>
            <w:tcW w:w="1701" w:type="dxa"/>
            <w:vAlign w:val="top"/>
            <w:textDirection w:val="lrTb"/>
            <w:noWrap w:val="false"/>
          </w:tcPr>
          <w:p>
            <w:pPr>
              <w:pBdr/>
              <w:spacing w:after="0" w:before="0" w:line="240" w:lineRule="auto"/>
              <w:ind/>
              <w:rPr>
                <w:sz w:val="22"/>
                <w:szCs w:val="22"/>
              </w:rPr>
            </w:pPr>
            <w:r>
              <w:rPr>
                <w:rFonts w:ascii="Times New Roman" w:hAnsi="Times New Roman" w:eastAsia="Times New Roman" w:cs="Times New Roman"/>
                <w:b/>
                <w:color w:val="000000"/>
                <w:sz w:val="22"/>
                <w:szCs w:val="22"/>
              </w:rPr>
              <w:t xml:space="preserve">Thông tin về tài sản</w:t>
            </w:r>
            <w:r>
              <w:rPr>
                <w:sz w:val="22"/>
                <w:szCs w:val="22"/>
              </w:rPr>
            </w:r>
            <w:r>
              <w:rPr>
                <w:sz w:val="22"/>
                <w:szCs w:val="22"/>
              </w:rPr>
            </w:r>
          </w:p>
        </w:tc>
        <w:tc>
          <w:tcPr>
            <w:tcBorders>
              <w:top w:val="single" w:color="000000" w:sz="4" w:space="0"/>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 </w:t>
            </w:r>
            <w:r>
              <w:rPr>
                <w:sz w:val="22"/>
                <w:szCs w:val="22"/>
              </w:rPr>
            </w:r>
            <w:r>
              <w:rPr>
                <w:sz w:val="22"/>
                <w:szCs w:val="22"/>
              </w:rPr>
            </w:r>
          </w:p>
        </w:tc>
        <w:tc>
          <w:tcPr>
            <w:tcBorders>
              <w:top w:val="single" w:color="000000" w:sz="4" w:space="0"/>
              <w:bottom w:val="single" w:color="000000" w:sz="4" w:space="0"/>
              <w:right w:val="single" w:color="000000" w:sz="4" w:space="0"/>
            </w:tcBorders>
            <w:tcMar>
              <w:left w:w="0" w:type="dxa"/>
              <w:top w:w="0" w:type="dxa"/>
              <w:right w:w="0" w:type="dxa"/>
              <w:bottom w:w="0" w:type="dxa"/>
            </w:tcMar>
            <w:tcW w:w="1701"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top w:val="single" w:color="000000" w:sz="4" w:space="0"/>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 </w:t>
            </w:r>
            <w:r>
              <w:rPr>
                <w:sz w:val="22"/>
                <w:szCs w:val="22"/>
              </w:rPr>
            </w:r>
            <w:r>
              <w:rPr>
                <w:sz w:val="22"/>
                <w:szCs w:val="22"/>
              </w:rPr>
            </w:r>
          </w:p>
        </w:tc>
        <w:tc>
          <w:tcPr>
            <w:tcBorders>
              <w:top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 </w:t>
            </w:r>
            <w:r>
              <w:rPr>
                <w:sz w:val="22"/>
                <w:szCs w:val="22"/>
              </w:rPr>
            </w:r>
            <w:r>
              <w:rPr>
                <w:sz w:val="22"/>
                <w:szCs w:val="22"/>
              </w:rPr>
            </w:r>
          </w:p>
        </w:tc>
      </w:tr>
      <w:tr>
        <w:trPr>
          <w:trHeight w:val="3118"/>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Địa chỉ</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hộ AQL22111  Tầng 21, Toà nhà LAKE 2, Khu căn hộ Vịnh Thuỷ (Aqua Bay) Khu đô thị Thương mại và Du lịch Văn Giang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hộ Tầng 28, Toà nhà LAKE 2, Khu căn hộ Vịnh Thuỷ (Aqua Bay) Khu đô thị Thương mại và Du lịch Văn Giang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hộ tầng 12A, Toà nhà SKY3, Khu căn hộ Vịnh Thuỷ (Aqua Bay) Khu đô thị Thương mại và Du lịch Văn Giang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hộ tầng trung, Toà nhà LAKE 2, Khu căn hộ Vịnh Thuỷ (Aqua Bay) Khu đô thị Thương mại và Du lịch Văn Giang</w:t>
            </w:r>
            <w:r>
              <w:rPr>
                <w:sz w:val="22"/>
                <w:szCs w:val="22"/>
              </w:rPr>
            </w:r>
            <w:r>
              <w:rPr>
                <w:sz w:val="22"/>
                <w:szCs w:val="22"/>
              </w:rPr>
            </w:r>
          </w:p>
        </w:tc>
      </w:tr>
      <w:tr>
        <w:trPr>
          <w:trHeight w:val="5234"/>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Nguồn tham khảo</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hd w:val="nil" w:color="auto"/>
              <w:spacing/>
              <w:ind/>
              <w:rPr>
                <w:sz w:val="22"/>
                <w:szCs w:val="22"/>
                <w14:ligatures w14:val="none"/>
              </w:rPr>
            </w:pPr>
            <w:r>
              <w:rPr>
                <w:sz w:val="22"/>
                <w:szCs w:val="22"/>
              </w:rPr>
              <w:t xml:space="preserve"> </w:t>
            </w:r>
            <w:r>
              <w:rPr>
                <w:sz w:val="22"/>
                <w:szCs w:val="22"/>
                <w14:ligatures w14:val="none"/>
              </w:rPr>
            </w:r>
            <w:r>
              <w:rPr>
                <w:sz w:val="22"/>
                <w:szCs w:val="22"/>
                <w14:ligatures w14:val="non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hd w:val="nil" w:color="auto"/>
              <w:spacing/>
              <w:ind/>
              <w:rPr>
                <w:sz w:val="22"/>
                <w:szCs w:val="22"/>
                <w14:ligatures w14:val="none"/>
              </w:rPr>
            </w:pPr>
            <w:r/>
            <w:hyperlink r:id="rId18" w:tooltip="https://web.facebook.com/groups/257527808260461/posts/1883821825631043/?_rdc=1&amp;_rdr" w:history="1">
              <w:r>
                <w:rPr>
                  <w:sz w:val="22"/>
                  <w:szCs w:val="22"/>
                </w:rPr>
                <w:t xml:space="preserve">https://web.facebook.com/groups/257527808260461/posts/1883821825631043/?_rdc=1&amp;_rdr#</w:t>
              </w:r>
            </w:hyperlink>
            <w:r>
              <w:rPr>
                <w:sz w:val="22"/>
                <w:szCs w:val="22"/>
                <w14:ligatures w14:val="none"/>
              </w:rPr>
            </w:r>
            <w:r>
              <w:rPr>
                <w:sz w:val="22"/>
                <w:szCs w:val="22"/>
                <w14:ligatures w14:val="non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hd w:val="nil" w:color="auto"/>
              <w:spacing/>
              <w:ind/>
              <w:rPr>
                <w:sz w:val="22"/>
                <w:szCs w:val="22"/>
                <w14:ligatures w14:val="none"/>
              </w:rPr>
            </w:pPr>
            <w:r>
              <w:rPr>
                <w:sz w:val="22"/>
                <w:szCs w:val="22"/>
              </w:rPr>
              <w:t xml:space="preserve">Liên hệ trực tiếp</w:t>
            </w:r>
            <w:r>
              <w:rPr>
                <w:sz w:val="22"/>
                <w:szCs w:val="22"/>
                <w14:ligatures w14:val="none"/>
              </w:rPr>
            </w:r>
            <w:r>
              <w:rPr>
                <w:sz w:val="22"/>
                <w:szCs w:val="22"/>
                <w14:ligatures w14:val="non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hd w:val="nil" w:color="auto"/>
              <w:spacing/>
              <w:ind/>
              <w:rPr>
                <w:sz w:val="22"/>
                <w:szCs w:val="22"/>
                <w14:ligatures w14:val="none"/>
              </w:rPr>
            </w:pPr>
            <w:r/>
            <w:hyperlink r:id="rId19" w:tooltip="https://batdongsan.com.vn/ban-can-ho-chung-cu-xa-xuan-quan-aqua-bay-sky-residences/ban-3-ngu-toa-lake2-ecopark-tang-trung-huong-ong-nam-gia-6-7-ty-bao-phi-pr45384748?gidzl=2UfJNqMlIaiAzr9QIRHAJmNtKbbGiXeU4_9I2rgzIHX7yrCA3-D9JK7tKbm8iqv9GVS43cPxTYacGQjCJG#js__pr-expired__content-anchor" w:history="1">
              <w:r>
                <w:rPr>
                  <w:sz w:val="22"/>
                  <w:szCs w:val="22"/>
                </w:rPr>
                <w:t xml:space="preserve">https://batdongsan.com.vn/ban-can-ho-chung-cu-xa-xuan-quan-aqua-bay-sky-residences/ban-3-ngu-toa-lake2-ecopark-tang-trung-huong-ong-nam-gia-6-7-ty-bao-phi-pr45384748?gidzl=2UfJNqMlIaiAzr9QIRHAJmNtKbbGiXeU4_9I2rgzIHX7yrCA3-D9JK7tKbm8iqv9GVS43cPxTYacGQjCJG#j</w:t>
              </w:r>
              <w:r>
                <w:rPr>
                  <w:sz w:val="22"/>
                  <w:szCs w:val="22"/>
                </w:rPr>
                <w:t xml:space="preserve">s__pr-expired__content-anchor</w:t>
              </w:r>
            </w:hyperlink>
            <w:r>
              <w:rPr>
                <w:sz w:val="22"/>
                <w:szCs w:val="22"/>
                <w14:ligatures w14:val="none"/>
              </w:rPr>
            </w:r>
            <w:r>
              <w:rPr>
                <w:sz w:val="22"/>
                <w:szCs w:val="22"/>
                <w14:ligatures w14:val="none"/>
              </w:rPr>
            </w:r>
          </w:p>
        </w:tc>
      </w:tr>
      <w:tr>
        <w:trPr>
          <w:trHeight w:val="9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Thông tin liên lạc</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0926 563 555.</w:t>
              <w:br/>
              <w:t xml:space="preserve">(Sale Ly)</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098.226.5513</w:t>
              <w:br/>
              <w:t xml:space="preserve">(Sale Nhung Ecopark)</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0925988286</w:t>
              <w:br/>
              <w:t xml:space="preserve">(Sale Sơn)</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3</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Tình trạng giao dịch</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Đang giao dịch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Đang giao dịch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Đang giao dịch  </w:t>
            </w:r>
            <w:r>
              <w:rPr>
                <w:sz w:val="22"/>
                <w:szCs w:val="22"/>
              </w:rPr>
            </w:r>
            <w:r>
              <w:rPr>
                <w:sz w:val="22"/>
                <w:szCs w:val="22"/>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Thời điểm thu thập thông tin</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Tháng 7/2026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Tháng 7/2026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Tháng 7/2026 </w:t>
            </w:r>
            <w:r>
              <w:rPr>
                <w:sz w:val="22"/>
                <w:szCs w:val="22"/>
              </w:rPr>
            </w:r>
            <w:r>
              <w:rPr>
                <w:sz w:val="22"/>
                <w:szCs w:val="22"/>
              </w:rPr>
            </w:r>
          </w:p>
        </w:tc>
      </w:tr>
      <w:tr>
        <w:trPr>
          <w:trHeight w:val="1082"/>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5</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Pháp lý</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rFonts w:ascii="Times New Roman" w:hAnsi="Times New Roman" w:eastAsia="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eastAsia="Times New Roman" w:cs="Times New Roman"/>
                <w:color w:val="000000" w:themeColor="text1"/>
                <w:sz w:val="22"/>
                <w:szCs w:val="22"/>
                <w:highlight w:val="none"/>
              </w:rPr>
            </w:r>
            <w:r>
              <w:rPr>
                <w:rFonts w:ascii="Times New Roman" w:hAnsi="Times New Roman" w:eastAsia="Times New Roman" w:cs="Times New Roman"/>
                <w:color w:val="000000" w:themeColor="text1"/>
                <w:sz w:val="22"/>
                <w:szCs w:val="22"/>
                <w:highlight w:val="non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ind/>
              <w:jc w:val="center"/>
              <w:rPr>
                <w:color w:val="000000" w:themeColor="text1"/>
              </w:rPr>
            </w:pPr>
            <w:r>
              <w:rPr>
                <w:color w:val="000000" w:themeColor="text1"/>
              </w:rPr>
            </w:r>
            <w:r>
              <w:rPr>
                <w:rFonts w:ascii="Times New Roman" w:hAnsi="Times New Roman" w:eastAsia="Times New Roman" w:cs="Times New Roman"/>
                <w:color w:val="000000" w:themeColor="text1"/>
                <w:sz w:val="22"/>
                <w:szCs w:val="22"/>
              </w:rPr>
              <w:t xml:space="preserve">Giấy chứng nhận quyền sử dụng đất</w:t>
            </w:r>
            <w:r>
              <w:rPr>
                <w:color w:val="000000" w:themeColor="text1"/>
              </w:rPr>
            </w:r>
            <w:r>
              <w:rPr>
                <w:color w:val="000000" w:themeColor="text1"/>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ind/>
              <w:jc w:val="center"/>
              <w:rPr>
                <w:color w:val="000000" w:themeColor="text1"/>
              </w:rPr>
            </w:pPr>
            <w:r>
              <w:rPr>
                <w:color w:val="000000" w:themeColor="text1"/>
              </w:rPr>
            </w:r>
            <w:r>
              <w:rPr>
                <w:rFonts w:ascii="Times New Roman" w:hAnsi="Times New Roman" w:eastAsia="Times New Roman" w:cs="Times New Roman"/>
                <w:color w:val="000000" w:themeColor="text1"/>
                <w:sz w:val="22"/>
                <w:szCs w:val="22"/>
              </w:rPr>
              <w:t xml:space="preserve">Giấy chứng nhận quyền sử dụng đất</w:t>
            </w:r>
            <w:r>
              <w:rPr>
                <w:color w:val="000000" w:themeColor="text1"/>
              </w:rPr>
            </w:r>
            <w:r>
              <w:rPr>
                <w:color w:val="000000" w:themeColor="text1"/>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ind/>
              <w:jc w:val="center"/>
              <w:rPr>
                <w:color w:val="000000" w:themeColor="text1"/>
              </w:rPr>
            </w:pPr>
            <w:r>
              <w:rPr>
                <w:color w:val="000000" w:themeColor="text1"/>
              </w:rPr>
            </w:r>
            <w:r>
              <w:rPr>
                <w:rFonts w:ascii="Times New Roman" w:hAnsi="Times New Roman" w:eastAsia="Times New Roman" w:cs="Times New Roman"/>
                <w:color w:val="000000" w:themeColor="text1"/>
                <w:sz w:val="22"/>
                <w:szCs w:val="22"/>
              </w:rPr>
              <w:t xml:space="preserve">Giấy chứng nhận quyền sử dụng đất</w:t>
            </w:r>
            <w:r>
              <w:rPr>
                <w:color w:val="000000" w:themeColor="text1"/>
              </w:rPr>
            </w:r>
            <w:r>
              <w:rPr>
                <w:color w:val="000000" w:themeColor="text1"/>
              </w:rPr>
            </w:r>
          </w:p>
        </w:tc>
      </w:tr>
      <w:tr>
        <w:trPr>
          <w:trHeight w:val="557"/>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Mục đích sử dụng </w:t>
            </w:r>
            <w:r>
              <w:rPr>
                <w:rFonts w:ascii="Times New Roman" w:hAnsi="Times New Roman" w:eastAsia="Times New Roman" w:cs="Times New Roman"/>
                <w:color w:val="000000"/>
                <w:sz w:val="22"/>
                <w:szCs w:val="22"/>
              </w:rPr>
              <w:t xml:space="preserve">căn </w:t>
            </w:r>
            <w:r>
              <w:rPr>
                <w:rFonts w:ascii="Times New Roman" w:hAnsi="Times New Roman" w:eastAsia="Times New Roman" w:cs="Times New Roman"/>
                <w:color w:val="000000"/>
                <w:sz w:val="22"/>
                <w:szCs w:val="22"/>
              </w:rPr>
              <w:t xml:space="preserve">hộ</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Phù </w:t>
            </w:r>
            <w:r>
              <w:rPr>
                <w:rFonts w:ascii="Times New Roman" w:hAnsi="Times New Roman" w:eastAsia="Times New Roman" w:cs="Times New Roman"/>
                <w:color w:val="000000"/>
                <w:sz w:val="22"/>
                <w:szCs w:val="22"/>
              </w:rPr>
              <w:t xml:space="preserve">hợp </w:t>
            </w:r>
            <w:r>
              <w:rPr>
                <w:rFonts w:ascii="Times New Roman" w:hAnsi="Times New Roman" w:eastAsia="Times New Roman" w:cs="Times New Roman"/>
                <w:color w:val="000000"/>
                <w:sz w:val="22"/>
                <w:szCs w:val="22"/>
              </w:rPr>
              <w:t xml:space="preserve">để </w:t>
            </w:r>
            <w:r>
              <w:rPr>
                <w:rFonts w:ascii="Times New Roman" w:hAnsi="Times New Roman" w:eastAsia="Times New Roman" w:cs="Times New Roman"/>
                <w:color w:val="000000"/>
                <w:sz w:val="22"/>
                <w:szCs w:val="22"/>
              </w:rPr>
              <w:t xml:space="preserve">ở</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Phù </w:t>
            </w:r>
            <w:r>
              <w:rPr>
                <w:rFonts w:ascii="Times New Roman" w:hAnsi="Times New Roman" w:eastAsia="Times New Roman" w:cs="Times New Roman"/>
                <w:color w:val="000000"/>
                <w:sz w:val="22"/>
                <w:szCs w:val="22"/>
              </w:rPr>
              <w:t xml:space="preserve">hợp </w:t>
            </w:r>
            <w:r>
              <w:rPr>
                <w:rFonts w:ascii="Times New Roman" w:hAnsi="Times New Roman" w:eastAsia="Times New Roman" w:cs="Times New Roman"/>
                <w:color w:val="000000"/>
                <w:sz w:val="22"/>
                <w:szCs w:val="22"/>
              </w:rPr>
              <w:t xml:space="preserve">để </w:t>
            </w:r>
            <w:r>
              <w:rPr>
                <w:rFonts w:ascii="Times New Roman" w:hAnsi="Times New Roman" w:eastAsia="Times New Roman" w:cs="Times New Roman"/>
                <w:color w:val="000000"/>
                <w:sz w:val="22"/>
                <w:szCs w:val="22"/>
              </w:rPr>
              <w:t xml:space="preserve">ở</w:t>
            </w:r>
            <w:r>
              <w:rPr>
                <w:sz w:val="22"/>
                <w:szCs w:val="22"/>
              </w:rPr>
            </w: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Phù </w:t>
            </w:r>
            <w:r>
              <w:rPr>
                <w:rFonts w:ascii="Times New Roman" w:hAnsi="Times New Roman" w:eastAsia="Times New Roman" w:cs="Times New Roman"/>
                <w:color w:val="000000"/>
                <w:sz w:val="22"/>
                <w:szCs w:val="22"/>
              </w:rPr>
              <w:t xml:space="preserve">hợp </w:t>
            </w:r>
            <w:r>
              <w:rPr>
                <w:rFonts w:ascii="Times New Roman" w:hAnsi="Times New Roman" w:eastAsia="Times New Roman" w:cs="Times New Roman"/>
                <w:color w:val="000000"/>
                <w:sz w:val="22"/>
                <w:szCs w:val="22"/>
              </w:rPr>
              <w:t xml:space="preserve">để </w:t>
            </w:r>
            <w:r>
              <w:rPr>
                <w:rFonts w:ascii="Times New Roman" w:hAnsi="Times New Roman" w:eastAsia="Times New Roman" w:cs="Times New Roman"/>
                <w:color w:val="000000"/>
                <w:sz w:val="22"/>
                <w:szCs w:val="22"/>
              </w:rPr>
              <w:t xml:space="preserve">ở</w:t>
            </w:r>
            <w:r>
              <w:rPr>
                <w:sz w:val="22"/>
                <w:szCs w:val="22"/>
              </w:rPr>
            </w: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Phù </w:t>
            </w:r>
            <w:r>
              <w:rPr>
                <w:rFonts w:ascii="Times New Roman" w:hAnsi="Times New Roman" w:eastAsia="Times New Roman" w:cs="Times New Roman"/>
                <w:color w:val="000000"/>
                <w:sz w:val="22"/>
                <w:szCs w:val="22"/>
              </w:rPr>
              <w:t xml:space="preserve">hợp </w:t>
            </w:r>
            <w:r>
              <w:rPr>
                <w:rFonts w:ascii="Times New Roman" w:hAnsi="Times New Roman" w:eastAsia="Times New Roman" w:cs="Times New Roman"/>
                <w:color w:val="000000"/>
                <w:sz w:val="22"/>
                <w:szCs w:val="22"/>
              </w:rPr>
              <w:t xml:space="preserve">để </w:t>
            </w:r>
            <w:r>
              <w:rPr>
                <w:rFonts w:ascii="Times New Roman" w:hAnsi="Times New Roman" w:eastAsia="Times New Roman" w:cs="Times New Roman"/>
                <w:color w:val="000000"/>
                <w:sz w:val="22"/>
                <w:szCs w:val="22"/>
              </w:rPr>
              <w:t xml:space="preserve">ở</w:t>
            </w:r>
            <w:r>
              <w:rPr>
                <w:sz w:val="22"/>
                <w:szCs w:val="22"/>
              </w:rPr>
            </w:r>
            <w:r/>
          </w:p>
        </w:tc>
      </w:tr>
      <w:tr>
        <w:trPr>
          <w:trHeight w:val="36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7</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Thời hạn sử dụng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Lâu dài</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Lâu dài</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Lâu dài</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Lâu dài</w:t>
            </w:r>
            <w:r>
              <w:rPr>
                <w:sz w:val="22"/>
                <w:szCs w:val="22"/>
              </w:rPr>
            </w:r>
            <w:r>
              <w:rPr>
                <w:sz w:val="22"/>
                <w:szCs w:val="22"/>
              </w:rPr>
            </w:r>
          </w:p>
        </w:tc>
      </w:tr>
      <w:tr>
        <w:trPr>
          <w:trHeight w:val="2784"/>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8</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Vị trí</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tại: Căn hộ AQL22111  Tầng 21, Toà nhà LAKE 2, Khu căn hộ Vịnh Thuỷ (Aqua Bay) Khu đô thị Thương mại và Du lịch Văn Giang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tại: Căn hộ Tầng 28, Toà nhà LAKE 2, Khu căn hộ Vịnh Thuỷ (Aqua Bay) Khu đô thị Thương mại và Du lịch Văn Giang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tại: Căn hộ tầng 12A, Toà nhà SKY3, Khu căn hộ Vịnh Thuỷ (Aqua Bay) Khu đô thị Thương mại và Du lịch Văn Giang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tại: Căn hộ tầng trung, Toà nhà LAKE 2, Khu căn hộ Vịnh Thuỷ (Aqua Bay) Khu đô thị Thương mại và Du lịch Văn Giang</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9</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Diện tích căn hộ (m²)</w:t>
            </w:r>
            <w:r>
              <w:rPr>
                <w:sz w:val="22"/>
                <w:szCs w:val="22"/>
              </w:rPr>
            </w:r>
            <w:r>
              <w:rPr>
                <w:sz w:val="22"/>
                <w:szCs w:val="22"/>
              </w:rPr>
            </w:r>
          </w:p>
        </w:tc>
        <w:tc>
          <w:tcPr>
            <w:shd w:val="clear" w:color="ffffff" w:fill="ffffff"/>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109,13</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109,13</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69</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90</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10</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Số tầng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21</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28</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12A</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Tầng trung </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11</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Loại căn hộ</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thường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thường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thường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Căn thường</w:t>
            </w:r>
            <w:r>
              <w:rPr>
                <w:sz w:val="22"/>
                <w:szCs w:val="22"/>
              </w:rPr>
            </w:r>
            <w:r>
              <w:rPr>
                <w:sz w:val="22"/>
                <w:szCs w:val="22"/>
              </w:rPr>
            </w:r>
          </w:p>
        </w:tc>
      </w:tr>
      <w:tr>
        <w:trPr>
          <w:trHeight w:val="9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12</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Kết cấu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3 phòng ngủ, 2 nhà vệ sinh, 1 bếp, 1 lô gia lớn</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3 phòng ngủ, 2 nhà vệ sinh, 1 bếp, 1 lô gia lớn</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 phòng ngủ, 2 nhà vệ sinh, 1 bếp, 1 lô gia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3 phòng ngủ, 2 nhà vệ sinh, 1 bếp, 1 lô gia lớn</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13</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Hướng ban công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Nam</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Đông Nam</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Đông Nam</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Đông Nam</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14</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Nội thất</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Nội thất cơ bản</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Nội thất cơ bản</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Nội thất cơ bản</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Nội thất cơ bản</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15</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Giá rao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8.800.000.000</w:t>
            </w:r>
            <w:r>
              <w:rPr>
                <w:sz w:val="22"/>
                <w:szCs w:val="22"/>
              </w:rPr>
            </w:r>
            <w:r>
              <w:rPr>
                <w:sz w:val="22"/>
                <w:szCs w:val="22"/>
              </w:rPr>
            </w:r>
          </w:p>
        </w:tc>
        <w:tc>
          <w:tcPr>
            <w:shd w:val="clear" w:color="ffffff" w:fill="ffffff"/>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4.580.000.000</w:t>
            </w:r>
            <w:r>
              <w:rPr>
                <w:sz w:val="22"/>
                <w:szCs w:val="22"/>
              </w:rPr>
            </w:r>
            <w:r>
              <w:rPr>
                <w:sz w:val="22"/>
                <w:szCs w:val="22"/>
              </w:rPr>
            </w:r>
          </w:p>
        </w:tc>
        <w:tc>
          <w:tcPr>
            <w:shd w:val="clear" w:color="ffffff" w:fill="ffffff"/>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6.700.000.000</w:t>
            </w:r>
            <w:r>
              <w:rPr>
                <w:sz w:val="22"/>
                <w:szCs w:val="22"/>
              </w:rPr>
            </w:r>
            <w:r>
              <w:rPr>
                <w:sz w:val="22"/>
                <w:szCs w:val="22"/>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16</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Giá thương lượng/bán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8.360.000.000</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4.351.000.000</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6.365.000.000</w:t>
            </w:r>
            <w:r>
              <w:rPr>
                <w:sz w:val="22"/>
                <w:szCs w:val="22"/>
              </w:rPr>
            </w:r>
            <w:r>
              <w:rPr>
                <w:sz w:val="22"/>
                <w:szCs w:val="22"/>
              </w:rPr>
            </w:r>
          </w:p>
        </w:tc>
      </w:tr>
      <w:tr>
        <w:trPr>
          <w:trHeight w:val="315"/>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B</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b/>
                <w:color w:val="000000"/>
                <w:sz w:val="22"/>
                <w:szCs w:val="22"/>
              </w:rPr>
              <w:t xml:space="preserve">Chi tiết tính toán</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1</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b/>
                <w:color w:val="000000"/>
                <w:sz w:val="22"/>
                <w:szCs w:val="22"/>
              </w:rPr>
              <w:t xml:space="preserve">Giá trị đất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8.360.000.000</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4.351.000.000</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6.365.000.000</w:t>
            </w:r>
            <w:r>
              <w:rPr>
                <w:sz w:val="22"/>
                <w:szCs w:val="22"/>
              </w:rPr>
            </w:r>
            <w:r>
              <w:rPr>
                <w:sz w:val="22"/>
                <w:szCs w:val="22"/>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2</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b/>
                <w:color w:val="000000"/>
                <w:sz w:val="22"/>
                <w:szCs w:val="22"/>
              </w:rPr>
              <w:t xml:space="preserve">Đơn giá QSDĐ (đồng/m²)</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76.605.883</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63.057.971</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70.722.222</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C</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b/>
                <w:color w:val="000000"/>
                <w:sz w:val="22"/>
                <w:szCs w:val="22"/>
              </w:rPr>
              <w:t xml:space="preserve">NHẬN XÉT</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Pháp lý</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Mục đích sử dụng đất</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3</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Thời hạn sử dụng đất</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Vị trí</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5</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Diện tích căn hộ (m²)</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Lợi thế hơn</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Lợi thế hơn</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6</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Số tầng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Lợi thế hơn</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Kém lợi thế hơn</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Kém lợi thế hơn</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7</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Loại căn hộ</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8</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Kết cấu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Kém lợi thế hơn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9</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Hướng ban công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10</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Nội thất</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Tương đồng</w:t>
            </w:r>
            <w:r>
              <w:rPr>
                <w:sz w:val="22"/>
                <w:szCs w:val="22"/>
              </w:rPr>
            </w:r>
            <w:r>
              <w:rPr>
                <w:sz w:val="22"/>
                <w:szCs w:val="22"/>
              </w:rPr>
            </w:r>
          </w:p>
        </w:tc>
      </w:tr>
    </w:tbl>
    <w:p>
      <w:pPr>
        <w:pBdr/>
        <w:tabs>
          <w:tab w:val="left" w:leader="none" w:pos="720"/>
        </w:tabs>
        <w:spacing w:after="120" w:before="120" w:line="276" w:lineRule="auto"/>
        <w:ind w:firstLine="0" w:left="0"/>
        <w:jc w:val="both"/>
        <w:rPr>
          <w:b/>
          <w:bCs/>
          <w:lang w:val="nl-NL"/>
        </w:rPr>
      </w:pPr>
      <w:r>
        <w:rPr>
          <w:b/>
          <w:highlight w:val="none"/>
          <w:lang w:val="nl-NL" w:bidi="nl-NL"/>
        </w:rPr>
      </w:r>
      <w:r>
        <w:rPr>
          <w:b/>
          <w:bCs/>
          <w:lang w:val="nl-NL"/>
        </w:rPr>
      </w:r>
      <w:r>
        <w:rPr>
          <w:b/>
          <w:bCs/>
          <w:lang w:val="nl-NL"/>
        </w:rPr>
      </w:r>
    </w:p>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00"/>
        <w:gridCol w:w="1402"/>
        <w:gridCol w:w="694"/>
        <w:gridCol w:w="1727"/>
        <w:gridCol w:w="1530"/>
        <w:gridCol w:w="1630"/>
        <w:gridCol w:w="1631"/>
      </w:tblGrid>
      <w:tr>
        <w:trPr>
          <w:trHeight w:val="63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12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8.360.000.000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4.351.000.000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6.365.000.000</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76.605.883</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63.057.971</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70.722.222</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1222"/>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Giấy chứng nhận quyền sử dụng đất</w:t>
            </w:r>
            <w:r>
              <w:rPr>
                <w:rFonts w:ascii="Times New Roman" w:hAnsi="Times New Roman" w:eastAsia="Times New Roman" w:cs="Times New Roman"/>
                <w:color w:val="000000"/>
                <w:sz w:val="22"/>
                <w:szCs w:val="22"/>
                <w:highlight w:val="none"/>
              </w:rPr>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Giấy chứng nhận quyền sử dụng đất</w:t>
            </w:r>
            <w:r>
              <w:rPr>
                <w:rFonts w:ascii="Times New Roman" w:hAnsi="Times New Roman" w:eastAsia="Times New Roman" w:cs="Times New Roman"/>
                <w:color w:val="000000"/>
                <w:sz w:val="22"/>
                <w:szCs w:val="22"/>
                <w:highlight w:val="none"/>
              </w:rPr>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Giấy chứng nhận quyền sử dụng đất</w:t>
            </w:r>
            <w:r>
              <w:rPr>
                <w:rFonts w:ascii="Times New Roman" w:hAnsi="Times New Roman" w:eastAsia="Times New Roman" w:cs="Times New Roman"/>
                <w:color w:val="000000"/>
                <w:sz w:val="22"/>
                <w:szCs w:val="22"/>
                <w:highlight w:val="none"/>
              </w:rPr>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Giấy chứng nhận quyền sử dụng đất</w:t>
            </w:r>
            <w:r>
              <w:rPr>
                <w:rFonts w:ascii="Times New Roman" w:hAnsi="Times New Roman" w:eastAsia="Times New Roman" w:cs="Times New Roman"/>
                <w:color w:val="000000"/>
                <w:sz w:val="22"/>
                <w:szCs w:val="22"/>
                <w:highlight w:val="none"/>
              </w:rPr>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76.605.883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63.057.971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70.722.222 </w:t>
            </w:r>
            <w:r/>
          </w:p>
        </w:tc>
      </w:tr>
      <w:tr>
        <w:trPr>
          <w:trHeight w:val="9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Mục đích sử dụng </w:t>
            </w:r>
            <w:r>
              <w:rPr>
                <w:rFonts w:ascii="Times New Roman" w:hAnsi="Times New Roman" w:eastAsia="Times New Roman" w:cs="Times New Roman"/>
                <w:b/>
                <w:color w:val="000000"/>
                <w:sz w:val="22"/>
              </w:rPr>
              <w:t xml:space="preserve">căn </w:t>
            </w:r>
            <w:r>
              <w:rPr>
                <w:rFonts w:ascii="Times New Roman" w:hAnsi="Times New Roman" w:eastAsia="Times New Roman" w:cs="Times New Roman"/>
                <w:b/>
                <w:color w:val="000000"/>
                <w:sz w:val="22"/>
              </w:rPr>
              <w:t xml:space="preserve">hộ </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Phù </w:t>
            </w:r>
            <w:r>
              <w:rPr>
                <w:rFonts w:ascii="Times New Roman" w:hAnsi="Times New Roman" w:eastAsia="Times New Roman" w:cs="Times New Roman"/>
                <w:b/>
                <w:color w:val="000000"/>
                <w:sz w:val="22"/>
              </w:rPr>
              <w:t xml:space="preserve">hợp </w:t>
            </w:r>
            <w:r>
              <w:rPr>
                <w:rFonts w:ascii="Times New Roman" w:hAnsi="Times New Roman" w:eastAsia="Times New Roman" w:cs="Times New Roman"/>
                <w:b/>
                <w:color w:val="000000"/>
                <w:sz w:val="22"/>
              </w:rPr>
              <w:t xml:space="preserve">để </w:t>
            </w:r>
            <w:r>
              <w:rPr>
                <w:rFonts w:ascii="Times New Roman" w:hAnsi="Times New Roman" w:eastAsia="Times New Roman" w:cs="Times New Roman"/>
                <w:b/>
                <w:color w:val="000000"/>
                <w:sz w:val="22"/>
              </w:rPr>
              <w:t xml:space="preserve">ở</w:t>
            </w:r>
            <w:r>
              <w:rPr>
                <w:rFonts w:ascii="Times New Roman" w:hAnsi="Times New Roman" w:eastAsia="Times New Roman" w:cs="Times New Roman"/>
                <w:b/>
                <w:color w:val="000000"/>
                <w:sz w:val="22"/>
              </w:rPr>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ind/>
              <w:jc w:val="center"/>
              <w:rPr/>
            </w:pPr>
            <w:r>
              <w:rPr>
                <w:rFonts w:ascii="Times New Roman" w:hAnsi="Times New Roman" w:eastAsia="Times New Roman" w:cs="Times New Roman"/>
                <w:b/>
                <w:color w:val="000000"/>
                <w:sz w:val="22"/>
              </w:rPr>
              <w:t xml:space="preserve">Phù </w:t>
            </w:r>
            <w:r>
              <w:rPr>
                <w:rFonts w:ascii="Times New Roman" w:hAnsi="Times New Roman" w:eastAsia="Times New Roman" w:cs="Times New Roman"/>
                <w:b/>
                <w:color w:val="000000"/>
                <w:sz w:val="22"/>
              </w:rPr>
              <w:t xml:space="preserve">hợp </w:t>
            </w:r>
            <w:r>
              <w:rPr>
                <w:rFonts w:ascii="Times New Roman" w:hAnsi="Times New Roman" w:eastAsia="Times New Roman" w:cs="Times New Roman"/>
                <w:b/>
                <w:color w:val="000000"/>
                <w:sz w:val="22"/>
              </w:rPr>
              <w:t xml:space="preserve">để </w:t>
            </w:r>
            <w:r>
              <w:rPr>
                <w:rFonts w:ascii="Times New Roman" w:hAnsi="Times New Roman" w:eastAsia="Times New Roman" w:cs="Times New Roman"/>
                <w:b/>
                <w:color w:val="000000"/>
                <w:sz w:val="22"/>
              </w:rPr>
              <w:t xml:space="preserve">ở</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ind/>
              <w:jc w:val="center"/>
              <w:rPr/>
            </w:pPr>
            <w:r>
              <w:rPr>
                <w:rFonts w:ascii="Times New Roman" w:hAnsi="Times New Roman" w:eastAsia="Times New Roman" w:cs="Times New Roman"/>
                <w:b/>
                <w:color w:val="000000"/>
                <w:sz w:val="22"/>
              </w:rPr>
              <w:t xml:space="preserve">Phù </w:t>
            </w:r>
            <w:r>
              <w:rPr>
                <w:rFonts w:ascii="Times New Roman" w:hAnsi="Times New Roman" w:eastAsia="Times New Roman" w:cs="Times New Roman"/>
                <w:b/>
                <w:color w:val="000000"/>
                <w:sz w:val="22"/>
              </w:rPr>
              <w:t xml:space="preserve">hợp </w:t>
            </w:r>
            <w:r>
              <w:rPr>
                <w:rFonts w:ascii="Times New Roman" w:hAnsi="Times New Roman" w:eastAsia="Times New Roman" w:cs="Times New Roman"/>
                <w:b/>
                <w:color w:val="000000"/>
                <w:sz w:val="22"/>
              </w:rPr>
              <w:t xml:space="preserve">để </w:t>
            </w:r>
            <w:r>
              <w:rPr>
                <w:rFonts w:ascii="Times New Roman" w:hAnsi="Times New Roman" w:eastAsia="Times New Roman" w:cs="Times New Roman"/>
                <w:b/>
                <w:color w:val="000000"/>
                <w:sz w:val="22"/>
              </w:rPr>
              <w:t xml:space="preserve">ở</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ind/>
              <w:jc w:val="center"/>
              <w:rPr/>
            </w:pPr>
            <w:r>
              <w:rPr>
                <w:rFonts w:ascii="Times New Roman" w:hAnsi="Times New Roman" w:eastAsia="Times New Roman" w:cs="Times New Roman"/>
                <w:b/>
                <w:color w:val="000000"/>
                <w:sz w:val="22"/>
              </w:rPr>
              <w:t xml:space="preserve">Phù </w:t>
            </w:r>
            <w:r>
              <w:rPr>
                <w:rFonts w:ascii="Times New Roman" w:hAnsi="Times New Roman" w:eastAsia="Times New Roman" w:cs="Times New Roman"/>
                <w:b/>
                <w:color w:val="000000"/>
                <w:sz w:val="22"/>
              </w:rPr>
              <w:t xml:space="preserve">hợp </w:t>
            </w:r>
            <w:r>
              <w:rPr>
                <w:rFonts w:ascii="Times New Roman" w:hAnsi="Times New Roman" w:eastAsia="Times New Roman" w:cs="Times New Roman"/>
                <w:b/>
                <w:color w:val="000000"/>
                <w:sz w:val="22"/>
              </w:rPr>
              <w:t xml:space="preserve">để </w:t>
            </w:r>
            <w:r>
              <w:rPr>
                <w:rFonts w:ascii="Times New Roman" w:hAnsi="Times New Roman" w:eastAsia="Times New Roman" w:cs="Times New Roman"/>
                <w:b/>
                <w:color w:val="000000"/>
                <w:sz w:val="22"/>
              </w:rPr>
              <w:t xml:space="preserve">ở</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76.605.883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63.057.971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70.722.222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Thời hạn sử dụng</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Lâu dài</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Lâu dài</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Lâu dài</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Lâu dài</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76.605.883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63.057.971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70.722.222 </w:t>
            </w:r>
            <w:r/>
          </w:p>
        </w:tc>
      </w:tr>
      <w:tr>
        <w:trPr>
          <w:trHeight w:val="29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Căn hộ AQL22111  Tầ</w:t>
            </w:r>
            <w:r>
              <w:rPr>
                <w:rFonts w:ascii="Times New Roman" w:hAnsi="Times New Roman" w:eastAsia="Times New Roman" w:cs="Times New Roman"/>
                <w:b/>
                <w:color w:val="000000"/>
                <w:sz w:val="22"/>
              </w:rPr>
              <w:t xml:space="preserve">n</w:t>
            </w:r>
            <w:r>
              <w:rPr>
                <w:rFonts w:ascii="Times New Roman" w:hAnsi="Times New Roman" w:eastAsia="Times New Roman" w:cs="Times New Roman"/>
                <w:b/>
                <w:color w:val="000000"/>
                <w:sz w:val="22"/>
              </w:rPr>
              <w:t xml:space="preserve">g 21, Toà nhà LAKE 2, Khu căn hộ Vịnh Thuỷ (Aqua Bay) Khu đô thị Thương mại và Du lịch Văn Giang</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Căn hộ Tầng 28, Toà nhà LAKE 2, Khu căn hộ Vịnh Thuỷ (Aqua Bay) Khu đô thị Thương mại và Du lịch Văn Giang</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Căn hộ tầng 12A, Toà nhà SKY3, Khu căn hộ Vịnh Thuỷ (Aqua Bay) Khu đô thị Thương mại và Du lịch Văn Giang</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Căn hộ tầng trung, Toà nhà LAKE 2, Khu căn hộ Vịnh Thuỷ (Aqua Bay) Khu đô thị Thương mại và Du lịch Văn Giang</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76.605.883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63.057.971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70.722.222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căn hộ (m²)</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109,13</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109,13</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69</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90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-1.891.739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-1.414.444 </w:t>
            </w:r>
            <w:r/>
          </w:p>
        </w:tc>
      </w:tr>
      <w:tr>
        <w:trPr>
          <w:trHeight w:val="28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76.605.883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61.166.232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69.307.778 </w:t>
            </w: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Số tầng</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21</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28</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12A</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trung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-1.532.118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3.152.899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3.536.111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75.073.765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64.319.130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72.843.889 </w:t>
            </w: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Loại căn hộ</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75.073.765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64.319.130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72.843.889 </w:t>
            </w:r>
            <w:r/>
          </w:p>
        </w:tc>
      </w:tr>
      <w:tr>
        <w:trPr>
          <w:trHeight w:val="9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Kết cấu </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 phòng ngủ, 2 nhà vệ sinh, 1 bếp, 1 lô gia lớn</w:t>
            </w:r>
            <w:r/>
          </w:p>
        </w:tc>
        <w:tc>
          <w:tcPr>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 phòng ngủ, 2 nhà vệ sinh, 1 bếp, 1 lô gia lớn</w:t>
            </w:r>
            <w:r/>
          </w:p>
        </w:tc>
        <w:tc>
          <w:tcPr>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 phòng ngủ, 2 nhà vệ sinh, 1 bếp, 1 lô gia </w:t>
            </w:r>
            <w:r/>
          </w:p>
        </w:tc>
        <w:tc>
          <w:tcPr>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 phòng ngủ, 2 nhà vệ sinh, 1 bếp, 1 lô gia lớn</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3.152.899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75.073.765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67.472.029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72.843.889 </w:t>
            </w:r>
            <w:r/>
          </w:p>
        </w:tc>
      </w:tr>
      <w:tr>
        <w:trPr>
          <w:trHeight w:val="72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75.073.765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64.319.130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72.843.889 </w:t>
            </w: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Nam</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Đông Nam</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Đông Nam</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Đông Nam</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-1.532.118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-1.261.159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-1.414.444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73.541.648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66.210.870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71.429.444 </w:t>
            </w:r>
            <w:r/>
          </w:p>
        </w:tc>
      </w:tr>
      <w:tr>
        <w:trPr>
          <w:trHeight w:val="2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73.541.648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66.210.870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71.429.444 </w:t>
            </w: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479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70.393.987 </w:t>
            </w: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4,47%</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-5,94%</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1,47%</w:t>
            </w:r>
            <w:r/>
          </w:p>
        </w:tc>
      </w:tr>
      <w:tr>
        <w:trPr>
          <w:trHeight w:val="9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3.064.235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9.458.696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6.365.000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- 2%</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 - 5%</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 - 5%</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60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4" w:space="0"/>
              <w:right w:val="single" w:color="000000" w:sz="4" w:space="0"/>
            </w:tcBorders>
            <w:tcMar>
              <w:left w:w="0" w:type="dxa"/>
              <w:top w:w="0" w:type="dxa"/>
              <w:right w:w="0" w:type="dxa"/>
              <w:bottom w:w="0" w:type="dxa"/>
            </w:tcMar>
            <w:tcW w:w="140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4" w:space="0"/>
              <w:right w:val="single" w:color="000000" w:sz="4" w:space="0"/>
            </w:tcBorders>
            <w:tcMar>
              <w:left w:w="0" w:type="dxa"/>
              <w:top w:w="0" w:type="dxa"/>
              <w:right w:w="0" w:type="dxa"/>
              <w:bottom w:w="0" w:type="dxa"/>
            </w:tcMar>
            <w:tcW w:w="6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2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5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3.064.235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3.152.899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707.222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-5,94</w:t>
      </w:r>
      <w:r>
        <w:t xml:space="preserve">% đến</w:t>
      </w:r>
      <w:r>
        <w:t xml:space="preserve"> </w:t>
      </w:r>
      <w:r>
        <w:t xml:space="preserve"> </w:t>
      </w:r>
      <w:r>
        <w:t xml:space="preserve">4,47%,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34"/>
        <w:gridCol w:w="2203"/>
        <w:gridCol w:w="2209"/>
        <w:gridCol w:w="2205"/>
        <w:gridCol w:w="2209"/>
      </w:tblGrid>
      <w:tr>
        <w:trPr>
          <w:trHeight w:val="102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4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4" w:space="0"/>
              <w:right w:val="single" w:color="000000" w:sz="4" w:space="0"/>
            </w:tcBorders>
            <w:tcMar>
              <w:left w:w="0" w:type="dxa"/>
              <w:top w:w="0" w:type="dxa"/>
              <w:right w:w="0" w:type="dxa"/>
              <w:bottom w:w="0" w:type="dxa"/>
            </w:tcMar>
            <w:tcW w:w="2203"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73.541.648</w:t>
            </w: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33,34%</w:t>
            </w: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24.513.883</w:t>
            </w:r>
            <w:r/>
          </w:p>
        </w:tc>
      </w:tr>
      <w:tr>
        <w:trPr>
          <w:trHeight w:val="34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4" w:space="0"/>
              <w:right w:val="single" w:color="000000" w:sz="4" w:space="0"/>
            </w:tcBorders>
            <w:tcMar>
              <w:left w:w="0" w:type="dxa"/>
              <w:top w:w="0" w:type="dxa"/>
              <w:right w:w="0" w:type="dxa"/>
              <w:bottom w:w="0" w:type="dxa"/>
            </w:tcMar>
            <w:tcW w:w="2203"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66.210.870</w:t>
            </w: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22.070.290</w:t>
            </w:r>
            <w:r/>
          </w:p>
        </w:tc>
      </w:tr>
      <w:tr>
        <w:trPr>
          <w:trHeight w:val="34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4" w:space="0"/>
              <w:right w:val="single" w:color="000000" w:sz="4" w:space="0"/>
            </w:tcBorders>
            <w:tcMar>
              <w:left w:w="0" w:type="dxa"/>
              <w:top w:w="0" w:type="dxa"/>
              <w:right w:w="0" w:type="dxa"/>
              <w:bottom w:w="0" w:type="dxa"/>
            </w:tcMar>
            <w:tcW w:w="2203"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71.429.444</w:t>
            </w: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23.809.815</w:t>
            </w:r>
            <w:r/>
          </w:p>
        </w:tc>
      </w:tr>
      <w:tr>
        <w:trPr>
          <w:trHeight w:val="320"/>
        </w:trPr>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70.393.987</w:t>
            </w:r>
            <w:r/>
          </w:p>
        </w:tc>
      </w:tr>
      <w:tr>
        <w:trPr>
          <w:trHeight w:val="320"/>
        </w:trPr>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70.000.000</w:t>
            </w: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70.000.000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rPr>
          <w:highlight w:val="none"/>
        </w:rPr>
      </w:r>
      <w:r>
        <w:rPr>
          <w:highlight w:val="non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w:t>
            </w:r>
            <w:r>
              <w:rPr>
                <w:color w:val="000000"/>
              </w:rPr>
              <w:t xml:space="preserve">n sở hữu căn hộ chung cư số AQL22111, toà nhà LAKE 2 (A1), Khu căn hộ Vịnh Thuỷ (Aqua Bay) khu đô thị Thương mại và Du lịch Văn Giang, có địa chỉ tại xã Phụng Công, huyện Văn Giang, tỉnh Hưng Yên (Nay là xã Phụng Công, tỉnh Hưng Yên) theo Giấy chứng nhận q</w:t>
            </w:r>
            <w:r>
              <w:rPr>
                <w:color w:val="000000"/>
              </w:rPr>
              <w:t xml:space="preserve">uyền sử dụng đất, quyền sở hữu nhà ở và tài sản khác gắn liền với đất số CV 446722, số vào sổ cấp GCN: CS05625 do Sở Tài nguyên và Môi trường tỉnh Hưng Yên cấp ngày 27/7/2021; chủ sở hữu căn hộ chung cư là Ông Nguyễn Hồng Trường và Bà Dương Thị Minh Thanh.</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C</w:t>
            </w:r>
            <w:r>
              <w:rPr>
                <w:b w:val="0"/>
                <w:bCs w:val="0"/>
              </w:rPr>
              <w:t xml:space="preserve">ăn </w:t>
            </w:r>
            <w:r>
              <w:rPr>
                <w:b w:val="0"/>
                <w:bCs w:val="0"/>
              </w:rPr>
              <w:t xml:space="preserve">hộ </w:t>
            </w:r>
            <w:r>
              <w:rPr>
                <w:b w:val="0"/>
                <w:bCs w:val="0"/>
              </w:rPr>
              <w:t xml:space="preserve">chung </w:t>
            </w:r>
            <w:r>
              <w:rPr>
                <w:b w:val="0"/>
                <w:bCs w:val="0"/>
              </w:rPr>
              <w:t xml:space="preserve">cư</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109,13</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70.000.000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7.639.100.000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7.639.100.000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7.639.000.000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sáu trăm ba mươi chín triệu</w:t>
            </w:r>
            <w:r>
              <w:rPr>
                <w:b/>
                <w:bCs/>
                <w:i/>
                <w:iCs/>
                <w:color w:val="000000"/>
              </w:rPr>
              <w:t xml:space="preserve">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275/2026/1139/VFI-CT.69.A</w:t>
      </w:r>
      <w:r>
        <w:rPr>
          <w:color w:val="ff0000"/>
          <w:lang w:val="vi-VN"/>
        </w:rPr>
        <w:t xml:space="preserve"> </w:t>
      </w:r>
      <w:r>
        <w:rPr>
          <w:color w:val="000000" w:themeColor="text1"/>
        </w:rPr>
        <w:t xml:space="preserve">ngày 27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left"/>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jc w:val="left"/>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275/2026/1139/VFI-</w:t>
      </w:r>
      <w:r>
        <w:rPr>
          <w:i/>
          <w:highlight w:val="white"/>
        </w:rPr>
        <w:t xml:space="preserve">BC.69</w:t>
      </w:r>
      <w:r>
        <w:rPr>
          <w:i/>
          <w:highlight w:val="white"/>
        </w:rPr>
        <w:t xml:space="preserve">.A</w:t>
      </w:r>
      <w:r>
        <w:rPr>
          <w:i/>
          <w:highlight w:val="white"/>
          <w:lang w:val="pt-BR"/>
        </w:rPr>
        <w:t xml:space="preserve"> </w:t>
      </w:r>
      <w:r>
        <w:rPr>
          <w:i/>
          <w:highlight w:val="white"/>
          <w:lang w:val="pt-BR"/>
        </w:rPr>
        <w:t xml:space="preserve">ngày </w:t>
      </w:r>
      <w:r>
        <w:rPr>
          <w:i/>
          <w:highlight w:val="white"/>
          <w:lang w:val="pt-BR"/>
        </w:rPr>
        <w:t xml:space="preserve">27 thán</w:t>
      </w:r>
      <w:r>
        <w:rPr>
          <w:i/>
          <w:highlight w:val="white"/>
          <w:lang w:val="pt-BR"/>
        </w:rPr>
        <w:t xml:space="preserve">g 7 nă</w:t>
      </w:r>
      <w:r>
        <w:rPr>
          <w:i/>
          <w:lang w:val="pt-BR"/>
        </w:rPr>
        <w:t xml:space="preserve">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 </w:t>
            </w:r>
            <w:r>
              <w:rPr>
                <w:b/>
                <w:bCs/>
                <w:i/>
                <w:lang w:val="pt-BR"/>
              </w:rPr>
              <w:t xml:space="preserve">cửa </w:t>
            </w:r>
            <w:r>
              <w:rPr>
                <w:b/>
                <w:bCs/>
                <w:i/>
                <w:lang w:val="pt-BR"/>
              </w:rPr>
              <w:t xml:space="preserve">chính</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Hướng </w:t>
            </w:r>
            <w:r>
              <w:rPr>
                <w:b/>
                <w:bCs/>
                <w:i/>
                <w:lang w:val="pt-BR"/>
              </w:rPr>
              <w:t xml:space="preserve">ban </w:t>
            </w:r>
            <w:r>
              <w:rPr>
                <w:b/>
                <w:bCs/>
                <w:i/>
                <w:lang w:val="pt-BR"/>
              </w:rPr>
              <w:t xml:space="preserve">công</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59157" cy="257592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14420" name=""/>
                              <pic:cNvPicPr>
                                <a:picLocks noChangeAspect="1"/>
                              </pic:cNvPicPr>
                              <pic:nvPr/>
                            </pic:nvPicPr>
                            <pic:blipFill rotWithShape="1">
                              <a:blip r:embed="rId20"/>
                              <a:stretch/>
                            </pic:blipFill>
                            <pic:spPr bwMode="auto">
                              <a:xfrm flipH="0" flipV="0">
                                <a:off x="0" y="0"/>
                                <a:ext cx="1659157" cy="25759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30.64pt;height:202.83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10337" cy="257301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926657" name=""/>
                              <pic:cNvPicPr>
                                <a:picLocks noChangeAspect="1"/>
                              </pic:cNvPicPr>
                              <pic:nvPr/>
                            </pic:nvPicPr>
                            <pic:blipFill rotWithShape="1">
                              <a:blip r:embed="rId21"/>
                              <a:stretch/>
                            </pic:blipFill>
                            <pic:spPr bwMode="auto">
                              <a:xfrm flipH="0" flipV="0">
                                <a:off x="0" y="0"/>
                                <a:ext cx="1610336" cy="25730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6.80pt;height:202.6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w:t>
            </w:r>
            <w:r>
              <w:rPr>
                <w:b/>
                <w:bCs/>
                <w:i/>
                <w:lang w:val="pt-BR"/>
              </w:rPr>
              <w:t xml:space="preserve">trạng </w:t>
            </w:r>
            <w:r>
              <w:rPr>
                <w:b/>
                <w:bCs/>
                <w:i/>
                <w:lang w:val="pt-BR"/>
              </w:rPr>
              <w:t xml:space="preserve">tài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40188" cy="213014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57305" name=""/>
                              <pic:cNvPicPr>
                                <a:picLocks noChangeAspect="1"/>
                              </pic:cNvPicPr>
                              <pic:nvPr/>
                            </pic:nvPicPr>
                            <pic:blipFill rotWithShape="1">
                              <a:blip r:embed="rId22"/>
                              <a:stretch/>
                            </pic:blipFill>
                            <pic:spPr bwMode="auto">
                              <a:xfrm flipH="0" flipV="0">
                                <a:off x="0" y="0"/>
                                <a:ext cx="2840188" cy="21301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3.64pt;height:167.73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2935" cy="210970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63713" name=""/>
                              <pic:cNvPicPr>
                                <a:picLocks noChangeAspect="1"/>
                              </pic:cNvPicPr>
                              <pic:nvPr/>
                            </pic:nvPicPr>
                            <pic:blipFill rotWithShape="1">
                              <a:blip r:embed="rId23"/>
                              <a:stretch/>
                            </pic:blipFill>
                            <pic:spPr bwMode="auto">
                              <a:xfrm flipH="0" flipV="0">
                                <a:off x="0" y="0"/>
                                <a:ext cx="2812935" cy="21097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1.49pt;height:166.12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rHeight w:val="430"/>
        </w:trPr>
        <w:tc>
          <w:tcPr>
            <w:tcBorders/>
            <w:tcW w:w="4758" w:type="dxa"/>
            <w:vAlign w:val="center"/>
            <w:textDirection w:val="lrTb"/>
            <w:noWrap w:val="false"/>
          </w:tcPr>
          <w:p>
            <w:pPr>
              <w:pBdr/>
              <w:spacing w:after="120"/>
              <w:ind/>
              <w:jc w:val="center"/>
              <w:rPr>
                <w:b/>
                <w:bCs/>
                <w:i/>
                <w:lang w:val="pt-BR"/>
              </w:rPr>
            </w:pPr>
            <w:r>
              <w:rPr>
                <w:b/>
                <w:bCs/>
                <w:i/>
                <w:lang w:val="pt-BR"/>
              </w:rPr>
              <w:t xml:space="preserve">Phòng </w:t>
            </w:r>
            <w:r>
              <w:rPr>
                <w:b/>
                <w:bCs/>
                <w:i/>
                <w:lang w:val="pt-BR"/>
              </w:rPr>
              <w:t xml:space="preserve">khách</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Phòng </w:t>
            </w:r>
            <w:r>
              <w:rPr>
                <w:b/>
                <w:bCs/>
                <w:i/>
                <w:lang w:val="pt-BR"/>
              </w:rPr>
              <w:t xml:space="preserve">khách</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47095" cy="206032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39648" name=""/>
                              <pic:cNvPicPr>
                                <a:picLocks noChangeAspect="1"/>
                              </pic:cNvPicPr>
                              <pic:nvPr/>
                            </pic:nvPicPr>
                            <pic:blipFill rotWithShape="1">
                              <a:blip r:embed="rId24"/>
                              <a:stretch/>
                            </pic:blipFill>
                            <pic:spPr bwMode="auto">
                              <a:xfrm flipH="0" flipV="0">
                                <a:off x="0" y="0"/>
                                <a:ext cx="2747094" cy="20603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6.31pt;height:162.23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41341" cy="213100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745411" name=""/>
                              <pic:cNvPicPr>
                                <a:picLocks noChangeAspect="1"/>
                              </pic:cNvPicPr>
                              <pic:nvPr/>
                            </pic:nvPicPr>
                            <pic:blipFill rotWithShape="1">
                              <a:blip r:embed="rId25"/>
                              <a:stretch/>
                            </pic:blipFill>
                            <pic:spPr bwMode="auto">
                              <a:xfrm flipH="0" flipV="0">
                                <a:off x="0" y="0"/>
                                <a:ext cx="2841341" cy="21310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3.73pt;height:167.80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hd w:val="nil" w:color="auto"/>
        <w:spacing/>
        <w:ind/>
        <w:rPr/>
      </w:pPr>
      <w:r/>
      <w:r/>
    </w:p>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Phòng </w:t>
            </w:r>
            <w:r>
              <w:rPr>
                <w:b/>
                <w:bCs/>
                <w:i/>
                <w:lang w:val="pt-BR"/>
              </w:rPr>
              <w:t xml:space="preserve">ngủ</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Phòng </w:t>
            </w:r>
            <w:r>
              <w:rPr>
                <w:b/>
                <w:bCs/>
                <w:i/>
                <w:lang w:val="pt-BR"/>
              </w:rPr>
              <w:t xml:space="preserve">bếp </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73612" cy="223020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194785" name=""/>
                              <pic:cNvPicPr>
                                <a:picLocks noChangeAspect="1"/>
                              </pic:cNvPicPr>
                              <pic:nvPr/>
                            </pic:nvPicPr>
                            <pic:blipFill rotWithShape="1">
                              <a:blip r:embed="rId26"/>
                              <a:stretch/>
                            </pic:blipFill>
                            <pic:spPr bwMode="auto">
                              <a:xfrm flipH="0" flipV="0">
                                <a:off x="0" y="0"/>
                                <a:ext cx="2973611" cy="22302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4.14pt;height:175.61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2290" cy="216921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53722" name=""/>
                              <pic:cNvPicPr>
                                <a:picLocks noChangeAspect="1"/>
                              </pic:cNvPicPr>
                              <pic:nvPr/>
                            </pic:nvPicPr>
                            <pic:blipFill rotWithShape="1">
                              <a:blip r:embed="rId27"/>
                              <a:stretch/>
                            </pic:blipFill>
                            <pic:spPr bwMode="auto">
                              <a:xfrm flipH="0" flipV="0">
                                <a:off x="0" y="0"/>
                                <a:ext cx="2892290" cy="21692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7.74pt;height:170.80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Phòng </w:t>
            </w:r>
            <w:r>
              <w:rPr>
                <w:b/>
                <w:bCs/>
                <w:i/>
                <w:lang w:val="pt-BR"/>
              </w:rPr>
              <w:t xml:space="preserve">ngủ</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Lối </w:t>
            </w:r>
            <w:r>
              <w:rPr>
                <w:b/>
                <w:bCs/>
                <w:i/>
                <w:lang w:val="pt-BR"/>
              </w:rPr>
              <w:t xml:space="preserve">đi </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2199" cy="219914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42742" name=""/>
                              <pic:cNvPicPr>
                                <a:picLocks noChangeAspect="1"/>
                              </pic:cNvPicPr>
                              <pic:nvPr/>
                            </pic:nvPicPr>
                            <pic:blipFill rotWithShape="1">
                              <a:blip r:embed="rId28"/>
                              <a:stretch/>
                            </pic:blipFill>
                            <pic:spPr bwMode="auto">
                              <a:xfrm flipH="0" flipV="0">
                                <a:off x="0" y="0"/>
                                <a:ext cx="2932198" cy="21991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0.88pt;height:173.16pt;mso-wrap-distance-left:0.00pt;mso-wrap-distance-top:0.00pt;mso-wrap-distance-right:0.00pt;mso-wrap-distance-bottom:0.00pt;z-index:1;" stroked="false">
                      <v:imagedata r:id="rId2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8492" cy="217386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80660" name=""/>
                              <pic:cNvPicPr>
                                <a:picLocks noChangeAspect="1"/>
                              </pic:cNvPicPr>
                              <pic:nvPr/>
                            </pic:nvPicPr>
                            <pic:blipFill rotWithShape="1">
                              <a:blip r:embed="rId29"/>
                              <a:stretch/>
                            </pic:blipFill>
                            <pic:spPr bwMode="auto">
                              <a:xfrm flipH="0" flipV="0">
                                <a:off x="0" y="0"/>
                                <a:ext cx="2898492" cy="21738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8.23pt;height:171.17pt;mso-wrap-distance-left:0.00pt;mso-wrap-distance-top:0.00pt;mso-wrap-distance-right:0.00pt;mso-wrap-distance-bottom:0.00pt;z-index:1;" stroked="false">
                      <v:imagedata r:id="rId29" o:title=""/>
                      <o:lock v:ext="edit" rotation="t"/>
                    </v:shape>
                  </w:pict>
                </mc:Fallback>
              </mc:AlternateContent>
            </w:r>
            <w:r>
              <w:rPr>
                <w:i/>
                <w:lang w:val="pt-BR"/>
              </w:rPr>
            </w:r>
            <w:r>
              <w:rPr>
                <w:i/>
                <w:lang w:val="pt-BR"/>
              </w:rPr>
            </w:r>
          </w:p>
        </w:tc>
      </w:tr>
      <w:tr>
        <w:trPr>
          <w:trHeight w:val="430"/>
        </w:trPr>
        <w:tc>
          <w:tcPr>
            <w:tcBorders/>
            <w:tcW w:w="4758" w:type="dxa"/>
            <w:vAlign w:val="center"/>
            <w:textDirection w:val="lrTb"/>
            <w:noWrap w:val="false"/>
          </w:tcPr>
          <w:p>
            <w:pPr>
              <w:pBdr/>
              <w:spacing w:after="120"/>
              <w:ind/>
              <w:jc w:val="center"/>
              <w:rPr>
                <w:b/>
                <w:bCs/>
                <w:i/>
                <w:lang w:val="pt-BR"/>
              </w:rPr>
            </w:pPr>
            <w:r>
              <w:rPr>
                <w:b/>
                <w:bCs/>
                <w:i/>
                <w:lang w:val="pt-BR"/>
              </w:rPr>
              <w:t xml:space="preserve">Hìn</w:t>
            </w:r>
            <w:r>
              <w:rPr>
                <w:b/>
                <w:bCs/>
                <w:i/>
                <w:lang w:val="pt-BR"/>
              </w:rPr>
              <w:t xml:space="preserve">h </w:t>
            </w:r>
            <w:r>
              <w:rPr>
                <w:b/>
                <w:bCs/>
                <w:i/>
                <w:lang w:val="pt-BR"/>
              </w:rPr>
              <w:t xml:space="preserve">ảnh </w:t>
            </w:r>
            <w:r>
              <w:rPr>
                <w:b/>
                <w:bCs/>
                <w:i/>
                <w:lang w:val="pt-BR"/>
              </w:rPr>
              <w:t xml:space="preserve">toà </w:t>
            </w:r>
            <w:r>
              <w:rPr>
                <w:b/>
                <w:bCs/>
                <w:i/>
                <w:lang w:val="pt-BR"/>
              </w:rPr>
              <w:t xml:space="preserve">nhà</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w:t>
            </w:r>
            <w:r>
              <w:rPr>
                <w:b/>
                <w:bCs/>
                <w:i/>
                <w:lang w:val="pt-BR"/>
              </w:rPr>
              <w:t xml:space="preserve">ình </w:t>
            </w:r>
            <w:r>
              <w:rPr>
                <w:b/>
                <w:bCs/>
                <w:i/>
                <w:lang w:val="pt-BR"/>
              </w:rPr>
              <w:t xml:space="preserve">ảnh </w:t>
            </w:r>
            <w:r>
              <w:rPr>
                <w:b/>
                <w:bCs/>
                <w:i/>
                <w:lang w:val="pt-BR"/>
              </w:rPr>
              <w:t xml:space="preserve">toà </w:t>
            </w:r>
            <w:r>
              <w:rPr>
                <w:b/>
                <w:bCs/>
                <w:i/>
                <w:lang w:val="pt-BR"/>
              </w:rPr>
              <w:t xml:space="preserve">nhà</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4510" cy="216338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26963" name=""/>
                              <pic:cNvPicPr>
                                <a:picLocks noChangeAspect="1"/>
                              </pic:cNvPicPr>
                              <pic:nvPr/>
                            </pic:nvPicPr>
                            <pic:blipFill rotWithShape="1">
                              <a:blip r:embed="rId30"/>
                              <a:stretch/>
                            </pic:blipFill>
                            <pic:spPr bwMode="auto">
                              <a:xfrm flipH="0" flipV="0">
                                <a:off x="0" y="0"/>
                                <a:ext cx="2884509" cy="21633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7.13pt;height:170.35pt;mso-wrap-distance-left:0.00pt;mso-wrap-distance-top:0.00pt;mso-wrap-distance-right:0.00pt;mso-wrap-distance-bottom:0.00pt;z-index:1;" stroked="false">
                      <v:imagedata r:id="rId3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39" cy="2160029"/>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75040" name=""/>
                              <pic:cNvPicPr>
                                <a:picLocks noChangeAspect="1"/>
                              </pic:cNvPicPr>
                              <pic:nvPr/>
                            </pic:nvPicPr>
                            <pic:blipFill rotWithShape="1">
                              <a:blip r:embed="rId31"/>
                              <a:stretch/>
                            </pic:blipFill>
                            <pic:spPr bwMode="auto">
                              <a:xfrm rot="0" flipH="0" flipV="0">
                                <a:off x="0" y="0"/>
                                <a:ext cx="2880037" cy="21600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6.77pt;height:170.08pt;mso-wrap-distance-left:0.00pt;mso-wrap-distance-top:0.00pt;mso-wrap-distance-right:0.00pt;mso-wrap-distance-bottom:0.00pt;rotation:0;z-index:1;" stroked="false">
                      <v:imagedata r:id="rId31" o:title=""/>
                      <o:lock v:ext="edit" rotation="t"/>
                    </v:shape>
                  </w:pict>
                </mc:Fallback>
              </mc:AlternateContent>
            </w:r>
            <w:r>
              <w:rPr>
                <w:b/>
                <w:bCs/>
                <w:i/>
                <w:lang w:val="pt-BR"/>
              </w:rPr>
            </w:r>
            <w:r>
              <w:rPr>
                <w:b/>
                <w:bCs/>
                <w:i/>
                <w:lang w:val="pt-BR"/>
              </w:rPr>
            </w:r>
          </w:p>
        </w:tc>
      </w:tr>
    </w:tbl>
    <w:p>
      <w:pPr>
        <w:pBdr/>
        <w:spacing w:after="200" w:line="276" w:lineRule="auto"/>
        <w:ind/>
        <w:rPr/>
      </w:pPr>
      <w:r>
        <w:rPr>
          <w:highlight w:val="none"/>
        </w:rPr>
      </w:r>
      <w:r>
        <w:rPr>
          <w:highlight w:val="none"/>
        </w:rPr>
      </w:r>
      <w:r/>
    </w:p>
    <w:p>
      <w:pPr>
        <w:pBdr/>
        <w:shd w:val="nil" w:color="auto"/>
        <w:spacing/>
        <w:ind/>
        <w:rPr>
          <w:bCs/>
          <w:i/>
          <w:lang w:val="pt-BR"/>
        </w:rPr>
      </w:pPr>
      <w:r>
        <w:rPr>
          <w:b/>
          <w:highlight w:val="none"/>
        </w:rPr>
        <w:br w:type="page" w:clear="all"/>
      </w:r>
      <w:r>
        <w:rPr>
          <w:bCs/>
          <w:i/>
          <w:lang w:val="pt-BR"/>
        </w:rPr>
      </w:r>
      <w:r>
        <w:rPr>
          <w:bCs/>
          <w:i/>
          <w:lang w:val="pt-BR"/>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275/2026/1139/VFI-BC.69.A</w:t>
      </w:r>
      <w:r>
        <w:rPr>
          <w:i/>
          <w:lang w:val="pt-BR"/>
        </w:rPr>
        <w:t xml:space="preserve"> </w:t>
      </w:r>
      <w:r>
        <w:rPr>
          <w:i/>
          <w:lang w:val="pt-BR"/>
        </w:rPr>
        <w:t xml:space="preserve">ngày </w:t>
      </w:r>
      <w:r>
        <w:rPr>
          <w:i/>
          <w:lang w:val="pt-BR"/>
        </w:rPr>
        <w:t xml:space="preserve">27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506"/>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https://web.facebook.com/groups/257527808260461/posts/1883821825631043/?_rdc=1&amp;_rdr#</w:t>
            </w:r>
            <w:r>
              <w:rPr>
                <w:color w:val="000000" w:themeColor="text1"/>
                <w:sz w:val="22"/>
                <w:szCs w:val="22"/>
              </w:rPr>
              <w:br/>
              <w:t xml:space="preserve">0926 563 555.</w:t>
            </w:r>
            <w:r>
              <w:rPr>
                <w:sz w:val="22"/>
                <w:szCs w:val="22"/>
              </w:rPr>
              <w:t xml:space="preserve"> </w:t>
            </w:r>
            <w:r>
              <w:rPr>
                <w:sz w:val="22"/>
                <w:szCs w:val="22"/>
              </w:rPr>
              <w:br/>
              <w:t xml:space="preserve">(Ly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8.800.000.000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8.360.000.000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Căn hộ Tầng 28, Toà nhà LAKE 2, Khu căn hộ Vịnh Thuỷ (Aqua Bay) Khu đô thị Thương mại và Du lịch Văn Giang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Diện tích </w:t>
            </w:r>
            <w:r>
              <w:rPr>
                <w:color w:val="000000"/>
                <w:sz w:val="22"/>
                <w:szCs w:val="22"/>
              </w:rPr>
              <w:t xml:space="preserve">c</w:t>
            </w:r>
            <w:r>
              <w:rPr>
                <w:color w:val="000000"/>
                <w:sz w:val="22"/>
                <w:szCs w:val="22"/>
              </w:rPr>
              <w:t xml:space="preserve">ăn </w:t>
            </w:r>
            <w:r>
              <w:rPr>
                <w:color w:val="000000"/>
                <w:sz w:val="22"/>
                <w:szCs w:val="22"/>
              </w:rPr>
              <w:t xml:space="preserve">hộ</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109,13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Số </w:t>
            </w:r>
            <w:r>
              <w:rPr>
                <w:color w:val="000000"/>
                <w:sz w:val="22"/>
                <w:szCs w:val="22"/>
              </w:rPr>
              <w:t xml:space="preserve">tầng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t xml:space="preserve">28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Loại </w:t>
            </w:r>
            <w:r>
              <w:rPr>
                <w:color w:val="000000"/>
                <w:sz w:val="22"/>
                <w:szCs w:val="22"/>
              </w:rPr>
              <w:t xml:space="preserve">căn </w:t>
            </w:r>
            <w:r>
              <w:rPr>
                <w:color w:val="000000"/>
                <w:sz w:val="22"/>
                <w:szCs w:val="22"/>
              </w:rPr>
              <w:t xml:space="preserve">hộ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Căn </w:t>
            </w:r>
            <w:r>
              <w:rPr>
                <w:color w:val="000000" w:themeColor="text1"/>
                <w:sz w:val="22"/>
                <w:szCs w:val="22"/>
              </w:rPr>
              <w:t xml:space="preserve">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Kết </w:t>
            </w:r>
            <w:r>
              <w:rPr>
                <w:color w:val="000000"/>
                <w:sz w:val="22"/>
                <w:szCs w:val="22"/>
              </w:rPr>
              <w:t xml:space="preserve">cấu</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3 phòng ngủ, 2 nhà vệ sinh, 1 bếp, 1 lô gia lớn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Nội </w:t>
            </w:r>
            <w:r>
              <w:rPr>
                <w:color w:val="000000"/>
                <w:sz w:val="22"/>
                <w:szCs w:val="22"/>
              </w:rPr>
              <w:t xml:space="preserve">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Nội </w:t>
            </w:r>
            <w:r>
              <w:rPr>
                <w:color w:val="000000" w:themeColor="text1"/>
                <w:sz w:val="22"/>
                <w:szCs w:val="22"/>
              </w:rPr>
              <w:t xml:space="preserve">thất </w:t>
            </w:r>
            <w:r>
              <w:rPr>
                <w:color w:val="000000" w:themeColor="text1"/>
                <w:sz w:val="22"/>
                <w:szCs w:val="22"/>
              </w:rPr>
              <w:t xml:space="preserve">cơ </w:t>
            </w:r>
            <w:r>
              <w:rPr>
                <w:color w:val="000000" w:themeColor="text1"/>
                <w:sz w:val="22"/>
                <w:szCs w:val="22"/>
              </w:rPr>
              <w:t xml:space="preserve">bản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Hướng </w:t>
            </w:r>
            <w:r>
              <w:rPr>
                <w:color w:val="000000"/>
                <w:sz w:val="22"/>
                <w:szCs w:val="22"/>
              </w:rPr>
              <w:t xml:space="preserve">ban </w:t>
            </w:r>
            <w:r>
              <w:rPr>
                <w:color w:val="000000"/>
                <w:sz w:val="22"/>
                <w:szCs w:val="22"/>
              </w:rPr>
              <w:t xml:space="preserve">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Đông </w:t>
            </w:r>
            <w:r>
              <w:rPr>
                <w:color w:val="000000" w:themeColor="text1"/>
                <w:sz w:val="22"/>
                <w:szCs w:val="22"/>
              </w:rPr>
              <w:t xml:space="preserve">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3024"/>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b/>
                <w:bCs/>
                <w:color w:val="000000"/>
                <w:sz w:val="22"/>
                <w:szCs w:val="22"/>
              </w:rPr>
            </w:r>
            <w:r>
              <w:rPr>
                <w:color w:val="000000"/>
                <w:sz w:val="22"/>
                <w:szCs w:val="22"/>
              </w:rPr>
              <mc:AlternateContent>
                <mc:Choice Requires="wpg">
                  <w:drawing>
                    <wp:inline xmlns:wp="http://schemas.openxmlformats.org/drawingml/2006/wordprocessingDrawing" distT="0" distB="0" distL="0" distR="0">
                      <wp:extent cx="3226140" cy="158967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143917026" name="" descr=""/>
                              <pic:cNvPicPr/>
                              <pic:nvPr/>
                            </pic:nvPicPr>
                            <pic:blipFill rotWithShape="1">
                              <a:blip r:embed="rId32"/>
                              <a:stretch/>
                            </pic:blipFill>
                            <pic:spPr bwMode="auto">
                              <a:xfrm flipH="0" flipV="0">
                                <a:off x="0" y="0"/>
                                <a:ext cx="3226138" cy="15896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54.03pt;height:125.17pt;mso-wrap-distance-left:0.00pt;mso-wrap-distance-top:0.00pt;mso-wrap-distance-right:0.00pt;mso-wrap-distance-bottom:0.00pt;z-index:1;" stroked="false">
                      <v:imagedata r:id="rId32" o:title=""/>
                      <o:lock v:ext="edit" rotation="t"/>
                    </v:shape>
                  </w:pict>
                </mc:Fallback>
              </mc:AlternateContent>
            </w:r>
            <w:r>
              <w:rPr>
                <w:b/>
                <w:bCs/>
                <w:color w:val="000000"/>
                <w:sz w:val="22"/>
                <w:szCs w:val="22"/>
              </w:rPr>
              <w:t xml:space="preserve"> </w: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36990" cy="66849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455161" name=""/>
                              <pic:cNvPicPr>
                                <a:picLocks noChangeAspect="1"/>
                              </pic:cNvPicPr>
                              <pic:nvPr/>
                            </pic:nvPicPr>
                            <pic:blipFill rotWithShape="1">
                              <a:blip r:embed="rId33"/>
                              <a:stretch/>
                            </pic:blipFill>
                            <pic:spPr bwMode="auto">
                              <a:xfrm rot="0" flipH="0" flipV="0">
                                <a:off x="0" y="0"/>
                                <a:ext cx="1336989" cy="6684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05.27pt;height:52.64pt;mso-wrap-distance-left:0.00pt;mso-wrap-distance-top:0.00pt;mso-wrap-distance-right:0.00pt;mso-wrap-distance-bottom:0.00pt;rotation:0;z-index:1;" stroked="false">
                      <v:imagedata r:id="rId33"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098.226.5513</w:t>
            </w:r>
            <w:r>
              <w:rPr>
                <w:sz w:val="22"/>
                <w:szCs w:val="22"/>
              </w:rPr>
              <w:t xml:space="preserve"> </w:t>
            </w:r>
            <w:r>
              <w:rPr>
                <w:sz w:val="22"/>
                <w:szCs w:val="22"/>
              </w:rPr>
              <w:br/>
              <w:t xml:space="preserve">(Nhung Ecopark</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4.351.000.000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Căn hộ tầng 12A, Toà nhà SKY3, Khu căn hộ Vịnh Thuỷ (Aqua Bay) Khu đô thị Thương mại và Du lịch Văn Giang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w:t>
            </w:r>
            <w:r>
              <w:rPr>
                <w:color w:val="000000"/>
                <w:sz w:val="22"/>
                <w:szCs w:val="22"/>
              </w:rPr>
              <w:t xml:space="preserve">c</w:t>
            </w:r>
            <w:r>
              <w:rPr>
                <w:color w:val="000000"/>
                <w:sz w:val="22"/>
                <w:szCs w:val="22"/>
              </w:rPr>
              <w:t xml:space="preserve">ăn </w:t>
            </w:r>
            <w:r>
              <w:rPr>
                <w:color w:val="000000"/>
                <w:sz w:val="22"/>
                <w:szCs w:val="22"/>
              </w:rPr>
              <w:t xml:space="preserve">hộ</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w:t>
            </w:r>
            <w:r>
              <w:rPr>
                <w:color w:val="000000"/>
                <w:sz w:val="22"/>
                <w:szCs w:val="22"/>
              </w:rPr>
              <w:t xml:space="preserve">tầng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12</w:t>
            </w:r>
            <w:r>
              <w:rPr>
                <w:sz w:val="22"/>
                <w:szCs w:val="22"/>
              </w:rPr>
              <w:t xml:space="preserve">A</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w:t>
            </w:r>
            <w:r>
              <w:rPr>
                <w:color w:val="000000"/>
                <w:sz w:val="22"/>
                <w:szCs w:val="22"/>
              </w:rPr>
              <w:t xml:space="preserve">căn </w:t>
            </w:r>
            <w:r>
              <w:rPr>
                <w:color w:val="000000"/>
                <w:sz w:val="22"/>
                <w:szCs w:val="22"/>
              </w:rPr>
              <w:t xml:space="preserve">hộ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w:t>
            </w:r>
            <w:r>
              <w:rPr>
                <w:color w:val="000000" w:themeColor="text1"/>
                <w:sz w:val="22"/>
                <w:szCs w:val="22"/>
              </w:rPr>
              <w:t xml:space="preserve">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Kết </w:t>
            </w:r>
            <w:r>
              <w:rPr>
                <w:color w:val="000000"/>
                <w:sz w:val="22"/>
                <w:szCs w:val="22"/>
              </w:rPr>
              <w:t xml:space="preserve">cấu</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2 phòng ngủ, 2 nhà vệ sinh, 1 bếp, 1 lô gia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w:t>
            </w:r>
            <w:r>
              <w:rPr>
                <w:color w:val="000000"/>
                <w:sz w:val="22"/>
                <w:szCs w:val="22"/>
              </w:rPr>
              <w:t xml:space="preserve">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Nội </w:t>
            </w:r>
            <w:r>
              <w:rPr>
                <w:color w:val="000000" w:themeColor="text1"/>
                <w:sz w:val="22"/>
                <w:szCs w:val="22"/>
              </w:rPr>
              <w:t xml:space="preserve">thất </w:t>
            </w:r>
            <w:r>
              <w:rPr>
                <w:color w:val="000000" w:themeColor="text1"/>
                <w:sz w:val="22"/>
                <w:szCs w:val="22"/>
              </w:rPr>
              <w:t xml:space="preserve">cơ </w:t>
            </w:r>
            <w:r>
              <w:rPr>
                <w:color w:val="000000" w:themeColor="text1"/>
                <w:sz w:val="22"/>
                <w:szCs w:val="22"/>
              </w:rPr>
              <w:t xml:space="preserve">bản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w:t>
            </w:r>
            <w:r>
              <w:rPr>
                <w:color w:val="000000"/>
                <w:sz w:val="22"/>
                <w:szCs w:val="22"/>
              </w:rPr>
              <w:t xml:space="preserve">ban </w:t>
            </w:r>
            <w:r>
              <w:rPr>
                <w:color w:val="000000"/>
                <w:sz w:val="22"/>
                <w:szCs w:val="22"/>
              </w:rPr>
              <w:t xml:space="preserve">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Đông </w:t>
            </w:r>
            <w:r>
              <w:rPr>
                <w:color w:val="000000" w:themeColor="text1"/>
                <w:sz w:val="22"/>
                <w:szCs w:val="22"/>
              </w:rPr>
              <w:t xml:space="preserve">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02290" cy="1954571"/>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2902289" cy="195457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8.53pt;height:153.9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36990" cy="66849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04968" name=""/>
                              <pic:cNvPicPr>
                                <a:picLocks noChangeAspect="1"/>
                              </pic:cNvPicPr>
                              <pic:nvPr/>
                            </pic:nvPicPr>
                            <pic:blipFill rotWithShape="1">
                              <a:blip r:embed="rId33"/>
                              <a:stretch/>
                            </pic:blipFill>
                            <pic:spPr bwMode="auto">
                              <a:xfrm rot="0" flipH="0" flipV="0">
                                <a:off x="0" y="0"/>
                                <a:ext cx="1336989" cy="6684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05.27pt;height:52.64pt;mso-wrap-distance-left:0.00pt;mso-wrap-distance-top:0.00pt;mso-wrap-distance-right:0.00pt;mso-wrap-distance-bottom:0.00pt;rotation:0;z-index:1;" stroked="false">
                      <v:imagedata r:id="rId33"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Thuỳ Nhật Anh</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w:t>
            </w:r>
            <w:r>
              <w:rPr>
                <w:color w:val="000000" w:themeColor="text1"/>
                <w:sz w:val="22"/>
                <w:szCs w:val="22"/>
              </w:rPr>
              <w:t xml:space="preserve">-can-ho-chung-cu-xa-xuan-quan-aqua-bay-sky-residences/ban-3-ngu-toa-lake2-ecopark-tang-trung-huong-ong-nam-gia-6-7-ty-bao-phi-pr45384748?gidzl=2UfJNqMlIaiAzr9QIRHAJmNtKbbGiXeU4_9I2rgzIHX7yrCA3-D9JK7tKbm8iqv9GVS43cPxTYacGQjCJG#js__pr-expired__content-anchor</w:t>
            </w:r>
            <w:r>
              <w:rPr>
                <w:color w:val="000000" w:themeColor="text1"/>
                <w:sz w:val="22"/>
                <w:szCs w:val="22"/>
              </w:rPr>
              <w:br/>
            </w:r>
            <w:r>
              <w:rPr>
                <w:sz w:val="22"/>
                <w:szCs w:val="22"/>
              </w:rPr>
              <w:t xml:space="preserve">SĐT: </w:t>
            </w:r>
            <w:r>
              <w:rPr>
                <w:color w:val="000000" w:themeColor="text1"/>
                <w:sz w:val="22"/>
                <w:szCs w:val="22"/>
              </w:rPr>
              <w:t xml:space="preserve">0925988286</w:t>
            </w:r>
            <w:r>
              <w:rPr>
                <w:sz w:val="22"/>
                <w:szCs w:val="22"/>
              </w:rPr>
              <w:t xml:space="preserve"> </w:t>
            </w:r>
            <w:r>
              <w:rPr>
                <w:sz w:val="22"/>
                <w:szCs w:val="22"/>
              </w:rPr>
              <w:br/>
              <w:t xml:space="preserve">(Sơn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6.700.000.000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6.365.000.000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(90m²)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Căn hộ tầng trung, Toà nhà LAKE 2, Khu căn hộ Vịnh Thuỷ (Aqua Bay) Khu đô thị Thương mại và Du lịch Văn Giang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w:t>
            </w:r>
            <w:r>
              <w:rPr>
                <w:color w:val="000000"/>
                <w:sz w:val="22"/>
                <w:szCs w:val="22"/>
              </w:rPr>
              <w:t xml:space="preserve">c</w:t>
            </w:r>
            <w:r>
              <w:rPr>
                <w:color w:val="000000"/>
                <w:sz w:val="22"/>
                <w:szCs w:val="22"/>
              </w:rPr>
              <w:t xml:space="preserve">ăn </w:t>
            </w:r>
            <w:r>
              <w:rPr>
                <w:color w:val="000000"/>
                <w:sz w:val="22"/>
                <w:szCs w:val="22"/>
              </w:rPr>
              <w:t xml:space="preserve">hộ</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t xml:space="preserve">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w:t>
            </w:r>
            <w:r>
              <w:rPr>
                <w:color w:val="000000"/>
                <w:sz w:val="22"/>
                <w:szCs w:val="22"/>
              </w:rPr>
              <w:t xml:space="preserve">tầng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t xml:space="preserve">Tầng </w:t>
            </w:r>
            <w:r>
              <w:rPr>
                <w:sz w:val="22"/>
                <w:szCs w:val="22"/>
              </w:rPr>
              <w:t xml:space="preserve">trung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Loại </w:t>
            </w:r>
            <w:r>
              <w:rPr>
                <w:color w:val="000000"/>
                <w:sz w:val="22"/>
                <w:szCs w:val="22"/>
              </w:rPr>
              <w:t xml:space="preserve">căn </w:t>
            </w:r>
            <w:r>
              <w:rPr>
                <w:color w:val="000000"/>
                <w:sz w:val="22"/>
                <w:szCs w:val="22"/>
              </w:rPr>
              <w:t xml:space="preserve">hộ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Căn </w:t>
            </w:r>
            <w:r>
              <w:rPr>
                <w:color w:val="000000" w:themeColor="text1"/>
                <w:sz w:val="22"/>
                <w:szCs w:val="22"/>
              </w:rPr>
              <w:t xml:space="preserve">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Kết </w:t>
            </w:r>
            <w:r>
              <w:rPr>
                <w:color w:val="000000"/>
                <w:sz w:val="22"/>
                <w:szCs w:val="22"/>
              </w:rPr>
              <w:t xml:space="preserve">cấu</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3 phòng ngủ, 2 nhà vệ sinh, 1 bếp, 1 lô gia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Nội </w:t>
            </w:r>
            <w:r>
              <w:rPr>
                <w:color w:val="000000"/>
                <w:sz w:val="22"/>
                <w:szCs w:val="22"/>
              </w:rPr>
              <w:t xml:space="preserve">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Nội </w:t>
            </w:r>
            <w:r>
              <w:rPr>
                <w:color w:val="000000" w:themeColor="text1"/>
                <w:sz w:val="22"/>
                <w:szCs w:val="22"/>
              </w:rPr>
              <w:t xml:space="preserve">thất </w:t>
            </w:r>
            <w:r>
              <w:rPr>
                <w:color w:val="000000" w:themeColor="text1"/>
                <w:sz w:val="22"/>
                <w:szCs w:val="22"/>
              </w:rPr>
              <w:t xml:space="preserve">cơ </w:t>
            </w:r>
            <w:r>
              <w:rPr>
                <w:color w:val="000000" w:themeColor="text1"/>
                <w:sz w:val="22"/>
                <w:szCs w:val="22"/>
              </w:rPr>
              <w:t xml:space="preserve">bản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Hướng </w:t>
            </w:r>
            <w:r>
              <w:rPr>
                <w:color w:val="000000"/>
                <w:sz w:val="22"/>
                <w:szCs w:val="22"/>
              </w:rPr>
              <w:t xml:space="preserve">ban </w:t>
            </w:r>
            <w:r>
              <w:rPr>
                <w:color w:val="000000"/>
                <w:sz w:val="22"/>
                <w:szCs w:val="22"/>
              </w:rPr>
              <w:t xml:space="preserve">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Đông </w:t>
            </w:r>
            <w:r>
              <w:rPr>
                <w:color w:val="000000" w:themeColor="text1"/>
                <w:sz w:val="22"/>
                <w:szCs w:val="22"/>
              </w:rPr>
              <w:t xml:space="preserve">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313306" cy="1901237"/>
                      <wp:effectExtent l="0" t="0" r="0" b="0"/>
                      <wp:docPr id="22" name=""/>
                      <wp:cNvGraphicFramePr/>
                      <a:graphic xmlns:a="http://schemas.openxmlformats.org/drawingml/2006/main">
                        <a:graphicData uri="http://schemas.openxmlformats.org/drawingml/2006/picture">
                          <pic:pic xmlns:pic="http://schemas.openxmlformats.org/drawingml/2006/picture">
                            <pic:nvPicPr>
                              <pic:cNvPr id="2067101489" name="" descr=""/>
                              <pic:cNvPicPr/>
                              <pic:nvPr/>
                            </pic:nvPicPr>
                            <pic:blipFill rotWithShape="1">
                              <a:blip r:embed="rId35"/>
                              <a:stretch/>
                            </pic:blipFill>
                            <pic:spPr bwMode="auto">
                              <a:xfrm flipH="0" flipV="0">
                                <a:off x="0" y="0"/>
                                <a:ext cx="3313305" cy="190123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60.89pt;height:149.7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b/>
                <w:bCs/>
                <w:color w:val="000000"/>
                <w:sz w:val="22"/>
                <w:szCs w:val="22"/>
              </w:rPr>
            </w:r>
            <w:r>
              <w:rPr>
                <w:b/>
                <w:bCs/>
                <w:color w:val="000000"/>
                <w:sz w:val="22"/>
                <w:szCs w:val="22"/>
              </w:rPr>
            </w:r>
          </w:p>
        </w:tc>
      </w:tr>
    </w:tbl>
    <w:p>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mc:AlternateContent>
                <mc:Choice Requires="wpg">
                  <w:drawing>
                    <wp:inline xmlns:wp="http://schemas.openxmlformats.org/drawingml/2006/wordprocessingDrawing" distT="0" distB="0" distL="0" distR="0">
                      <wp:extent cx="1336990" cy="66849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15321" name=""/>
                              <pic:cNvPicPr>
                                <a:picLocks noChangeAspect="1"/>
                              </pic:cNvPicPr>
                              <pic:nvPr/>
                            </pic:nvPicPr>
                            <pic:blipFill rotWithShape="1">
                              <a:blip r:embed="rId33"/>
                              <a:stretch/>
                            </pic:blipFill>
                            <pic:spPr bwMode="auto">
                              <a:xfrm flipH="0" flipV="0">
                                <a:off x="0" y="0"/>
                                <a:ext cx="1336989" cy="6684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05.27pt;height:52.64pt;mso-wrap-distance-left:0.00pt;mso-wrap-distance-top:0.00pt;mso-wrap-distance-right:0.00pt;mso-wrap-distance-bottom:0.00pt;z-index:1;" stroked="false">
                      <v:imagedata r:id="rId33" o:title=""/>
                      <o:lock v:ext="edit" rotation="t"/>
                    </v:shape>
                  </w:pict>
                </mc:Fallback>
              </mc:AlternateContent>
            </w:r>
            <w:r>
              <w:rPr>
                <w:highlight w:val="none"/>
              </w:rPr>
            </w:r>
            <w:r/>
          </w:p>
          <w:p>
            <w:pPr>
              <w:pBdr/>
              <w:spacing/>
              <w:ind/>
              <w:jc w:val="center"/>
              <w:rPr>
                <w:highlight w:val="none"/>
              </w:rPr>
            </w:pPr>
            <w:r>
              <w:t xml:space="preserve">Nguyễn Thuỳ Nhật Anh</w:t>
            </w:r>
            <w:r>
              <w:rPr>
                <w:highlight w:val="none"/>
              </w:rPr>
            </w:r>
            <w:r>
              <w:rPr>
                <w:highlight w:val="none"/>
              </w:rPr>
            </w:r>
          </w:p>
        </w:tc>
      </w:tr>
    </w:tbl>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 </w:t>
      </w:r>
      <w:r>
        <w:rPr>
          <w:b/>
          <w:bCs/>
          <w:iCs/>
          <w:highlight w:val="none"/>
        </w:rPr>
      </w:r>
      <w:r>
        <w:rPr>
          <w:b/>
          <w:bCs/>
          <w:iCs/>
          <w:highlight w:val="none"/>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5432550" cy="4061953"/>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345891" name=""/>
                        <pic:cNvPicPr>
                          <a:picLocks noChangeAspect="1"/>
                        </pic:cNvPicPr>
                        <pic:nvPr/>
                      </pic:nvPicPr>
                      <pic:blipFill rotWithShape="1">
                        <a:blip r:embed="rId36"/>
                        <a:stretch/>
                      </pic:blipFill>
                      <pic:spPr bwMode="auto">
                        <a:xfrm flipH="0" flipV="0">
                          <a:off x="0" y="0"/>
                          <a:ext cx="5432550" cy="40619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27.76pt;height:319.84pt;mso-wrap-distance-left:0.00pt;mso-wrap-distance-top:0.00pt;mso-wrap-distance-right:0.00pt;mso-wrap-distance-bottom:0.00pt;z-index:1;" stroked="false">
                <v:imagedata r:id="rId36" o:title=""/>
                <o:lock v:ext="edit" rotation="t"/>
              </v:shape>
            </w:pict>
          </mc:Fallback>
        </mc:AlternateContent>
      </w:r>
      <w:r>
        <w:rPr>
          <w:highlight w:val="none"/>
          <w:lang w:val="pt-BR" w:bidi="pt-BR"/>
        </w:rPr>
      </w:r>
      <w:r>
        <w:rPr>
          <w:highlight w:val="none"/>
          <w:lang w:val="pt-BR" w:bidi="pt-BR"/>
        </w:rPr>
      </w:r>
    </w:p>
    <w:p>
      <w:pPr>
        <w:pBdr/>
        <w:spacing w:after="200" w:line="276" w:lineRule="auto"/>
        <w:ind/>
        <w:jc w:val="center"/>
        <w:rPr>
          <w:highlight w:val="none"/>
        </w:rPr>
      </w:pPr>
      <w:r>
        <w:rPr>
          <w:iCs/>
          <w:highlight w:val="none"/>
          <w:lang w:val="pt-BR" w:bidi="pt-BR"/>
        </w:rPr>
      </w:r>
      <w:r>
        <mc:AlternateContent>
          <mc:Choice Requires="wpg">
            <w:drawing>
              <wp:inline xmlns:wp="http://schemas.openxmlformats.org/drawingml/2006/wordprocessingDrawing" distT="0" distB="0" distL="0" distR="0">
                <wp:extent cx="5410540" cy="4076102"/>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424498" name=""/>
                        <pic:cNvPicPr>
                          <a:picLocks noChangeAspect="1"/>
                        </pic:cNvPicPr>
                        <pic:nvPr/>
                      </pic:nvPicPr>
                      <pic:blipFill rotWithShape="1">
                        <a:blip r:embed="rId37"/>
                        <a:stretch/>
                      </pic:blipFill>
                      <pic:spPr bwMode="auto">
                        <a:xfrm flipH="0" flipV="0">
                          <a:off x="0" y="0"/>
                          <a:ext cx="5410539" cy="40761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26.03pt;height:320.95pt;mso-wrap-distance-left:0.00pt;mso-wrap-distance-top:0.00pt;mso-wrap-distance-right:0.00pt;mso-wrap-distance-bottom:0.00pt;z-index:1;" stroked="false">
                <v:imagedata r:id="rId37" o:title=""/>
                <o:lock v:ext="edit" rotation="t"/>
              </v:shape>
            </w:pict>
          </mc:Fallback>
        </mc:AlternateContent>
      </w:r>
      <w:r>
        <w:rPr>
          <w:highlight w:val="none"/>
        </w:rPr>
      </w:r>
      <w:r>
        <w:rPr>
          <w:highlight w:val="none"/>
        </w:rPr>
      </w:r>
    </w:p>
    <w:p>
      <w:pPr>
        <w:pBdr/>
        <w:spacing w:after="200" w:line="276" w:lineRule="auto"/>
        <w:ind/>
        <w:jc w:val="center"/>
        <w:rPr>
          <w:b/>
          <w:bCs/>
          <w:highlight w:val="none"/>
          <w:lang w:val="pt-BR" w:bidi="pt-BR"/>
        </w:rPr>
      </w:pPr>
      <w:r>
        <w:rPr>
          <w:b/>
          <w:bCs/>
          <w:highlight w:val="none"/>
          <w:lang w:val="pt-BR" w:bidi="pt-BR"/>
        </w:rPr>
        <w:t xml:space="preserve">Biên </w:t>
      </w:r>
      <w:r>
        <w:rPr>
          <w:b/>
          <w:bCs/>
          <w:highlight w:val="none"/>
          <w:lang w:val="pt-BR" w:bidi="pt-BR"/>
        </w:rPr>
        <w:t xml:space="preserve">bản </w:t>
      </w:r>
      <w:r>
        <w:rPr>
          <w:b/>
          <w:bCs/>
          <w:highlight w:val="none"/>
          <w:lang w:val="pt-BR" w:bidi="pt-BR"/>
        </w:rPr>
        <w:t xml:space="preserve">khảo </w:t>
      </w:r>
      <w:r>
        <w:rPr>
          <w:b/>
          <w:bCs/>
          <w:highlight w:val="none"/>
          <w:lang w:val="pt-BR" w:bidi="pt-BR"/>
        </w:rPr>
        <w:t xml:space="preserve">sát</w:t>
      </w:r>
      <w:r>
        <w:rPr>
          <w:b/>
          <w:bCs/>
          <w:highlight w:val="none"/>
          <w:lang w:val="pt-BR" w:bidi="pt-BR"/>
        </w:rPr>
      </w:r>
      <w:r>
        <w:rPr>
          <w:b/>
          <w:bCs/>
          <w:highlight w:val="none"/>
          <w:lang w:val="pt-BR" w:bidi="pt-BR"/>
        </w:rPr>
      </w:r>
    </w:p>
    <w:p>
      <w:pPr>
        <w:pBdr/>
        <w:spacing w:after="200" w:line="276" w:lineRule="auto"/>
        <w:ind/>
        <w:jc w:val="center"/>
        <w:rPr>
          <w:b/>
          <w:bCs/>
        </w:rPr>
      </w:pPr>
      <w:r>
        <w:rPr>
          <w:b/>
          <w:bCs/>
        </w:rPr>
      </w:r>
      <w:r>
        <w:rPr>
          <w:b/>
          <w:bCs/>
        </w:rPr>
      </w:r>
      <w:r>
        <w:rPr>
          <w:b/>
          <w:bCs/>
        </w:rPr>
      </w:r>
    </w:p>
    <w:p>
      <w:pPr>
        <w:pBdr/>
        <w:spacing w:after="200" w:line="276" w:lineRule="auto"/>
        <w:ind/>
        <w:jc w:val="left"/>
        <w:rPr>
          <w:b/>
          <w:bCs/>
        </w:rPr>
      </w:pPr>
      <w:r>
        <w:rPr>
          <w:b/>
          <w:bCs/>
          <w:highlight w:val="none"/>
          <w:lang w:val="pt-BR" w:bidi="pt-BR"/>
        </w:rPr>
      </w:r>
      <w:r>
        <w:rPr>
          <w:b/>
          <w:sz w:val="28"/>
        </w:rPr>
        <mc:AlternateContent>
          <mc:Choice Requires="wpg">
            <w:drawing>
              <wp:inline xmlns:wp="http://schemas.openxmlformats.org/drawingml/2006/wordprocessingDrawing" distT="0" distB="0" distL="0" distR="0">
                <wp:extent cx="5872480" cy="8378071"/>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99884" name=""/>
                        <pic:cNvPicPr>
                          <a:picLocks noChangeAspect="1"/>
                        </pic:cNvPicPr>
                        <pic:nvPr/>
                      </pic:nvPicPr>
                      <pic:blipFill rotWithShape="1">
                        <a:blip r:embed="rId38"/>
                        <a:stretch/>
                      </pic:blipFill>
                      <pic:spPr bwMode="auto">
                        <a:xfrm rot="0" flipH="0" flipV="0">
                          <a:off x="0" y="0"/>
                          <a:ext cx="5872479" cy="83780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62.40pt;height:659.69pt;mso-wrap-distance-left:0.00pt;mso-wrap-distance-top:0.00pt;mso-wrap-distance-right:0.00pt;mso-wrap-distance-bottom:0.00pt;rotation:0;z-index:1;" stroked="false">
                <v:imagedata r:id="rId38" o:title=""/>
                <o:lock v:ext="edit" rotation="t"/>
              </v:shape>
            </w:pict>
          </mc:Fallback>
        </mc:AlternateContent>
      </w:r>
      <w:r>
        <w:rPr>
          <w:b/>
          <w:bCs/>
        </w:rPr>
      </w:r>
      <w:r>
        <w:rPr>
          <w:b/>
          <w:bCs/>
        </w:rPr>
      </w:r>
    </w:p>
    <w:sectPr>
      <w:footerReference w:type="even" r:id="rId12"/>
      <w:footnotePr/>
      <w:endnotePr/>
      <w:type w:val="nextPage"/>
      <w:pgSz w:h="16839" w:orient="portrait" w:w="11907"/>
      <w:pgMar w:top="1134" w:right="1163"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7-31T02:14:18Z" w:initials="NTTD">
    <w:p w14:paraId="00000001" w14:textId="00000001">
      <w:pPr>
        <w:spacing w:line="240" w:after="0" w:lineRule="auto" w:before="0"/>
        <w:ind w:firstLine="0" w:left="0" w:right="0"/>
        <w:jc w:val="left"/>
      </w:pPr>
      <w:r>
        <w:rPr>
          <w:rFonts w:eastAsia="Arial" w:ascii="Arial" w:hAnsi="Arial" w:cs="Arial"/>
          <w:sz w:val="22"/>
        </w:rPr>
        <w:t xml:space="preserve">Ngày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C7367D5" w16cex:dateUtc="2026-07-30T19:14:18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6C7367D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hyperlink" Target="https://web.facebook.com/groups/257527808260461/posts/1883821825631043/?_rdc=1&amp;_rdr" TargetMode="External"/><Relationship Id="rId19" Type="http://schemas.openxmlformats.org/officeDocument/2006/relationships/hyperlink" Target="https://batdongsan.com.vn/ban-can-ho-chung-cu-xa-xuan-quan-aqua-bay-sky-residences/ban-3-ngu-toa-lake2-ecopark-tang-trung-huong-ong-nam-gia-6-7-ty-bao-phi-pr45384748?gidzl=2UfJNqMlIaiAzr9QIRHAJmNtKbbGiXeU4_9I2rgzIHX7yrCA3-D9JK7tKbm8iqv9GVS43cPxTYacGQjCJG#js__pr-expired__content-anchor" TargetMode="External"/><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 Id="rId24" Type="http://schemas.openxmlformats.org/officeDocument/2006/relationships/image" Target="media/image8.jpg"/><Relationship Id="rId25" Type="http://schemas.openxmlformats.org/officeDocument/2006/relationships/image" Target="media/image9.jpg"/><Relationship Id="rId26" Type="http://schemas.openxmlformats.org/officeDocument/2006/relationships/image" Target="media/image10.jpg"/><Relationship Id="rId27" Type="http://schemas.openxmlformats.org/officeDocument/2006/relationships/image" Target="media/image11.jpg"/><Relationship Id="rId28" Type="http://schemas.openxmlformats.org/officeDocument/2006/relationships/image" Target="media/image12.jpg"/><Relationship Id="rId29" Type="http://schemas.openxmlformats.org/officeDocument/2006/relationships/image" Target="media/image13.jpg"/><Relationship Id="rId30" Type="http://schemas.openxmlformats.org/officeDocument/2006/relationships/image" Target="media/image14.jpg"/><Relationship Id="rId31" Type="http://schemas.openxmlformats.org/officeDocument/2006/relationships/image" Target="media/image15.jpg"/><Relationship Id="rId32" Type="http://schemas.openxmlformats.org/officeDocument/2006/relationships/image" Target="media/image16.png"/><Relationship Id="rId33" Type="http://schemas.openxmlformats.org/officeDocument/2006/relationships/image" Target="media/image17.jp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comments" Target="comments.xml" /><Relationship Id="rId40" Type="http://schemas.microsoft.com/office/2011/relationships/commentsExtended" Target="commentsExtended.xml" /><Relationship Id="rId41" Type="http://schemas.microsoft.com/office/2018/08/relationships/commentsExtensible" Target="commentsExtensible.xml" /><Relationship Id="rId42" Type="http://schemas.microsoft.com/office/2016/09/relationships/commentsIds" Target="commentsIds.xml" /><Relationship Id="rId43"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287</cp:revision>
  <dcterms:created xsi:type="dcterms:W3CDTF">2025-09-15T09:58:00Z</dcterms:created>
  <dcterms:modified xsi:type="dcterms:W3CDTF">2026-08-03T01:54:37Z</dcterms:modified>
</cp:coreProperties>
</file>