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275/2026/1042/VFI-CT.69.A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TƯ VẤN VÀ ĐẦU TƯ XÂY DỰNG HÙNG SƠN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 sản thẩm </w:t>
                            </w:r>
                            <w:r>
                              <w:rPr>
                                <w:b/>
                              </w:rPr>
                              <w:t xml:space="preserve">định: </w:t>
                            </w:r>
                            <w:r>
                              <w:rPr>
                                <w:color w:val="000000"/>
                              </w:rPr>
                              <w:t xml:space="preserve">Quyền sở hữu căn hộ 706 (đơn nguyên A) tầng 7, Nhà 4F khu đô thị Trung Yên, phường Yên Hoà, quận Cầu Giấy, thành phố Hà Nội (Nay là phường Cầu Giấy,</w:t>
                            </w:r>
                            <w:r>
                              <w:rPr>
                                <w:color w:val="000000"/>
                              </w:rPr>
                              <w:t xml:space="preserve"> thành phố Hà Nội) theo Giấy chứng nhận quyền sử dụng đất, quyền sở hữu nhà ở và tài sản gắn liền với đất số BD 142301, số vào sổ cấp GCN: CH </w:t>
                            </w:r>
                            <w:r>
                              <w:rPr>
                                <w:bCs/>
                                <w:i/>
                                <w:iCs/>
                              </w:rPr>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sz w:val="24"/>
                              </w:rPr>
                              <w:t xml:space="preserve"> </w:t>
                            </w:r>
                            <w:r>
                              <w:rPr>
                                <w:color w:val="000000"/>
                              </w:rPr>
                              <w:t xml:space="preserve"> do UBND quận Cầu Giấy cấp ngày 23/08/2010; Chủ sở hữu căn hộ là Bà Nguyễn Thị Thanh Huyền.</w:t>
                            </w:r>
                            <w:r>
                              <w:rPr>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275/2026/1042/VFI-CT.69.A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TƯ VẤN VÀ ĐẦU TƯ XÂY DỰNG HÙNG SƠN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 sản thẩm </w:t>
                      </w:r>
                      <w:r>
                        <w:rPr>
                          <w:b/>
                        </w:rPr>
                        <w:t xml:space="preserve">định: </w:t>
                      </w:r>
                      <w:r>
                        <w:rPr>
                          <w:color w:val="000000"/>
                        </w:rPr>
                        <w:t xml:space="preserve">Quyền sở hữu căn hộ 706 (đơn nguyên A) tầng 7, Nhà 4F khu đô thị Trung Yên, phường Yên Hoà, quận Cầu Giấy, thành phố Hà Nội (Nay là phường Cầu Giấy,</w:t>
                      </w:r>
                      <w:r>
                        <w:rPr>
                          <w:color w:val="000000"/>
                        </w:rPr>
                        <w:t xml:space="preserve"> thành phố Hà Nội) theo Giấy chứng nhận quyền sử dụng đất, quyền sở hữu nhà ở và tài sản gắn liền với đất số BD 142301, số vào sổ cấp GCN: CH </w:t>
                      </w:r>
                      <w:r>
                        <w:rPr>
                          <w:bCs/>
                          <w:i/>
                          <w:iCs/>
                        </w:rPr>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sz w:val="24"/>
                        </w:rPr>
                        <w:t xml:space="preserve"> </w:t>
                      </w:r>
                      <w:r>
                        <w:rPr>
                          <w:color w:val="000000"/>
                        </w:rPr>
                        <w:t xml:space="preserve"> do UBND quận Cầu Giấy cấp ngày 23/08/2010; Chủ sở hữu căn hộ là Bà Nguyễn Thị Thanh Huyền.</w:t>
                      </w:r>
                      <w:r>
                        <w:rPr>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w:t>
            </w:r>
            <w:r>
              <w:rPr>
                <w:bCs/>
                <w:lang w:val="pt-BR"/>
              </w:rPr>
              <w:t xml:space="preserve">hồ </w:t>
            </w:r>
            <w:r>
              <w:rPr>
                <w:bCs/>
                <w:lang w:val="pt-BR"/>
              </w:rPr>
              <w:t xml:space="preserve">sơ </w:t>
            </w:r>
            <w:r>
              <w:rPr>
                <w:bCs/>
                <w:lang w:val="pt-BR"/>
              </w:rPr>
              <w:t xml:space="preserve">phá</w:t>
            </w:r>
            <w:r>
              <w:rPr>
                <w:bCs/>
                <w:lang w:val="pt-BR"/>
              </w:rPr>
              <w:t xml:space="preserve">p </w:t>
            </w:r>
            <w:r>
              <w:rPr>
                <w:bCs/>
                <w:lang w:val="pt-BR"/>
              </w:rPr>
              <w:t xml:space="preserve">lý + </w:t>
            </w:r>
            <w:r>
              <w:rPr>
                <w:bCs/>
                <w:lang w:val="pt-BR"/>
              </w:rPr>
              <w:t xml:space="preserve">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33" w:type="dxa"/>
        <w:tblBorders/>
        <w:tblLayout w:type="fixed"/>
        <w:tblLook w:val="04A0" w:firstRow="1" w:lastRow="0" w:firstColumn="1" w:lastColumn="0" w:noHBand="0" w:noVBand="1"/>
      </w:tblPr>
      <w:tblGrid>
        <w:gridCol w:w="29"/>
        <w:gridCol w:w="3543"/>
        <w:gridCol w:w="6661"/>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275/2026/1042/VFI-CT.69.A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9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TƯ VẤN VÀ ĐẦU TƯ XÂY DỰNG HÙNG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275/2026/1042/VFI-HĐTĐ.69.A</w:t>
      </w:r>
      <w:r>
        <w:rPr>
          <w:spacing w:val="-4"/>
          <w:lang w:val="vi-VN"/>
        </w:rPr>
        <w:t xml:space="preserve"> ký ngày </w:t>
      </w:r>
      <w:r>
        <w:rPr>
          <w:color w:val="000000" w:themeColor="text1"/>
          <w:spacing w:val="-4"/>
        </w:rPr>
        <w:t xml:space="preserve">7 tháng 7 năm 2026</w:t>
      </w:r>
      <w:r>
        <w:rPr>
          <w:spacing w:val="-4"/>
          <w:lang w:val="vi-VN"/>
        </w:rPr>
        <w:t xml:space="preserve"> </w:t>
      </w:r>
      <w:r>
        <w:rPr>
          <w:spacing w:val="-4"/>
          <w:lang w:val="vi-VN"/>
        </w:rPr>
        <w:t xml:space="preserve">giữa </w:t>
      </w:r>
      <w:r>
        <w:rPr>
          <w:color w:val="000000" w:themeColor="text1"/>
          <w:spacing w:val="-4"/>
        </w:rPr>
        <w:t xml:space="preserve">CÔNG TY CỔ PHẦN TƯ VẤN VÀ ĐẦU TƯ XÂY DỰNG HÙNG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275/2026/1042/VFI-BC.69.A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3643" w:type="pct"/>
            <w:vAlign w:val="center"/>
            <w:textDirection w:val="lrTb"/>
            <w:noWrap w:val="false"/>
          </w:tcPr>
          <w:p>
            <w:pPr>
              <w:pBdr/>
              <w:shd w:val="nil" w:color="auto"/>
              <w:spacing/>
              <w:ind/>
              <w:rPr>
                <w:b/>
                <w:bCs/>
                <w:highlight w:val="white"/>
                <w14:ligatures w14:val="none"/>
              </w:rPr>
            </w:pPr>
            <w:r>
              <w:rPr>
                <w:b/>
                <w:bCs/>
              </w:rPr>
            </w:r>
            <w:r>
              <w:rPr>
                <w:b/>
                <w:bCs/>
                <w:highlight w:val="white"/>
              </w:rPr>
              <w:t xml:space="preserve">C</w:t>
            </w:r>
            <w:r>
              <w:rPr>
                <w:b/>
                <w:bCs/>
                <w:highlight w:val="white"/>
              </w:rPr>
              <w:t xml:space="preserve">ÔNG TY CỔ PHẦN TƯ VẤN VÀ ĐẦU TƯ XÂY DỰNG HÙNG SƠN</w:t>
            </w:r>
            <w:r>
              <w:rPr>
                <w:b/>
                <w:bCs/>
                <w:highlight w:val="white"/>
                <w14:ligatures w14:val="none"/>
              </w:rPr>
            </w:r>
            <w:r>
              <w:rPr>
                <w:b/>
                <w:bCs/>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0106488468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auto"/>
              <w:spacing/>
              <w:ind/>
              <w:rPr>
                <w:highlight w:val="white"/>
                <w14:ligatures w14:val="none"/>
              </w:rPr>
            </w:pPr>
            <w:r>
              <w:rPr>
                <w:color w:val="000000" w:themeColor="text1"/>
                <w:lang w:val="vi-VN"/>
              </w:rPr>
            </w:r>
            <w:r>
              <w:rPr>
                <w:highlight w:val="white"/>
              </w:rPr>
              <w:t xml:space="preserve">Số 38, Đồng Cam, Xã Thạch Thất, TP Hà Nội</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w:t>
            </w:r>
            <w:r>
              <w:rPr>
                <w:color w:val="000000" w:themeColor="text1"/>
                <w:lang w:val="vi-VN"/>
              </w:rPr>
              <w:t xml:space="preserve">Trịnh </w:t>
            </w:r>
            <w:r>
              <w:rPr>
                <w:color w:val="000000" w:themeColor="text1"/>
                <w:lang w:val="vi-VN"/>
              </w:rPr>
              <w:t xml:space="preserve">Văn </w:t>
            </w:r>
            <w:r>
              <w:rPr>
                <w:color w:val="000000" w:themeColor="text1"/>
                <w:lang w:val="vi-VN"/>
              </w:rPr>
              <w:t xml:space="preserve">Khán</w:t>
            </w:r>
            <w:r>
              <w:rPr>
                <w:color w:val="000000" w:themeColor="text1"/>
                <w:lang w:val="vi-VN"/>
              </w:rPr>
              <w:t xml:space="preserve">h - </w:t>
            </w:r>
            <w:r>
              <w:rPr>
                <w:color w:val="000000" w:themeColor="text1"/>
                <w:lang w:val="vi-VN"/>
              </w:rPr>
              <w:t xml:space="preserve">Chức </w:t>
            </w:r>
            <w:r>
              <w:rPr>
                <w:color w:val="000000" w:themeColor="text1"/>
                <w:lang w:val="vi-VN"/>
              </w:rPr>
              <w:t xml:space="preserve">vụ: </w:t>
            </w:r>
            <w:r>
              <w:rPr>
                <w:color w:val="000000" w:themeColor="text1"/>
                <w:lang w:val="vi-VN"/>
              </w:rPr>
              <w:t xml:space="preserve">Giám </w:t>
            </w:r>
            <w:r>
              <w:rPr>
                <w:color w:val="000000" w:themeColor="text1"/>
                <w:lang w:val="vi-VN"/>
              </w:rPr>
              <w:t xml:space="preserve">đốc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706 (đơn nguyên A) tầng 7, Nhà 4F khu đô thị Trung Yên, phường Yên Hoà, quận Cầu Giấy, thành phố Hà Nội (Nay là phường Cầu Giấy,</w:t>
      </w:r>
      <w:r>
        <w:rPr>
          <w:color w:val="000000" w:themeColor="text1"/>
        </w:rPr>
        <w:t xml:space="preserve"> thành phố Hà Nội) theo Giấy chứng nhận quyền sử dụng đất, quyền sở hữu nhà ở và tài sản gắn liền với đất số BD 142301, số vào sổ cấp GCN: CH </w:t>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color w:val="000000" w:themeColor="text1"/>
        </w:rPr>
        <w:t xml:space="preserve"> do UBND quận Cầu Giấy cấp ngày 23/08/2010; Chủ sở hữu căn hộ là Bà Nguyễn Thị Thanh Huyền.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27"/>
        <w:gridCol w:w="1775"/>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gridSpan w:val="2"/>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sở hữu căn hộ 706 (đơn nguyên A) tầng 7, Nhà 4F khu đô thị Trung Yên, phường Yên Hoà, quận Cầu Giấy, thành phố Hà Nội (Nay là phường Cầu Giấy,</w:t>
            </w:r>
            <w:r>
              <w:rPr>
                <w:color w:val="000000"/>
              </w:rPr>
              <w:t xml:space="preserve"> thành phố Hà Nội) theo Giấy chứng nhận quyền sử dụng đất, quyền sở hữu nhà ở và tài sản gắn liền với đất số BD 142301, số vào sổ cấp GCN: CH </w:t>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color w:val="000000"/>
              </w:rPr>
              <w:t xml:space="preserve"> do UBND quận Cầu Giấy cấp ngày 23/08/2010; Chủ sở hữu căn hộ là Bà Nguyễn Thị Thanh Huyền.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381"/>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052" w:type="dxa"/>
            <w:vAlign w:val="center"/>
            <w:textDirection w:val="lrTb"/>
            <w:noWrap w:val="false"/>
          </w:tcPr>
          <w:p>
            <w:pPr>
              <w:pBdr/>
              <w:spacing w:after="40" w:before="40" w:line="288" w:lineRule="auto"/>
              <w:ind/>
              <w:rPr>
                <w:b w:val="0"/>
                <w:bCs w:val="0"/>
              </w:rPr>
            </w:pPr>
            <w:r>
              <w:rPr>
                <w:b w:val="0"/>
                <w:bCs w:val="0"/>
              </w:rPr>
              <w:t xml:space="preserve">Căn </w:t>
            </w:r>
            <w:r>
              <w:rPr>
                <w:b w:val="0"/>
                <w:bCs w:val="0"/>
              </w:rPr>
              <w:t xml:space="preserve">hộ </w:t>
            </w:r>
            <w:r>
              <w:rPr>
                <w:b w:val="0"/>
                <w:bCs w:val="0"/>
              </w:rPr>
              <w:t xml:space="preserve">chung </w:t>
            </w:r>
            <w:r>
              <w:rPr>
                <w:b w:val="0"/>
                <w:bCs w:val="0"/>
              </w:rPr>
              <w:t xml:space="preserve">cư</w:t>
            </w:r>
            <w:r>
              <w:rPr>
                <w:b w:val="0"/>
                <w:bCs w:val="0"/>
              </w:rPr>
            </w:r>
            <w:r>
              <w:rPr>
                <w:b w:val="0"/>
                <w:bCs w:val="0"/>
              </w:rPr>
            </w:r>
          </w:p>
        </w:tc>
        <w:tc>
          <w:tcPr>
            <w:tcBorders/>
            <w:tcW w:w="1775"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61,35</w:t>
            </w:r>
            <w:r>
              <w:rPr>
                <w:b w:val="0"/>
                <w:bCs w:val="0"/>
                <w:color w:val="000000"/>
              </w:rPr>
            </w:r>
            <w:r>
              <w:rPr>
                <w:b w:val="0"/>
                <w:bCs w:val="0"/>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4.601.250.000</w:t>
            </w:r>
            <w:r/>
          </w:p>
        </w:tc>
      </w:tr>
      <w:tr>
        <w:trPr>
          <w:trHeight w:val="385"/>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4.601.250.000</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4.601.300.000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lẻ một triệu ba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0"/>
        <w:rPr>
          <w:rFonts w:eastAsia="Calibri"/>
          <w:b/>
          <w:bCs/>
          <w:spacing w:val="-4"/>
          <w:highlight w:val="none"/>
          <w:lang w:val="vi-VN"/>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275/2026/1042/VFI-BC.69.A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9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520"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275/2026/1042/VFI-CT.69.A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6945" w:type="dxa"/>
            <w:vAlign w:val="center"/>
            <w:textDirection w:val="lrTb"/>
            <w:noWrap w:val="false"/>
          </w:tcPr>
          <w:p>
            <w:pPr>
              <w:pBdr/>
              <w:shd w:val="nil" w:color="000000"/>
              <w:spacing/>
              <w:ind/>
              <w:rPr>
                <w:b/>
                <w:bCs/>
                <w:highlight w:val="white"/>
                <w14:ligatures w14:val="none"/>
              </w:rPr>
            </w:pPr>
            <w:r>
              <w:rPr>
                <w:b/>
                <w:bCs/>
              </w:rPr>
            </w:r>
            <w:r>
              <w:rPr>
                <w:b/>
                <w:bCs/>
                <w:highlight w:val="white"/>
              </w:rPr>
              <w:t xml:space="preserve">C</w:t>
            </w:r>
            <w:r>
              <w:rPr>
                <w:b/>
                <w:bCs/>
                <w:highlight w:val="white"/>
              </w:rPr>
              <w:t xml:space="preserve">ÔNG TY CỔ PHẦN TƯ VẤN VÀ ĐẦU TƯ XÂY DỰNG HÙNG SƠN</w:t>
            </w:r>
            <w:r>
              <w:rPr>
                <w:b/>
                <w:bCs/>
                <w:highlight w:val="white"/>
                <w14:ligatures w14:val="none"/>
              </w:rPr>
            </w:r>
            <w:r>
              <w:rPr>
                <w:b/>
                <w:bCs/>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0106488468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color w:val="000000" w:themeColor="text1"/>
                <w:lang w:val="vi-VN"/>
              </w:rPr>
            </w:r>
            <w:r>
              <w:rPr>
                <w:highlight w:val="white"/>
              </w:rPr>
              <w:t xml:space="preserve">Số 38, Đồng Cam, Xã Thạch Thất, TP Hà Nội</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Tr</w:t>
            </w:r>
            <w:r>
              <w:rPr>
                <w:color w:val="000000" w:themeColor="text1"/>
                <w:lang w:val="vi-VN"/>
              </w:rPr>
              <w:t xml:space="preserve">ị</w:t>
            </w:r>
            <w:r>
              <w:rPr>
                <w:color w:val="000000" w:themeColor="text1"/>
                <w:lang w:val="vi-VN"/>
              </w:rPr>
              <w:t xml:space="preserve">nh </w:t>
            </w:r>
            <w:r>
              <w:rPr>
                <w:color w:val="000000" w:themeColor="text1"/>
                <w:lang w:val="vi-VN"/>
              </w:rPr>
              <w:t xml:space="preserve">Văn </w:t>
            </w:r>
            <w:r>
              <w:rPr>
                <w:color w:val="000000" w:themeColor="text1"/>
                <w:lang w:val="vi-VN"/>
              </w:rPr>
              <w:t xml:space="preserve">Khánh Cị- </w:t>
            </w:r>
            <w:r>
              <w:rPr>
                <w:color w:val="000000" w:themeColor="text1"/>
                <w:lang w:val="vi-VN"/>
              </w:rPr>
              <w:t xml:space="preserve">Chức Chứ</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706 (đơn nguyên A) tầng 7, Nhà 4F khu đô thị Trung </w:t>
            </w:r>
            <w:r>
              <w:rPr>
                <w:bCs/>
                <w:color w:val="000000" w:themeColor="text1"/>
                <w:lang w:val="pt-BR"/>
              </w:rPr>
              <w:t xml:space="preserve">Yên, phường Yên Hoà, quận Cầu Giấy, thành phố Hà Nội (Nay là phường Cầu Giấy,</w:t>
            </w:r>
            <w:r>
              <w:rPr>
                <w:bCs/>
                <w:color w:val="000000" w:themeColor="text1"/>
                <w:lang w:val="pt-BR"/>
              </w:rPr>
              <w:t xml:space="preserve"> thành phố Hà Nội) theo Giấy chứng nhận quyền sử dụng đất, quyền sở hữu nhà ở và tài sản gắn liền với đất số BD 142301, số vào sổ cấp GCN: CH </w:t>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bCs/>
                <w:color w:val="000000" w:themeColor="text1"/>
                <w:lang w:val="pt-BR"/>
              </w:rPr>
              <w:t xml:space="preserve"> do UBND quận Cầu Giấy cấp ngày 23/08/2</w:t>
            </w:r>
            <w:r>
              <w:rPr>
                <w:bCs/>
                <w:color w:val="000000" w:themeColor="text1"/>
                <w:lang w:val="pt-BR"/>
              </w:rPr>
              <w:t xml:space="preserve">010; Chủ sở hữu căn hộ là Bà Nguyễn Thị Thanh Huyền.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Yên Hòa, Quận Cầu Giấy,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21.0178406, 105.7990669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09/</w:t>
            </w:r>
            <w:r>
              <w:rPr>
                <w:lang w:val="pt-BR"/>
              </w:rPr>
              <w:t xml:space="preserve">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r>
      <w:r>
        <w:rPr>
          <w:lang w:val="pt-BR"/>
        </w:rPr>
        <w:t xml:space="preserve">Công văn số 1326/BXD-QLN của Bộ Xây dựng ban hành ngày 08/8/2011 về việc hướng dẫn kiểm kê, đánh giá lại giá trị tài sản cố định là nhà, vật kiến trúc;</w:t>
      </w:r>
      <w:r>
        <w:rPr>
          <w:spacing w:val="-4"/>
          <w:lang w:val="pt-BR"/>
        </w:rPr>
      </w: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BD 142301, số vào sổ cấp GCN: CH </w:t>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bCs/>
          <w:color w:val="000000" w:themeColor="text1"/>
          <w:lang w:val="pt-BR"/>
        </w:rPr>
        <w:t xml:space="preserve"> do UBND quận Cầu Giấy cấp ngày 23/08/2010; Chủ sở hữu căn hộ là Bà Nguyễn Thị Thanh Huyền.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275/2026/1042/VFI-HĐTĐ.69.A ký ngày 07/07/2026 giữa CÔNG TY CỔ PHẦN TƯ VẤN VÀ ĐẦU TƯ XÂY DỰNG HÙNG SƠN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lang w:val="pt-BR"/>
        </w:rPr>
        <w:tab/>
      </w:r>
      <w:r>
        <w:rPr>
          <w:b/>
          <w:bCs/>
          <w:shd w:val="clear" w:color="auto" w:fill="ffffff"/>
        </w:rPr>
        <w:t xml:space="preserve">Chung cư Hà Nội: Một thị trường,</w:t>
      </w:r>
      <w:r>
        <w:rPr>
          <w:b/>
          <w:bCs/>
          <w:shd w:val="clear" w:color="auto" w:fill="ffffff"/>
        </w:rPr>
        <w:t xml:space="preserve"> hai diễn biến</w:t>
      </w:r>
      <w:r>
        <w:rPr>
          <w:b/>
          <w:bCs/>
          <w:iCs/>
        </w:rPr>
      </w:r>
      <w:r>
        <w:rPr>
          <w:b/>
          <w:bCs/>
          <w:iCs/>
        </w:rPr>
      </w:r>
    </w:p>
    <w:p>
      <w:pPr>
        <w:pBdr/>
        <w:tabs>
          <w:tab w:val="left" w:leader="none" w:pos="426"/>
        </w:tabs>
        <w:spacing w:after="120" w:before="120" w:line="276" w:lineRule="auto"/>
        <w:ind/>
        <w:jc w:val="both"/>
        <w:rPr/>
      </w:pPr>
      <w:r>
        <w:rPr>
          <w:shd w:val="clear" w:color="auto" w:fill="ffffff"/>
        </w:rPr>
        <w:t xml:space="preserve">(VNF) - Trong khi thị trường thứ cấp xuất hiện làn sóng giảm giá trên diện rộng cùng sự hạ nhiệt về thanh khoản, giá căn hộ sơ cấp vẫn duy trì ở mức cao. Diễn biến trái chiều này phản ánh sự phân hóa ngày càng rõ nét của thị trường dưới tác</w:t>
      </w:r>
      <w:r>
        <w:rPr>
          <w:shd w:val="clear" w:color="auto" w:fill="ffffff"/>
        </w:rPr>
        <w:t xml:space="preserve"> động của lãi suất, nguồn cung và kỳ vọng lợi nhuận của các chủ đầu tư.</w:t>
      </w:r>
      <w:r/>
    </w:p>
    <w:p>
      <w:pPr>
        <w:pBdr/>
        <w:tabs>
          <w:tab w:val="left" w:leader="none" w:pos="426"/>
        </w:tabs>
        <w:spacing w:after="120" w:before="120" w:line="276" w:lineRule="auto"/>
        <w:ind/>
        <w:jc w:val="both"/>
        <w:rPr>
          <w:b/>
          <w:bCs/>
          <w:i/>
        </w:rPr>
      </w:pPr>
      <w:r>
        <w:rPr>
          <w:b/>
          <w:bCs/>
          <w:i/>
          <w:iCs/>
          <w:shd w:val="clear" w:color="auto" w:fill="ffffff"/>
        </w:rPr>
      </w:r>
      <w:r>
        <w:rPr>
          <w:b/>
          <w:bCs/>
          <w:i/>
          <w:iCs/>
          <w:shd w:val="clear" w:color="auto" w:fill="ffffff"/>
        </w:rPr>
        <w:t xml:space="preserve">Sự sụt giảm đầu tiên sau 4 năm</w:t>
      </w:r>
      <w:r>
        <w:rPr>
          <w:b/>
          <w:bCs/>
          <w:i/>
        </w:rPr>
      </w:r>
      <w:r>
        <w:rPr>
          <w:b/>
          <w:bCs/>
          <w:i/>
        </w:rPr>
      </w:r>
    </w:p>
    <w:p>
      <w:pPr>
        <w:pBdr/>
        <w:tabs>
          <w:tab w:val="left" w:leader="none" w:pos="426"/>
        </w:tabs>
        <w:spacing w:after="120" w:before="120" w:line="276" w:lineRule="auto"/>
        <w:ind/>
        <w:jc w:val="both"/>
        <w:rPr/>
      </w:pPr>
      <w:r>
        <w:rPr>
          <w:shd w:val="clear" w:color="auto" w:fill="ffffff"/>
        </w:rPr>
        <w:t xml:space="preserve">Nhìn vào các số liệu mới nhất có thể thấy thị trường chuyển nhượng căn hộ Hà Nội đã bắt đầu hạ nhiệt sau thời gian dài tăng trưởng gần như không có điểm </w:t>
      </w:r>
      <w:r>
        <w:rPr>
          <w:shd w:val="clear" w:color="auto" w:fill="ffffff"/>
        </w:rPr>
        <w:t xml:space="preserve">dừng. </w:t>
      </w:r>
      <w:r/>
    </w:p>
    <w:p>
      <w:pPr>
        <w:pBdr/>
        <w:tabs>
          <w:tab w:val="left" w:leader="none" w:pos="426"/>
        </w:tabs>
        <w:spacing w:after="120" w:before="120" w:line="276" w:lineRule="auto"/>
        <w:ind/>
        <w:jc w:val="both"/>
        <w:rPr/>
      </w:pPr>
      <w:r>
        <w:rPr>
          <w:shd w:val="clear" w:color="auto" w:fill="ffffff"/>
        </w:rPr>
      </w:r>
      <w:r>
        <w:rPr>
          <w:shd w:val="clear" w:color="auto" w:fill="ffffff"/>
        </w:rPr>
        <w:t xml:space="preserve">Báo cáo mới đây của CBRE cho thấy, giá bán thứ cấp trung bình căn hộ tại Hà Nội đạt 60 triệu đồng/m2 tại thời điểm cuối quý II/2026, ghi nhận mức giảm gần 3% so với quý trước. Đây là lần đầu tiên thị trường thứ cấp ghi nhận mức điều chỉnh giảm kể từ</w:t>
      </w:r>
      <w:r>
        <w:rPr>
          <w:shd w:val="clear" w:color="auto" w:fill="ffffff"/>
        </w:rPr>
        <w:t xml:space="preserve"> giai đoạn cuối năm 2022.</w:t>
      </w:r>
      <w:r/>
    </w:p>
    <w:p>
      <w:pPr>
        <w:pBdr/>
        <w:tabs>
          <w:tab w:val="left" w:leader="none" w:pos="426"/>
        </w:tabs>
        <w:spacing w:after="120" w:before="120" w:line="276" w:lineRule="auto"/>
        <w:ind/>
        <w:jc w:val="both"/>
        <w:rPr/>
      </w:pPr>
      <w:r>
        <w:rPr>
          <w:shd w:val="clear" w:color="auto" w:fill="ffffff"/>
        </w:rPr>
        <w:t xml:space="preserve">Tốc độ tăng trưởng theo năm cũng thu hẹp đáng kể, đạt 13%, gần bằng một nửa ở mức đỉnh 24-25% trong giai đoạn 2024-2025. Sau giai đoạn tăng nóng, thị trường căn hộ Hà Nội bắt đầu có sự điều chỉnh trước diễn biến lãi suất ở mức ca</w:t>
      </w:r>
      <w:r>
        <w:rPr>
          <w:shd w:val="clear" w:color="auto" w:fill="ffffff"/>
        </w:rPr>
        <w:t xml:space="preserve">o và nguồn cung sơ cấp dồi dào. </w:t>
      </w:r>
      <w:r/>
    </w:p>
    <w:p>
      <w:pPr>
        <w:pBdr/>
        <w:tabs>
          <w:tab w:val="left" w:leader="none" w:pos="426"/>
        </w:tabs>
        <w:spacing w:after="120" w:before="120" w:line="276" w:lineRule="auto"/>
        <w:ind/>
        <w:jc w:val="both"/>
        <w:rPr/>
      </w:pPr>
      <w:r>
        <w:rPr>
          <w:shd w:val="clear" w:color="auto" w:fill="ffffff"/>
        </w:rPr>
        <w:t xml:space="preserve">Dữ liệu từ PropertyGuru Vietnam cũng cho thấy, giá bán căn hộ phổ biến tại Hà Nội (cả sơ cấp và thứ cấp) đã giảm từ mức trung bình khoảng 88 triệu đồng/m2 vào tháng 2/2026 xuống còn khoảng 85 triệu đồng/m2 trong tháng 5/202</w:t>
      </w:r>
      <w:r>
        <w:rPr>
          <w:shd w:val="clear" w:color="auto" w:fill="ffffff"/>
        </w:rPr>
        <w:t xml:space="preserve">6. Mức giảm trung bình là 2% trong 3 tháng.</w:t>
      </w:r>
      <w:r/>
    </w:p>
    <w:p>
      <w:pPr>
        <w:pBdr/>
        <w:tabs>
          <w:tab w:val="left" w:leader="none" w:pos="426"/>
        </w:tabs>
        <w:spacing w:after="120" w:before="120" w:line="276" w:lineRule="auto"/>
        <w:ind/>
        <w:jc w:val="both"/>
        <w:rPr/>
      </w:pPr>
      <w:r>
        <w:rPr>
          <w:shd w:val="clear" w:color="auto" w:fill="ffffff"/>
        </w:rPr>
        <w:t xml:space="preserve">Về thanh khoản, theo CBRE, sang quý II/2026, sức hấp thụ của thị trường căn hộ Hà Nội cho thấy xu hướng hạ nhiệt. Tổng số căn bán được chỉ bằng 68% nguồn cung mở bán mới, thấp hơn nhiều so với giai đoạn đỉnh 202</w:t>
      </w:r>
      <w:r>
        <w:rPr>
          <w:shd w:val="clear" w:color="auto" w:fill="ffffff"/>
        </w:rPr>
        <w:t xml:space="preserve">4-2025 khi tỷ trọng này thường xuyên đạt trên 90%.</w:t>
      </w:r>
      <w:r/>
    </w:p>
    <w:p>
      <w:pPr>
        <w:pBdr/>
        <w:tabs>
          <w:tab w:val="left" w:leader="none" w:pos="426"/>
        </w:tabs>
        <w:spacing w:after="120" w:before="120" w:line="276" w:lineRule="auto"/>
        <w:ind/>
        <w:jc w:val="both"/>
        <w:rPr/>
      </w:pPr>
      <w:r>
        <w:rPr>
          <w:shd w:val="clear" w:color="auto" w:fill="ffffff"/>
        </w:rPr>
        <w:t xml:space="preserve">Diễn biến này cho thấy, áp lực lãi suất cho vay ở mức cao tiếp tục là yếu tố lớn chi phối hành vi người mua. Thay vì ra quyết định nhanh trong bối cảnh lãi suất thấp, người mua đã cân nhắc kỹ lưỡng hơn về</w:t>
      </w:r>
      <w:r>
        <w:rPr>
          <w:shd w:val="clear" w:color="auto" w:fill="ffffff"/>
        </w:rPr>
        <w:t xml:space="preserve"> dòng tiền và thời điểm vào thị trường. Hiện tượng điều chỉnh là không thể phủ nhận, song, bức tranh sẽ chưa đầy đủ nếu chỉ nhìn vào diễn biến của thị trường chuyển nhượng.</w:t>
      </w:r>
      <w:r/>
    </w:p>
    <w:p>
      <w:pPr>
        <w:pBdr/>
        <w:tabs>
          <w:tab w:val="left" w:leader="none" w:pos="426"/>
        </w:tabs>
        <w:spacing w:after="120" w:before="120" w:line="276" w:lineRule="auto"/>
        <w:ind/>
        <w:jc w:val="both"/>
        <w:rPr/>
      </w:pPr>
      <w:r>
        <w:rPr>
          <w:shd w:val="clear" w:color="auto" w:fill="ffffff"/>
        </w:rPr>
        <w:t xml:space="preserve">Ở thị trường sơ cấp, các nghiên cứu thị trường chỉ ra những diễn biến hoàn toàn t</w:t>
      </w:r>
      <w:r>
        <w:rPr>
          <w:shd w:val="clear" w:color="auto" w:fill="ffffff"/>
        </w:rPr>
        <w:t xml:space="preserve">rái ngược. Theo báo cáo quý II/2026 của One Monut Group, tại trung tâm Hà Nội, giá bán căn hộ sơ cấp trung bình trong quý II/2026 đạt 121 triệu đồng/m2, đi ngang so với quý trước nhưng tăng tới 46% so với cùng kỳ năm 2025 và vượt TP. HCM (khoảng 103 triệu </w:t>
      </w:r>
      <w:r>
        <w:rPr>
          <w:shd w:val="clear" w:color="auto" w:fill="ffffff"/>
        </w:rPr>
        <w:t xml:space="preserve">đồng/m2).</w:t>
      </w:r>
      <w:r/>
    </w:p>
    <w:p>
      <w:pPr>
        <w:pBdr/>
        <w:tabs>
          <w:tab w:val="left" w:leader="none" w:pos="426"/>
        </w:tabs>
        <w:spacing w:after="120" w:before="120" w:line="276" w:lineRule="auto"/>
        <w:ind/>
        <w:jc w:val="both"/>
        <w:rPr/>
      </w:pPr>
      <w:r>
        <w:rPr>
          <w:shd w:val="clear" w:color="auto" w:fill="ffffff"/>
        </w:rPr>
        <w:t xml:space="preserve">Dữ liệu từ CBRE cũng cho thấy giá bán sơ cấp trung bình toàn thị trường Hà Nội trong quý II/2026 đạt khoảng 95 triệu đồng/m2, con số này cao hơn 12% so với cùng kỳ quý trước và 21% so với cùng kỳ năm ngoái. Việc nguồn cung mới tập trung nhiều ở </w:t>
      </w:r>
      <w:r>
        <w:rPr>
          <w:shd w:val="clear" w:color="auto" w:fill="ffffff"/>
        </w:rPr>
        <w:t xml:space="preserve">khu vực nội đô với phân khúc cao cấp đã tiếp tục kéo mặt bằng giá sơ cấp đi lên.</w:t>
      </w:r>
      <w:r/>
    </w:p>
    <w:p>
      <w:pPr>
        <w:pBdr/>
        <w:tabs>
          <w:tab w:val="left" w:leader="none" w:pos="426"/>
        </w:tabs>
        <w:spacing w:after="120" w:before="120" w:line="276" w:lineRule="auto"/>
        <w:ind/>
        <w:jc w:val="both"/>
        <w:rPr/>
      </w:pPr>
      <w:r>
        <w:rPr>
          <w:shd w:val="clear" w:color="auto" w:fill="ffffff"/>
        </w:rPr>
        <w:t xml:space="preserve">Nhìn những diễn biến trên có thể thấy, thị trường đang phát đi những tín hiệu hạ nhiệt rõ rệt về giá và thanh khoản, song mặt bằng giá căn hộ tại Hà Nội vẫn được duy trì ở mứ</w:t>
      </w:r>
      <w:r>
        <w:rPr>
          <w:shd w:val="clear" w:color="auto" w:fill="ffffff"/>
        </w:rPr>
        <w:t xml:space="preserve">c cao. Điều này cho thấy đà điều chỉnh mới diễn ra cục bộ ở một số khu vực, chưa đủ để tạo nên xu hướng giảm giá trên toàn thị trường, đồng nghĩa với việc người mua lần đầu vẫn rất khó tiếp cận nhà ở.</w:t>
      </w:r>
      <w:r/>
    </w:p>
    <w:p>
      <w:pPr>
        <w:pBdr/>
        <w:tabs>
          <w:tab w:val="left" w:leader="none" w:pos="426"/>
        </w:tabs>
        <w:spacing w:after="120" w:before="120" w:line="276" w:lineRule="auto"/>
        <w:ind/>
        <w:jc w:val="both"/>
        <w:rPr>
          <w:b/>
          <w:bCs/>
          <w:i/>
        </w:rPr>
      </w:pPr>
      <w:r>
        <w:rPr>
          <w:b/>
          <w:bCs/>
          <w:i/>
          <w:iCs/>
          <w:shd w:val="clear" w:color="auto" w:fill="ffffff"/>
        </w:rPr>
        <w:t xml:space="preserve">Lãi suất đang chi phối thị trườn</w:t>
      </w:r>
      <w:r>
        <w:rPr>
          <w:b/>
          <w:bCs/>
          <w:i/>
          <w:iCs/>
          <w:shd w:val="clear" w:color="auto" w:fill="ffffff"/>
        </w:rPr>
        <w:t xml:space="preserve">g</w:t>
      </w:r>
      <w:r>
        <w:rPr>
          <w:b/>
          <w:bCs/>
          <w:i/>
        </w:rPr>
      </w:r>
      <w:r>
        <w:rPr>
          <w:b/>
          <w:bCs/>
          <w:i/>
        </w:rPr>
      </w:r>
    </w:p>
    <w:p>
      <w:pPr>
        <w:pBdr/>
        <w:tabs>
          <w:tab w:val="left" w:leader="none" w:pos="426"/>
        </w:tabs>
        <w:spacing w:after="120" w:before="120" w:line="276" w:lineRule="auto"/>
        <w:ind/>
        <w:jc w:val="both"/>
        <w:rPr/>
      </w:pPr>
      <w:r>
        <w:rPr>
          <w:shd w:val="clear" w:color="auto" w:fill="ffffff"/>
        </w:rPr>
        <w:t xml:space="preserve">Theo giới quan sát, </w:t>
      </w:r>
      <w:r>
        <w:rPr>
          <w:shd w:val="clear" w:color="auto" w:fill="ffffff"/>
        </w:rPr>
        <w:t xml:space="preserve">việc thị trường thứ cấp hạ nhiệt trong khi giá sơ cấp vẫn tiếp tục neo cao không phản ánh hai xu hướng đối lập, mà là hệ quả của những động lực khác nhau đang chi phối từng phân khúc. Từ cơ cấu nguồn cung, áp lực tài chính của nhà đầu tư cho đến kỳ vọng lợ</w:t>
      </w:r>
      <w:r>
        <w:rPr>
          <w:shd w:val="clear" w:color="auto" w:fill="ffffff"/>
        </w:rPr>
        <w:t xml:space="preserve">i nhuận của chủ đầu tư đều góp phần tạo nên sự phân hóa rõ rệt của thị trường căn hộ Hà Nội hiện nay.</w:t>
      </w:r>
      <w:r/>
    </w:p>
    <w:p>
      <w:pPr>
        <w:pBdr/>
        <w:tabs>
          <w:tab w:val="left" w:leader="none" w:pos="426"/>
        </w:tabs>
        <w:spacing w:after="120" w:before="120" w:line="276" w:lineRule="auto"/>
        <w:ind/>
        <w:jc w:val="both"/>
        <w:rPr/>
      </w:pPr>
      <w:r>
        <w:rPr>
          <w:shd w:val="clear" w:color="auto" w:fill="ffffff"/>
        </w:rPr>
        <w:t xml:space="preserve">Trao đổi với VietnamFinance, ông Nguyễn Anh Quê, Chủ tịch G6 Group, nhận định thị trường căn hộ Hà Nội đang chứng kiến sự phân hóa rõ nét giữa phân khúc </w:t>
      </w:r>
      <w:r>
        <w:rPr>
          <w:shd w:val="clear" w:color="auto" w:fill="ffffff"/>
        </w:rPr>
        <w:t xml:space="preserve">sơ cấp và thứ cấp. Ở thị trường sơ cấp, giá bán không những chưa giảm mà tại một số dự án còn tiếp tục tăng nhẹ. Tuy nhiên, thanh khoản ở mức rất thấp.</w:t>
      </w:r>
      <w:r/>
    </w:p>
    <w:p>
      <w:pPr>
        <w:pBdr/>
        <w:tabs>
          <w:tab w:val="left" w:leader="none" w:pos="426"/>
        </w:tabs>
        <w:spacing w:after="120" w:before="120" w:line="276" w:lineRule="auto"/>
        <w:ind/>
        <w:jc w:val="center"/>
        <w:rPr>
          <w:bCs/>
          <w:i/>
        </w:rPr>
      </w:pPr>
      <w:r>
        <w:rPr>
          <w:i/>
          <w:iCs/>
          <w:shd w:val="clear" w:color="auto" w:fill="ffffff"/>
        </w:rPr>
        <w:t xml:space="preserve">(Nguồn tham khảo: https://vietnamfinance.vn/chung-cu-ha-noi-mot-thi-truong-hai-dien-bien-d147313.html)</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1874"/>
        <w:gridCol w:w="2835"/>
        <w:gridCol w:w="1550"/>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706 (đơn nguyên A) tầng 7, Nhà 4F khu đô thị Trung Yên, phường Yên Hoà, quận Cầu Giấy, thành phố Hà Nội (Nay là phường Cầu Giấy,</w:t>
            </w:r>
            <w:r>
              <w:rPr>
                <w:b/>
                <w:bCs/>
                <w:color w:val="000000"/>
              </w:rPr>
              <w:t xml:space="preserve"> thành phố Hà Nội) theo Giấy chứng nhận quyền sử dụng đất, quyền sở hữu nhà ở và tài sản gắn liền với đất số BD 142301, số vào sổ cấp GCN: CH </w:t>
            </w:r>
            <m:oMath>
              <m:f>
                <m:fPr>
                  <m:ctrlPr>
                    <w:rPr>
                      <w:rFonts w:ascii="Cambria Math" w:hAnsi="Cambria Math" w:eastAsia="Cambria Math" w:cs="Cambria Math"/>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p"/>
                    </m:rPr>
                    <m:t>631</m:t>
                  </m:r>
                </m:den>
              </m:f>
            </m:oMath>
            <w:r>
              <w:rPr>
                <w:b/>
                <w:bCs/>
                <w:color w:val="000000"/>
              </w:rPr>
              <w:t xml:space="preserve"> do UBND quận Cầu Giấy cấp ngày 23/08/2010; Chủ sở hữu căn hộ là Bà Nguyễn Thị Thanh Huyền.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1550"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Yên Hòa, Quận Cầu Giấy, Thành phố Hà Nội (</w:t>
            </w:r>
            <w:r>
              <w:rPr>
                <w:color w:val="000000"/>
              </w:rPr>
              <w:t xml:space="preserve">Nay </w:t>
            </w:r>
            <w:r>
              <w:rPr>
                <w:color w:val="000000"/>
              </w:rPr>
              <w:t xml:space="preserve">là </w:t>
            </w:r>
            <w:r>
              <w:rPr>
                <w:color w:val="000000"/>
              </w:rPr>
              <w:t xml:space="preserve">phường </w:t>
            </w:r>
            <w:r>
              <w:rPr>
                <w:color w:val="000000"/>
              </w:rPr>
              <w:t xml:space="preserve">Cầu </w:t>
            </w:r>
            <w:r>
              <w:rPr>
                <w:color w:val="000000"/>
              </w:rPr>
              <w:t xml:space="preserve">Giấy, </w:t>
            </w:r>
            <w:r>
              <w:rPr>
                <w:color w:val="000000"/>
              </w:rPr>
              <w:t xml:space="preserve">Thành </w:t>
            </w:r>
            <w:r>
              <w:rPr>
                <w:color w:val="000000"/>
              </w:rPr>
              <w:t xml:space="preserve">phố </w:t>
            </w:r>
            <w:r>
              <w:rPr>
                <w:color w:val="000000"/>
              </w:rPr>
              <w:t xml:space="preserve">Hà </w:t>
            </w:r>
            <w:r>
              <w:rPr>
                <w:color w:val="000000"/>
              </w:rPr>
              <w:t xml:space="preserve">Nội)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rPr>
              <w:t xml:space="preserve">2330</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rPr>
              <w:t xml:space="preserve">Sử dụng </w:t>
            </w:r>
            <w:r>
              <w:rPr>
                <w:color w:val="000000"/>
              </w:rPr>
              <w:t xml:space="preserve">chung: 2230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Sở </w:t>
            </w:r>
            <w:r>
              <w:rPr>
                <w:color w:val="000000"/>
              </w:rPr>
              <w:t xml:space="preserve">hữu </w:t>
            </w:r>
            <w:r>
              <w:rPr>
                <w:color w:val="000000"/>
              </w:rPr>
              <w:t xml:space="preserve">căn </w:t>
            </w:r>
            <w:r>
              <w:rPr>
                <w:color w:val="000000"/>
              </w:rPr>
              <w:t xml:space="preserve">hộ </w:t>
            </w:r>
            <w:r>
              <w:rPr>
                <w:color w:val="000000"/>
              </w:rPr>
              <w:t xml:space="preserve">nhà </w:t>
            </w:r>
            <w:r>
              <w:rPr>
                <w:color w:val="000000"/>
              </w:rPr>
              <w:t xml:space="preserve">chung </w:t>
            </w:r>
            <w:r>
              <w:rPr>
                <w:color w:val="000000"/>
              </w:rPr>
              <w:t xml:space="preserve">c</w:t>
            </w:r>
            <w:r>
              <w:rPr>
                <w:color w:val="000000"/>
              </w:rPr>
              <w:t xml:space="preserve">ư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rPr>
              <w:t xml:space="preserve">Phố </w:t>
            </w:r>
            <w:r>
              <w:rPr>
                <w:color w:val="000000"/>
              </w:rPr>
              <w:t xml:space="preserve">Vũ Phạm Hàm</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rPr>
              <w:t xml:space="preserve">Tiếp </w:t>
            </w:r>
            <w:r>
              <w:rPr>
                <w:color w:val="000000"/>
              </w:rPr>
              <w:t xml:space="preserve">giáp 01 </w:t>
            </w:r>
            <w:r>
              <w:rPr>
                <w:color w:val="000000"/>
              </w:rPr>
              <w:t xml:space="preserve">mặt </w:t>
            </w:r>
            <w:r>
              <w:rPr>
                <w:color w:val="000000"/>
              </w:rPr>
              <w:t xml:space="preserve">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835"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w:t>
            </w:r>
            <w:r>
              <w:rPr>
                <w:color w:val="000000" w:themeColor="text1"/>
              </w:rPr>
              <w:t xml:space="preserve">ản </w:t>
            </w:r>
            <w:r>
              <w:rPr>
                <w:color w:val="000000" w:themeColor="text1"/>
              </w:rPr>
              <w:t xml:space="preserve">t</w:t>
            </w:r>
            <w:r>
              <w:rPr>
                <w:color w:val="000000" w:themeColor="text1"/>
              </w:rPr>
              <w:t xml:space="preserve">ại </w:t>
            </w:r>
            <w:r>
              <w:rPr>
                <w:color w:val="000000" w:themeColor="text1"/>
              </w:rPr>
              <w:t xml:space="preserve">tầng 7, </w:t>
            </w:r>
            <w:r>
              <w:rPr>
                <w:color w:val="000000" w:themeColor="text1"/>
              </w:rPr>
              <w:t xml:space="preserve">Nhà 4</w:t>
            </w:r>
            <w:r>
              <w:rPr>
                <w:color w:val="000000" w:themeColor="text1"/>
              </w:rPr>
              <w:t xml:space="preserve">F </w:t>
            </w:r>
            <w:r>
              <w:rPr>
                <w:color w:val="000000" w:themeColor="text1"/>
              </w:rPr>
              <w:t xml:space="preserve">khu </w:t>
            </w:r>
            <w:r>
              <w:rPr>
                <w:color w:val="000000" w:themeColor="text1"/>
              </w:rPr>
              <w:t xml:space="preserve">đô </w:t>
            </w:r>
            <w:r>
              <w:rPr>
                <w:color w:val="000000" w:themeColor="text1"/>
              </w:rPr>
              <w:t xml:space="preserve">thị </w:t>
            </w:r>
            <w:r>
              <w:rPr>
                <w:color w:val="000000" w:themeColor="text1"/>
              </w:rPr>
              <w:t xml:space="preserve">Trung </w:t>
            </w:r>
            <w:r>
              <w:rPr>
                <w:color w:val="000000" w:themeColor="text1"/>
              </w:rPr>
              <w:t xml:space="preserve">Yên, </w:t>
            </w:r>
            <w:r>
              <w:rPr>
                <w:color w:val="000000" w:themeColor="text1"/>
              </w:rPr>
              <w:t xml:space="preserve">tiếp </w:t>
            </w:r>
            <w:r>
              <w:rPr>
                <w:color w:val="000000" w:themeColor="text1"/>
              </w:rPr>
              <w:t xml:space="preserve">giá</w:t>
            </w:r>
            <w:r>
              <w:rPr>
                <w:color w:val="000000" w:themeColor="text1"/>
              </w:rPr>
              <w:t xml:space="preserve">p </w:t>
            </w:r>
            <w:r>
              <w:rPr>
                <w:color w:val="000000" w:themeColor="text1"/>
              </w:rPr>
              <w:t xml:space="preserve">Phố </w:t>
            </w:r>
            <w:r>
              <w:rPr>
                <w:color w:val="000000" w:themeColor="text1"/>
              </w:rPr>
              <w:t xml:space="preserve">Vũ </w:t>
            </w:r>
            <w:r>
              <w:rPr>
                <w:color w:val="000000" w:themeColor="text1"/>
              </w:rPr>
              <w:t xml:space="preserve">Phạm </w:t>
            </w:r>
            <w:r>
              <w:rPr>
                <w:color w:val="000000" w:themeColor="text1"/>
              </w:rPr>
              <w:t xml:space="preserve">Hàm.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21.0178406</w:t>
            </w:r>
            <w:r>
              <w:rPr>
                <w:color w:val="000000"/>
              </w:rPr>
              <w:t xml:space="preserve">, </w:t>
            </w:r>
            <w:r>
              <w:rPr>
                <w:color w:val="000000"/>
              </w:rPr>
              <w:t xml:space="preserve">105.7990669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149323" cy="252459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77522" name=""/>
                              <pic:cNvPicPr>
                                <a:picLocks noChangeAspect="1"/>
                              </pic:cNvPicPr>
                              <pic:nvPr/>
                            </pic:nvPicPr>
                            <pic:blipFill rotWithShape="1">
                              <a:blip r:embed="rId17"/>
                              <a:stretch/>
                            </pic:blipFill>
                            <pic:spPr bwMode="auto">
                              <a:xfrm flipH="0" flipV="0">
                                <a:off x="0" y="0"/>
                                <a:ext cx="5149323" cy="2524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5.46pt;height:198.7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hộ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w:t>
            </w:r>
            <w:r>
              <w:rPr>
                <w:color w:val="000000"/>
              </w:rPr>
              <w:t xml:space="preserve">sàn </w:t>
            </w:r>
            <w:r>
              <w:rPr>
                <w:color w:val="000000"/>
              </w:rPr>
              <w:t xml:space="preserve">(m²):</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themeColor="text1"/>
              </w:rPr>
              <w:t xml:space="preserve">61,35</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Diện tích sử dụng </w:t>
            </w:r>
            <w:r>
              <w:rPr>
                <w:color w:val="000000"/>
              </w:rPr>
              <w:t xml:space="preserve">riêng</w:t>
            </w:r>
            <w:r>
              <w:rPr>
                <w:color w:val="000000"/>
              </w:rPr>
              <w:t xml:space="preserve"> thực tế (m²):</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themeColor="text1"/>
              </w:rPr>
              <w:t xml:space="preserve">61,35</w:t>
            </w:r>
            <w:r>
              <w:rPr>
                <w:color w:val="000000"/>
              </w:rPr>
            </w:r>
            <w:r>
              <w:rPr>
                <w:color w:val="000000"/>
              </w:rPr>
            </w:r>
          </w:p>
        </w:tc>
      </w:tr>
      <w:tr>
        <w:trPr>
          <w:trHeight w:val="60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Tên </w:t>
            </w:r>
            <w:r>
              <w:rPr>
                <w:color w:val="000000"/>
              </w:rPr>
              <w:t xml:space="preserve">nhà </w:t>
            </w:r>
            <w:r>
              <w:rPr>
                <w:color w:val="000000"/>
              </w:rPr>
              <w:t xml:space="preserve">chung </w:t>
            </w:r>
            <w:r>
              <w:rPr>
                <w:color w:val="000000"/>
              </w:rPr>
              <w:t xml:space="preserve">cư</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themeColor="text1"/>
              </w:rPr>
              <w:t xml:space="preserve">Căn </w:t>
            </w:r>
            <w:r>
              <w:rPr>
                <w:color w:val="000000" w:themeColor="text1"/>
              </w:rPr>
              <w:t xml:space="preserve">hộ 706 (</w:t>
            </w:r>
            <w:r>
              <w:rPr>
                <w:color w:val="000000" w:themeColor="text1"/>
              </w:rPr>
              <w:t xml:space="preserve">đơn </w:t>
            </w:r>
            <w:r>
              <w:rPr>
                <w:color w:val="000000" w:themeColor="text1"/>
              </w:rPr>
              <w:t xml:space="preserve">nguyên </w:t>
            </w:r>
            <w:r>
              <w:rPr>
                <w:color w:val="000000" w:themeColor="text1"/>
              </w:rPr>
              <w:t xml:space="preserve">A)</w:t>
            </w:r>
            <w:r>
              <w:rPr>
                <w:color w:val="000000"/>
              </w:rPr>
            </w:r>
            <w:r>
              <w:rPr>
                <w:color w:val="000000"/>
              </w:rPr>
            </w:r>
          </w:p>
        </w:tc>
        <w:tc>
          <w:tcPr>
            <w:tcBorders/>
            <w:tcW w:w="2835" w:type="dxa"/>
            <w:vAlign w:val="center"/>
            <w:textDirection w:val="lrTb"/>
            <w:noWrap w:val="false"/>
          </w:tcPr>
          <w:p>
            <w:pPr>
              <w:pBdr/>
              <w:spacing/>
              <w:ind/>
              <w:rPr/>
            </w:pPr>
            <w:r>
              <w:t xml:space="preserve">Thời </w:t>
            </w:r>
            <w:r>
              <w:t xml:space="preserve">hạn </w:t>
            </w:r>
            <w:r>
              <w:t xml:space="preserve">sở </w:t>
            </w:r>
            <w:r>
              <w:t xml:space="preserve">hữu</w:t>
            </w:r>
            <w:r/>
          </w:p>
        </w:tc>
        <w:tc>
          <w:tcPr>
            <w:tcBorders/>
            <w:tcW w:w="1550"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Số </w:t>
            </w:r>
            <w:r>
              <w:rPr>
                <w:color w:val="000000"/>
              </w:rPr>
              <w:t xml:space="preserve">tầng</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rPr>
              <w:t xml:space="preserve">Tầng 7</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Hướng </w:t>
            </w:r>
            <w:r>
              <w:rPr>
                <w:color w:val="000000"/>
              </w:rPr>
              <w:t xml:space="preserve">cửa </w:t>
            </w:r>
            <w:r>
              <w:rPr>
                <w:color w:val="000000"/>
              </w:rPr>
              <w:t xml:space="preserve">chính</w:t>
            </w:r>
            <w:r>
              <w:rPr>
                <w:color w:val="000000"/>
              </w:rPr>
              <w:t xml:space="preserve">:</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themeColor="text1"/>
              </w:rPr>
              <w:t xml:space="preserve">Đông </w:t>
            </w: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1874"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835"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1874" w:type="dxa"/>
            <w:vAlign w:val="center"/>
            <w:textDirection w:val="lrTb"/>
            <w:noWrap w:val="false"/>
          </w:tcPr>
          <w:p>
            <w:pPr>
              <w:pBdr/>
              <w:spacing/>
              <w:ind/>
              <w:jc w:val="center"/>
              <w:rPr>
                <w:color w:val="000000" w:themeColor="text1"/>
              </w:rPr>
            </w:pPr>
            <w:r>
              <w:rPr>
                <w:color w:val="000000" w:themeColor="text1"/>
              </w:rPr>
              <w:t xml:space="preserve">Phù </w:t>
            </w:r>
            <w:r>
              <w:rPr>
                <w:color w:val="000000" w:themeColor="text1"/>
              </w:rPr>
              <w:t xml:space="preserve">hợp </w:t>
            </w:r>
            <w:r>
              <w:rPr>
                <w:color w:val="000000" w:themeColor="text1"/>
              </w:rPr>
              <w:t xml:space="preserve">để </w:t>
            </w:r>
            <w:r>
              <w:rPr>
                <w:color w:val="000000" w:themeColor="text1"/>
              </w:rPr>
              <w:t xml:space="preserve">ở</w:t>
            </w:r>
            <w:r>
              <w:rPr>
                <w:color w:val="000000" w:themeColor="text1"/>
              </w:rPr>
            </w:r>
            <w:r>
              <w:rPr>
                <w:color w:val="000000" w:themeColor="text1"/>
              </w:rPr>
            </w:r>
          </w:p>
        </w:tc>
        <w:tc>
          <w:tcPr>
            <w:tcBorders/>
            <w:tcW w:w="2835"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1550"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691"/>
        <w:gridCol w:w="1843"/>
        <w:gridCol w:w="1843"/>
        <w:gridCol w:w="1134"/>
        <w:gridCol w:w="1838"/>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91"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43"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43"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13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838"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91" w:type="dxa"/>
            <w:vAlign w:val="center"/>
            <w:textDirection w:val="lrTb"/>
            <w:noWrap w:val="false"/>
          </w:tcPr>
          <w:p>
            <w:pPr>
              <w:pBdr/>
              <w:spacing/>
              <w:ind/>
              <w:jc w:val="center"/>
              <w:rPr/>
            </w:pPr>
            <w:r>
              <w:t xml:space="preserve">Địa chỉ trên sổ</w:t>
            </w:r>
            <w:r/>
          </w:p>
        </w:tc>
        <w:tc>
          <w:tcPr>
            <w:tcBorders/>
            <w:tcW w:w="1843" w:type="dxa"/>
            <w:vAlign w:val="center"/>
            <w:textDirection w:val="lrTb"/>
            <w:noWrap w:val="false"/>
          </w:tcPr>
          <w:p>
            <w:pPr>
              <w:pBdr/>
              <w:spacing/>
              <w:ind/>
              <w:jc w:val="center"/>
              <w:rPr/>
            </w:pPr>
            <w:r>
              <w:t xml:space="preserve">Căn </w:t>
            </w:r>
            <w:r>
              <w:t xml:space="preserve">hộ 706 (</w:t>
            </w:r>
            <w:r>
              <w:t xml:space="preserve">đơn </w:t>
            </w:r>
            <w:r>
              <w:t xml:space="preserve">nguyên </w:t>
            </w:r>
            <w:r>
              <w:t xml:space="preserve">A) </w:t>
            </w:r>
            <w:r>
              <w:t xml:space="preserve">tầng 7, </w:t>
            </w:r>
            <w:r>
              <w:t xml:space="preserve">nhà 4F khu đô thị Trung Yên, phường Yên Hòa, quận Cầu Giấy, thành phố Hà Nội</w:t>
            </w:r>
            <w:r/>
          </w:p>
        </w:tc>
        <w:tc>
          <w:tcPr>
            <w:tcBorders/>
            <w:tcW w:w="1843" w:type="dxa"/>
            <w:vAlign w:val="center"/>
            <w:textDirection w:val="lrTb"/>
            <w:noWrap w:val="false"/>
          </w:tcPr>
          <w:p>
            <w:pPr>
              <w:pBdr/>
              <w:spacing/>
              <w:ind/>
              <w:jc w:val="center"/>
              <w:rPr/>
            </w:pPr>
            <w:r>
              <w:t xml:space="preserve">Căn </w:t>
            </w:r>
            <w:r>
              <w:t xml:space="preserve">hộ 706 (</w:t>
            </w:r>
            <w:r>
              <w:t xml:space="preserve">đơn </w:t>
            </w:r>
            <w:r>
              <w:t xml:space="preserve">nguyên </w:t>
            </w:r>
            <w:r>
              <w:t xml:space="preserve">A) </w:t>
            </w:r>
            <w:r>
              <w:t xml:space="preserve">tầng 7, </w:t>
            </w:r>
            <w:r>
              <w:t xml:space="preserve">nhà 4F khu đô thị Trung Yên, phường Cầu Giấy, thành phố Hà Nội</w:t>
            </w:r>
            <w:r/>
          </w:p>
          <w:p>
            <w:pPr>
              <w:pBdr/>
              <w:spacing/>
              <w:ind/>
              <w:jc w:val="center"/>
              <w:rPr/>
            </w:pPr>
            <w:r>
              <w:t xml:space="preserve">✔</w:t>
            </w:r>
            <w:r/>
          </w:p>
        </w:tc>
        <w:tc>
          <w:tcPr>
            <w:tcBorders/>
            <w:tcW w:w="1134" w:type="dxa"/>
            <w:vAlign w:val="center"/>
            <w:textDirection w:val="lrTb"/>
            <w:noWrap w:val="false"/>
          </w:tcPr>
          <w:p>
            <w:pPr>
              <w:pBdr/>
              <w:spacing/>
              <w:ind/>
              <w:jc w:val="center"/>
              <w:rPr/>
            </w:pPr>
            <w:r>
              <w:t xml:space="preserve">Có</w:t>
            </w:r>
            <w:r/>
          </w:p>
        </w:tc>
        <w:tc>
          <w:tcPr>
            <w:tcBorders/>
            <w:tcW w:w="1838"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91" w:type="dxa"/>
            <w:vAlign w:val="center"/>
            <w:textDirection w:val="lrTb"/>
            <w:noWrap w:val="false"/>
          </w:tcPr>
          <w:p>
            <w:pPr>
              <w:pBdr/>
              <w:spacing/>
              <w:ind/>
              <w:jc w:val="center"/>
              <w:rPr/>
            </w:pPr>
            <w:r>
              <w:t xml:space="preserve">Pháp lý</w:t>
            </w:r>
            <w:r/>
          </w:p>
        </w:tc>
        <w:tc>
          <w:tcPr>
            <w:tcBorders/>
            <w:tcW w:w="1843"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43"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91" w:type="dxa"/>
            <w:vAlign w:val="center"/>
            <w:textDirection w:val="lrTb"/>
            <w:noWrap w:val="false"/>
          </w:tcPr>
          <w:p>
            <w:pPr>
              <w:pBdr/>
              <w:spacing/>
              <w:ind/>
              <w:jc w:val="center"/>
              <w:rPr/>
            </w:pPr>
            <w:r>
              <w:t xml:space="preserve">Loại đất</w:t>
            </w:r>
            <w:r/>
          </w:p>
        </w:tc>
        <w:tc>
          <w:tcPr>
            <w:tcBorders/>
            <w:tcW w:w="1843" w:type="dxa"/>
            <w:vAlign w:val="center"/>
            <w:textDirection w:val="lrTb"/>
            <w:noWrap w:val="false"/>
          </w:tcPr>
          <w:p>
            <w:pPr>
              <w:pBdr/>
              <w:spacing/>
              <w:ind/>
              <w:jc w:val="center"/>
              <w:rPr/>
            </w:pPr>
            <w:r>
              <w:t xml:space="preserve">Đất ở tại đô thị</w:t>
            </w:r>
            <w:r/>
          </w:p>
        </w:tc>
        <w:tc>
          <w:tcPr>
            <w:tcBorders/>
            <w:tcW w:w="1843" w:type="dxa"/>
            <w:vAlign w:val="center"/>
            <w:textDirection w:val="lrTb"/>
            <w:noWrap w:val="false"/>
          </w:tcPr>
          <w:p>
            <w:pPr>
              <w:pBdr/>
              <w:spacing/>
              <w:ind/>
              <w:jc w:val="center"/>
              <w:rPr/>
            </w:pPr>
            <w:r>
              <w:t xml:space="preserve">Đất ở tại đô thị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91" w:type="dxa"/>
            <w:vAlign w:val="center"/>
            <w:textDirection w:val="lrTb"/>
            <w:noWrap w:val="false"/>
          </w:tcPr>
          <w:p>
            <w:pPr>
              <w:pBdr/>
              <w:spacing/>
              <w:ind/>
              <w:jc w:val="center"/>
              <w:rPr/>
            </w:pPr>
            <w:r>
              <w:t xml:space="preserve">Thời hạn sử dụng</w:t>
            </w:r>
            <w:r/>
          </w:p>
        </w:tc>
        <w:tc>
          <w:tcPr>
            <w:tcBorders/>
            <w:tcW w:w="1843" w:type="dxa"/>
            <w:vAlign w:val="center"/>
            <w:textDirection w:val="lrTb"/>
            <w:noWrap w:val="false"/>
          </w:tcPr>
          <w:p>
            <w:pPr>
              <w:pBdr/>
              <w:spacing/>
              <w:ind/>
              <w:jc w:val="center"/>
              <w:rPr/>
            </w:pPr>
            <w:r>
              <w:t xml:space="preserve">Lâu dài</w:t>
            </w:r>
            <w:r/>
          </w:p>
        </w:tc>
        <w:tc>
          <w:tcPr>
            <w:tcBorders/>
            <w:tcW w:w="1843" w:type="dxa"/>
            <w:vAlign w:val="center"/>
            <w:textDirection w:val="lrTb"/>
            <w:noWrap w:val="false"/>
          </w:tcPr>
          <w:p>
            <w:pPr>
              <w:pBdr/>
              <w:spacing/>
              <w:ind/>
              <w:jc w:val="center"/>
              <w:rPr/>
            </w:pPr>
            <w:r>
              <w:t xml:space="preserve">Lâu dài ✔</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91" w:type="dxa"/>
            <w:vAlign w:val="center"/>
            <w:textDirection w:val="lrTb"/>
            <w:noWrap w:val="false"/>
          </w:tcPr>
          <w:p>
            <w:pPr>
              <w:pBdr/>
              <w:spacing/>
              <w:ind/>
              <w:jc w:val="center"/>
              <w:rPr/>
            </w:pPr>
            <w:r>
              <w:t xml:space="preserve">Diện tích </w:t>
            </w:r>
            <w:r>
              <w:t xml:space="preserve">căn </w:t>
            </w:r>
            <w:r>
              <w:t xml:space="preserve">hộ</w:t>
            </w:r>
            <w:r/>
          </w:p>
        </w:tc>
        <w:tc>
          <w:tcPr>
            <w:tcBorders/>
            <w:tcW w:w="1843" w:type="dxa"/>
            <w:vAlign w:val="center"/>
            <w:textDirection w:val="lrTb"/>
            <w:noWrap w:val="false"/>
          </w:tcPr>
          <w:p>
            <w:pPr>
              <w:pBdr/>
              <w:spacing/>
              <w:ind/>
              <w:jc w:val="center"/>
              <w:rPr/>
            </w:pPr>
            <w:r>
              <w:t xml:space="preserve">61,35</w:t>
            </w:r>
            <w:r/>
          </w:p>
        </w:tc>
        <w:tc>
          <w:tcPr>
            <w:tcBorders/>
            <w:tcW w:w="1843" w:type="dxa"/>
            <w:vAlign w:val="center"/>
            <w:textDirection w:val="lrTb"/>
            <w:noWrap w:val="false"/>
          </w:tcPr>
          <w:p>
            <w:pPr>
              <w:pBdr/>
              <w:spacing/>
              <w:ind/>
              <w:jc w:val="center"/>
              <w:rPr/>
            </w:pPr>
            <w:r>
              <w:t xml:space="preserve">61,35 ✔</w:t>
            </w:r>
            <w:r/>
          </w:p>
        </w:tc>
        <w:tc>
          <w:tcPr>
            <w:tcBorders/>
            <w:tcW w:w="1134" w:type="dxa"/>
            <w:vAlign w:val="center"/>
            <w:textDirection w:val="lrTb"/>
            <w:noWrap w:val="false"/>
          </w:tcPr>
          <w:p>
            <w:pPr>
              <w:pBdr/>
              <w:spacing/>
              <w:ind/>
              <w:jc w:val="center"/>
              <w:rPr/>
            </w:pPr>
            <w:r>
              <w:t xml:space="preserve">0</w:t>
            </w:r>
            <w:r/>
          </w:p>
        </w:tc>
        <w:tc>
          <w:tcPr>
            <w:tcBorders/>
            <w:tcW w:w="1838" w:type="dxa"/>
            <w:vAlign w:val="center"/>
            <w:textDirection w:val="lrTb"/>
            <w:noWrap w:val="false"/>
          </w:tcPr>
          <w:p>
            <w:pPr>
              <w:pBdr/>
              <w:spacing/>
              <w:ind/>
              <w:jc w:val="center"/>
              <w:rPr/>
            </w:pPr>
            <w:r/>
            <w:r/>
          </w:p>
        </w:tc>
      </w:tr>
      <w:tr>
        <w:trPr/>
        <w:tc>
          <w:tcPr>
            <w:tcBorders/>
            <w:tcW w:w="1167" w:type="dxa"/>
            <w:vAlign w:val="center"/>
            <w:vMerge w:val="restart"/>
            <w:textDirection w:val="lrTb"/>
            <w:noWrap w:val="false"/>
          </w:tcPr>
          <w:p>
            <w:pPr>
              <w:pBdr/>
              <w:spacing/>
              <w:ind/>
              <w:jc w:val="center"/>
              <w:rPr/>
            </w:pPr>
            <w:r>
              <w:t xml:space="preserve">6</w:t>
            </w:r>
            <w:r/>
          </w:p>
        </w:tc>
        <w:tc>
          <w:tcPr>
            <w:tcBorders/>
            <w:tcW w:w="1691" w:type="dxa"/>
            <w:vAlign w:val="center"/>
            <w:vMerge w:val="restart"/>
            <w:textDirection w:val="lrTb"/>
            <w:noWrap w:val="false"/>
          </w:tcPr>
          <w:p>
            <w:pPr>
              <w:pBdr/>
              <w:spacing/>
              <w:ind/>
              <w:jc w:val="center"/>
              <w:rPr/>
            </w:pPr>
            <w:r>
              <w:t xml:space="preserve">Tầng</w:t>
            </w:r>
            <w:r/>
          </w:p>
        </w:tc>
        <w:tc>
          <w:tcPr>
            <w:tcBorders/>
            <w:tcW w:w="1843" w:type="dxa"/>
            <w:vAlign w:val="center"/>
            <w:vMerge w:val="restart"/>
            <w:textDirection w:val="lrTb"/>
            <w:noWrap w:val="false"/>
          </w:tcPr>
          <w:p>
            <w:pPr>
              <w:pBdr/>
              <w:spacing/>
              <w:ind/>
              <w:jc w:val="center"/>
              <w:rPr/>
            </w:pPr>
            <w:r>
              <w:t xml:space="preserve">7</w:t>
            </w:r>
            <w:r/>
          </w:p>
        </w:tc>
        <w:tc>
          <w:tcPr>
            <w:tcBorders/>
            <w:tcW w:w="1843" w:type="dxa"/>
            <w:vAlign w:val="center"/>
            <w:vMerge w:val="restart"/>
            <w:textDirection w:val="lrTb"/>
            <w:noWrap w:val="false"/>
          </w:tcPr>
          <w:p>
            <w:pPr>
              <w:pBdr/>
              <w:spacing/>
              <w:ind/>
              <w:jc w:val="center"/>
              <w:rPr/>
            </w:pPr>
            <w:r>
              <w:t xml:space="preserve">7</w:t>
            </w:r>
            <w:r>
              <w:t xml:space="preserve">✔</w:t>
            </w:r>
            <w:r/>
          </w:p>
        </w:tc>
        <w:tc>
          <w:tcPr>
            <w:tcBorders/>
            <w:tcW w:w="1134" w:type="dxa"/>
            <w:vAlign w:val="center"/>
            <w:vMerge w:val="restart"/>
            <w:textDirection w:val="lrTb"/>
            <w:noWrap w:val="false"/>
          </w:tcPr>
          <w:p>
            <w:pPr>
              <w:pBdr/>
              <w:spacing/>
              <w:ind/>
              <w:jc w:val="center"/>
              <w:rPr/>
            </w:pPr>
            <w:r>
              <w:t xml:space="preserve">Không</w:t>
            </w:r>
            <w:r/>
          </w:p>
        </w:tc>
        <w:tc>
          <w:tcPr>
            <w:tcBorders/>
            <w:tcW w:w="1838" w:type="dxa"/>
            <w:vAlign w:val="center"/>
            <w:vMerge w:val="restart"/>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91" w:type="dxa"/>
            <w:vAlign w:val="center"/>
            <w:textDirection w:val="lrTb"/>
            <w:noWrap w:val="false"/>
          </w:tcPr>
          <w:p>
            <w:pPr>
              <w:pBdr/>
              <w:spacing/>
              <w:ind/>
              <w:jc w:val="center"/>
              <w:rPr/>
            </w:pPr>
            <w:r>
              <w:t xml:space="preserve">Hướng </w:t>
            </w:r>
            <w:r>
              <w:t xml:space="preserve">ban </w:t>
            </w:r>
            <w:r>
              <w:t xml:space="preserve">công</w:t>
            </w:r>
            <w:r/>
            <w:r/>
            <w:r/>
          </w:p>
        </w:tc>
        <w:tc>
          <w:tcPr>
            <w:tcBorders/>
            <w:tcW w:w="1843" w:type="dxa"/>
            <w:vAlign w:val="center"/>
            <w:textDirection w:val="lrTb"/>
            <w:noWrap w:val="false"/>
          </w:tcPr>
          <w:p>
            <w:pPr>
              <w:pBdr/>
              <w:spacing/>
              <w:ind/>
              <w:jc w:val="center"/>
              <w:rPr/>
            </w:pPr>
            <w:r>
              <w:t xml:space="preserve">Tây</w:t>
            </w:r>
            <w:r/>
            <w:r/>
          </w:p>
        </w:tc>
        <w:tc>
          <w:tcPr>
            <w:tcBorders/>
            <w:tcW w:w="1843" w:type="dxa"/>
            <w:vAlign w:val="center"/>
            <w:textDirection w:val="lrTb"/>
            <w:noWrap w:val="false"/>
          </w:tcPr>
          <w:p>
            <w:pPr>
              <w:pBdr/>
              <w:spacing/>
              <w:ind/>
              <w:jc w:val="center"/>
              <w:rPr/>
            </w:pPr>
            <w:r>
              <w:t xml:space="preserve">Tây</w:t>
            </w:r>
            <w:r/>
            <w:r>
              <w:t xml:space="preserve"> </w:t>
            </w:r>
            <w:r>
              <w:t xml:space="preserve">✔</w:t>
            </w:r>
            <w:r/>
          </w:p>
        </w:tc>
        <w:tc>
          <w:tcPr>
            <w:tcBorders/>
            <w:tcW w:w="1134" w:type="dxa"/>
            <w:vAlign w:val="center"/>
            <w:textDirection w:val="lrTb"/>
            <w:noWrap w:val="false"/>
          </w:tcPr>
          <w:p>
            <w:pPr>
              <w:pBdr/>
              <w:spacing/>
              <w:ind/>
              <w:jc w:val="center"/>
              <w:rPr/>
            </w:pPr>
            <w:r>
              <w:t xml:space="preserve">Không</w:t>
            </w:r>
            <w:r/>
          </w:p>
        </w:tc>
        <w:tc>
          <w:tcPr>
            <w:tcBorders/>
            <w:tcW w:w="1838"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984"/>
        <w:gridCol w:w="1701"/>
        <w:gridCol w:w="1843"/>
        <w:gridCol w:w="1701"/>
        <w:gridCol w:w="1843"/>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3072"/>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706 (đơn nguyên A) tầng 7, nhà 4F khu đô thị Trung Yên, phường Yên Hòa, quận Cầu Giấy, thành phố Hà Nội (Nay là phường Cầu Giấy, thành phố Hà Nội)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tầng 11, nhà 4F khu đô thị Trung Yên, phường Yên Hòa, quận Cầu Giấy, thành phố Hà Nội (Nay là phường Cầu Giấy, thành phố Hà Nội)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tầng 11, nhà 4F khu đô thị Trung Yên, phường Yên Hòa, quận Cầu Giấy, thành phố Hà Nội (Nay là phường Cầu Giấy, thành phố Hà Nội)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tầng 11, nhà 4F khu đô thị Trung Yên, phường Yên Hòa, quận Cầu Giấy, thành phố Hà Nội (Nay là phường Cầu Giấy, thành phố Hà Nội) </w:t>
            </w:r>
            <w:r/>
          </w:p>
        </w:tc>
      </w:tr>
      <w:tr>
        <w:trPr>
          <w:trHeight w:val="36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https://batdongsan.com.vn/ban-can-ho-chung-cu-duong-vu-pham-ham-phuong-yen-hoa-2-khu-do-thi-trung-yen/sieu-hott-ban-102-62m2-co-2-pn-full-o-pr45387432#js__pr-expired__content-anchor</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https://batdongsan.com.vn/ban-can-ho-chung-cu-duong-vu-pham-ham-phuong-yen-hoa-2-khu-do-thi-trung-yen/ban-gap-2-ngu-k-t-gia-5-95-ty-tam-cau-giay-pr45880994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https://batdongsan.com.vn/ban-can-ho-chung-cu-duong-vu-pham-ham-phuong-yen-hoa-2-khu-do-thi-trung-yen/ban-gap-cao-cap-65-m2-2-pn-toa-4f-o-ham-pr45774166</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0914198063</w:t>
              <w:br/>
              <w:t xml:space="preserve">(Phương)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0914198063</w:t>
              <w:br/>
              <w:t xml:space="preserve">(Nga)</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0904760444</w:t>
              <w:br/>
              <w:t xml:space="preserve">(Sale)</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7/2026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7/2026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7/2026 </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Mục đích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 </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r>
      <w:tr>
        <w:trPr>
          <w:trHeight w:val="29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Căn hộ 706 (đơn nguyên A) tầng 7, nhà 4F khu đô thị Trung Yên, phường Yên Hòa, quận Cầu Giấy, thành phố Hà Nội (Nay là phường Cầu Giấy, thành phố Hà Nội)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Căn hộ tầng 11, nhà 4F khu đô thị Trung Yên, phường Yên Hòa, quận Cầu Giấy, thành phố Hà Nội (Nay là phường Cầu Giấy, thành phố Hà Nội)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Căn hộ tầng 11, nhà 4F khu đô thị Trung Yên, phường Yên Hòa, quận Cầu Giấy, thành phố Hà Nội (Nay là phường Cầu Giấy, thành phố Hà Nội)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Căn hộ tầng 11, nhà 4F khu đô thị Trung Yên, phường Yên Hòa, quận Cầu Giấy, thành phố Hà Nội (Nay là phường Cầu Giấy, thành phố Hà Nội)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căn hộ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61,35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62</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11</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Loại căn hộ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góc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góc</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Tây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Tây Bắc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Tây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Đông</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bếp, 01 ban công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bếp, 01 ban công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01 nhà vệ sinh, 01 bếp, 01 ban công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bếp, 01 ban công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5.800.000.000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5.950.000.000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5.700.000.000</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4.930.000.000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5.057.500.000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4.845.000.000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4.930.000.000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5.057.500.000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4.845.000.000</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79.516.129</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81.572.581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78.145.161</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Mục đích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căn hộ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Loại căn hộ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185"/>
        <w:gridCol w:w="2197"/>
        <w:gridCol w:w="2197"/>
        <w:gridCol w:w="2199"/>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4.930.000.000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5.057.500.000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4.845.000.000</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79.516.129</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81.572.581</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78.145.161</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12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79.516.129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81.572.581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78.145.161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Mục đích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Đất ở tại đô thị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79.516.129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81.572.581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78.145.161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Lâu dài</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79.516.129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81.572.581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78.145.161 </w:t>
            </w:r>
            <w:r/>
          </w:p>
        </w:tc>
      </w:tr>
      <w:tr>
        <w:trPr>
          <w:trHeight w:val="29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Căn hộ 706 (đơn nguyên A) tầng 7, nhà 4F khu đô thị Trung Yên, phường Yên Hòa, quận Cầu Giấy, thành phố Hà Nội (Nay là phường Cầu Giấy, thành phố Hà Nội)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Căn hộ tầng 11, nhà 4F khu đô thị Trung Yên, phường Yên Hòa, quận Cầu Giấy, thành phố Hà Nội (Nay là phường Cầu Giấy, thành phố Hà Nội)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Căn hộ tầng 11, nhà 4F khu đô thị Trung Yên, phường Yên Hòa, quận Cầu Giấy, thành phố Hà Nội (Nay là phường Cầu Giấy, thành phố Hà Nội)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Căn hộ tầng 11, nhà 4F khu đô thị Trung Yên, phường Yên Hòa, quận Cầu Giấy, thành phố Hà Nội (Nay là phường Cầu Giấy, thành phố Hà Nội)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79.516.129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81.572.581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78.145.161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Diện tích căn hộ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61,35</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62</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62</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62</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79.516.129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81.572.581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78.145.161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Số 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11</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11</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11</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-4.770.968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-4.894.355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-4.688.710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74.745.161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76.678.226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73.456.452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Loại căn hộ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góc</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1.590.323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1.631.452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76.335.484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78.309.677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73.456.452 </w:t>
            </w:r>
            <w:r/>
          </w:p>
        </w:tc>
      </w:tr>
      <w:tr>
        <w:trPr>
          <w:trHeight w:val="14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bếp, 01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bếp, 01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01 nhà vệ sinh, 01 bếp, 01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bếp, 01 ban công</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76.335.484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78.309.677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73.456.452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Tây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Tây Bắc</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Tây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Đông</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-2.344.355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76.335.484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78.309.677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71.112.097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76.335.484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78.309.677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71.112.097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9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75.252.419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1,44%</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4,06%</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-5,50%</w:t>
            </w: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6.361.290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6.525.806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7.033.065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 - 6%</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 - 6%</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 - 6%</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18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3.180.645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3.262.903 </w:t>
            </w:r>
            <w:r/>
          </w:p>
        </w:tc>
        <w:tc>
          <w:tcPr>
            <w:shd w:val="clear" w:color="ffffff" w:fill="ffffff"/>
            <w:tcBorders>
              <w:bottom w:val="single" w:color="000000" w:sz="6" w:space="0"/>
              <w:right w:val="single" w:color="000000" w:sz="6" w:space="0"/>
            </w:tcBorders>
            <w:tcMar>
              <w:left w:w="0" w:type="dxa"/>
              <w:top w:w="0" w:type="dxa"/>
              <w:right w:w="0" w:type="dxa"/>
              <w:bottom w:w="0" w:type="dxa"/>
            </w:tcMar>
            <w:tcW w:w="219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7.033.065 </w:t>
            </w:r>
            <w:r/>
          </w:p>
        </w:tc>
      </w:tr>
    </w:tbl>
    <w:p>
      <w:pPr>
        <w:pBdr/>
        <w:tabs>
          <w:tab w:val="left" w:leader="none" w:pos="720"/>
        </w:tabs>
        <w:spacing w:after="120" w:before="120" w:line="276" w:lineRule="auto"/>
        <w:ind w:firstLine="0" w:left="0"/>
        <w:jc w:val="both"/>
        <w:rPr>
          <w:b/>
          <w:bCs/>
          <w:lang w:val="nl-NL"/>
        </w:rPr>
      </w:pPr>
      <w:r>
        <w:rPr>
          <w:b/>
          <w:highlight w:val="none"/>
          <w:lang w:val="nl-NL" w:bidi="nl-NL"/>
        </w:rPr>
      </w:r>
      <w:r>
        <w:rPr>
          <w:b/>
          <w:highlight w:val="none"/>
          <w:lang w:val="nl-NL" w:bidi="nl-NL"/>
        </w:rPr>
      </w:r>
      <w:r>
        <w:rPr>
          <w:b/>
          <w:highlight w:val="none"/>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-5,50</w:t>
      </w:r>
      <w:r>
        <w:t xml:space="preserve">% đến</w:t>
      </w:r>
      <w:r>
        <w:t xml:space="preserve"> </w:t>
      </w:r>
      <w:r>
        <w:t xml:space="preserve"> </w:t>
      </w:r>
      <w:r>
        <w:t xml:space="preserve">4,06%,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194"/>
        <w:gridCol w:w="2203"/>
        <w:gridCol w:w="2198"/>
        <w:gridCol w:w="2204"/>
      </w:tblGrid>
      <w:tr>
        <w:trPr>
          <w:trHeight w:val="15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9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9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194"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76.335.484</w:t>
            </w:r>
            <w:r/>
          </w:p>
        </w:tc>
        <w:tc>
          <w:tcPr>
            <w:shd w:val="clear" w:color="ffffff" w:fill="ffffff"/>
            <w:tcBorders>
              <w:bottom w:val="single" w:color="000000" w:sz="6" w:space="0"/>
              <w:right w:val="single" w:color="000000" w:sz="6" w:space="0"/>
            </w:tcBorders>
            <w:tcMar>
              <w:left w:w="0" w:type="dxa"/>
              <w:top w:w="0" w:type="dxa"/>
              <w:right w:w="0" w:type="dxa"/>
              <w:bottom w:w="0" w:type="dxa"/>
            </w:tcMar>
            <w:tcW w:w="219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25.445.161</w:t>
            </w:r>
            <w:r/>
          </w:p>
        </w:tc>
      </w:tr>
      <w:tr>
        <w:trPr>
          <w:trHeight w:val="3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94"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78.309.677</w:t>
            </w:r>
            <w:r/>
          </w:p>
        </w:tc>
        <w:tc>
          <w:tcPr>
            <w:shd w:val="clear" w:color="ffffff" w:fill="ffffff"/>
            <w:tcBorders>
              <w:bottom w:val="single" w:color="000000" w:sz="6" w:space="0"/>
              <w:right w:val="single" w:color="000000" w:sz="6" w:space="0"/>
            </w:tcBorders>
            <w:tcMar>
              <w:left w:w="0" w:type="dxa"/>
              <w:top w:w="0" w:type="dxa"/>
              <w:right w:w="0" w:type="dxa"/>
              <w:bottom w:w="0" w:type="dxa"/>
            </w:tcMar>
            <w:tcW w:w="219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26.103.226</w:t>
            </w:r>
            <w:r/>
          </w:p>
        </w:tc>
      </w:tr>
      <w:tr>
        <w:trPr>
          <w:trHeight w:val="3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194"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71.112.097</w:t>
            </w:r>
            <w:r/>
          </w:p>
        </w:tc>
        <w:tc>
          <w:tcPr>
            <w:shd w:val="clear" w:color="ffffff" w:fill="ffffff"/>
            <w:tcBorders>
              <w:bottom w:val="single" w:color="000000" w:sz="6" w:space="0"/>
              <w:right w:val="single" w:color="000000" w:sz="6" w:space="0"/>
            </w:tcBorders>
            <w:tcMar>
              <w:left w:w="0" w:type="dxa"/>
              <w:top w:w="0" w:type="dxa"/>
              <w:right w:w="0" w:type="dxa"/>
              <w:bottom w:w="0" w:type="dxa"/>
            </w:tcMar>
            <w:tcW w:w="219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23.704.032</w:t>
            </w:r>
            <w:r/>
          </w:p>
        </w:tc>
      </w:tr>
      <w:tr>
        <w:trPr>
          <w:trHeight w:val="32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2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75.252.419</w:t>
            </w:r>
            <w:r/>
          </w:p>
        </w:tc>
      </w:tr>
      <w:tr>
        <w:trPr>
          <w:trHeight w:val="32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2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75.000.000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sở hữu căn hộ 706 (đơn nguyên A) tầng 7, Nhà 4F khu đô thị Trung Yên, phường Yên Hoà, quận Cầu Giấy, thành phố Hà Nội (Nay là phường Cầu Giấy,</w:t>
            </w:r>
            <w:r>
              <w:rPr>
                <w:b/>
                <w:bCs/>
                <w:color w:val="000000"/>
              </w:rPr>
              <w:t xml:space="preserve"> thành phố Hà Nội) theo Giấy chứng nhận quyền sử dụng đất, quyền sở hữu nhà ở và tài sản gắn liền với đất số BD 142301, số vào sổ cấp GCN: CH </w:t>
            </w:r>
            <m:oMath>
              <m:f>
                <m:fPr>
                  <m:ctrlPr>
                    <w:rPr>
                      <w:rFonts w:hint="default" w:ascii="Cambria Math" w:hAnsi="Cambria Math" w:eastAsia="Cambria Math" w:cs="Cambria Math"/>
                      <w:b/>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m:ctrlPr>
                </m:fPr>
                <m:num>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
                    </m:rPr>
                    <m:t>2575/</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i"/>
                    </m:rPr>
                    <m:t>Q</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i"/>
                    </m:rPr>
                    <m:t>Đ</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i"/>
                    </m:rPr>
                    <m:t>-</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i"/>
                    </m:rPr>
                    <m:t>UBN</m:t>
                  </m:r>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i"/>
                    </m:rPr>
                    <m:t>D/2010</m:t>
                  </m:r>
                </m:num>
                <m:den>
                  <m:r>
                    <w:rPr>
                      <w:rFonts w:hint="default" w:ascii="Cambria Math" w:hAnsi="Cambria Math" w:eastAsia="Cambria Math" w:cs="Cambria Math"/>
                      <w:caps w:val="0"/>
                      <w:smallCaps w:val="0"/>
                      <w:strike w:val="0"/>
                      <w:color w:val="auto"/>
                      <w:spacing w:val="0"/>
                      <w:position w:val="0"/>
                      <w:sz w:val="24"/>
                      <w:szCs w:val="24"/>
                      <w:highlight w:val="none"/>
                      <w:u w:val="none"/>
                      <w:vertAlign w:val="baseline"/>
                      <w:lang w:val="en-US" w:bidi="en-US"/>
                      <w14:ligatures w14:val="none"/>
                    </w:rPr>
                    <m:rPr>
                      <m:sty m:val="b"/>
                    </m:rPr>
                    <m:t>631</m:t>
                  </m:r>
                </m:den>
              </m:f>
            </m:oMath>
            <w:r>
              <w:rPr>
                <w:b/>
                <w:bCs/>
                <w:color w:val="000000"/>
              </w:rPr>
              <w:t xml:space="preserve"> do UBND quận Cầu Giấy cấp ngày 23/08/2010; Chủ sở hữu căn hộ là Bà Nguyễn Thị Thanh Huyền.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w:t>
            </w:r>
            <w:r>
              <w:rPr>
                <w:b w:val="0"/>
                <w:bCs w:val="0"/>
              </w:rPr>
              <w:t xml:space="preserve">hộ </w:t>
            </w:r>
            <w:r>
              <w:rPr>
                <w:b w:val="0"/>
                <w:bCs w:val="0"/>
              </w:rPr>
              <w:t xml:space="preserve">chung </w:t>
            </w:r>
            <w:r>
              <w:rPr>
                <w:b w:val="0"/>
                <w:bCs w:val="0"/>
              </w:rPr>
              <w:t xml:space="preserve">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61,35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4.601.250.000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4.601.250.000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4.601.300.000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lẻ một triệu ba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spacing w:after="120" w:before="120" w:line="288" w:lineRule="auto"/>
        <w:ind/>
        <w:jc w:val="both"/>
        <w:rPr>
          <w:lang w:val="vi-VN"/>
        </w:rPr>
      </w:pPr>
      <w:r>
        <w:rPr>
          <w:lang w:val="vi-VN"/>
        </w:rPr>
      </w: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275/2026/1042/VFI-CT.69.A</w:t>
      </w:r>
      <w:r>
        <w:rPr>
          <w:color w:val="ff0000"/>
          <w:lang w:val="vi-VN"/>
        </w:rPr>
        <w:t xml:space="preserve"> </w:t>
      </w:r>
      <w:r>
        <w:rPr>
          <w:color w:val="000000" w:themeColor="text1"/>
        </w:rPr>
        <w:t xml:space="preserve">ngày 9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highlight w:val="white"/>
          <w:u w:val="single"/>
        </w:rPr>
      </w:pPr>
      <w:r>
        <w:rPr>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lang w:val="vi-VN"/>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275/2026/1042/VFI-BC.69</w:t>
      </w:r>
      <w:commentRangeStart w:id="0"/>
      <w:r>
        <w:rPr>
          <w:i/>
          <w:highlight w:val="white"/>
        </w:rPr>
        <w:t xml:space="preserve">.A </w:t>
      </w:r>
      <w:r>
        <w:rPr>
          <w:i/>
          <w:highlight w:val="white"/>
        </w:rPr>
        <w:t xml:space="preserve">ngày</w:t>
      </w:r>
      <w:r>
        <w:rPr>
          <w:i/>
          <w:highlight w:val="white"/>
          <w:lang w:val="pt-BR"/>
        </w:rPr>
        <w:t xml:space="preserve"> </w:t>
      </w:r>
      <w:r>
        <w:rPr>
          <w:i/>
          <w:highlight w:val="white"/>
          <w:lang w:val="pt-BR"/>
        </w:rPr>
        <w:t xml:space="preserve">9 tháng </w:t>
      </w:r>
      <w:r>
        <w:rPr>
          <w:i/>
          <w:highlight w:val="white"/>
          <w:lang w:val="pt-BR"/>
        </w:rPr>
      </w:r>
      <w:commentRangeEnd w:id="0"/>
      <w:r>
        <w:commentReference w:id="0"/>
      </w:r>
      <w:r>
        <w:rPr>
          <w:i/>
          <w:highlight w:val="white"/>
          <w:lang w:val="pt-BR"/>
        </w:rPr>
        <w:t xml:space="preserve">7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511"/>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661846" cy="236831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18585" name=""/>
                              <pic:cNvPicPr>
                                <a:picLocks noChangeAspect="1"/>
                              </pic:cNvPicPr>
                              <pic:nvPr/>
                            </pic:nvPicPr>
                            <pic:blipFill rotWithShape="1">
                              <a:blip r:embed="rId18"/>
                              <a:stretch/>
                            </pic:blipFill>
                            <pic:spPr bwMode="auto">
                              <a:xfrm flipH="0" flipV="0">
                                <a:off x="0" y="0"/>
                                <a:ext cx="1661845" cy="2368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0.85pt;height:186.48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30125" cy="247499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8604" name=""/>
                              <pic:cNvPicPr>
                                <a:picLocks noChangeAspect="1"/>
                              </pic:cNvPicPr>
                              <pic:nvPr/>
                            </pic:nvPicPr>
                            <pic:blipFill rotWithShape="1">
                              <a:blip r:embed="rId19"/>
                              <a:stretch/>
                            </pic:blipFill>
                            <pic:spPr bwMode="auto">
                              <a:xfrm flipH="0" flipV="0">
                                <a:off x="0" y="0"/>
                                <a:ext cx="2830125" cy="2474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84pt;height:194.88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w:t>
            </w:r>
            <w:r>
              <w:rPr>
                <w:b/>
                <w:bCs/>
                <w:i/>
                <w:highlight w:val="white"/>
                <w:lang w:val="pt-BR"/>
              </w:rPr>
              <w:t xml:space="preserve">trạng </w:t>
            </w:r>
            <w:r>
              <w:rPr>
                <w:b/>
                <w:bCs/>
                <w:i/>
                <w:highlight w:val="white"/>
                <w:lang w:val="pt-BR"/>
              </w:rPr>
              <w:t xml:space="preserve">tài </w:t>
            </w:r>
            <w:r>
              <w:rPr>
                <w:b/>
                <w:bCs/>
                <w:i/>
                <w:highlight w:val="white"/>
                <w:lang w:val="pt-BR"/>
              </w:rPr>
              <w:t xml:space="preserve">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20625" cy="253045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13753" name=""/>
                              <pic:cNvPicPr>
                                <a:picLocks noChangeAspect="1"/>
                              </pic:cNvPicPr>
                              <pic:nvPr/>
                            </pic:nvPicPr>
                            <pic:blipFill rotWithShape="1">
                              <a:blip r:embed="rId20"/>
                              <a:stretch/>
                            </pic:blipFill>
                            <pic:spPr bwMode="auto">
                              <a:xfrm rot="0" flipH="0" flipV="0">
                                <a:off x="0" y="0"/>
                                <a:ext cx="3020625" cy="2530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84pt;height:199.25pt;mso-wrap-distance-left:0.00pt;mso-wrap-distance-top:0.00pt;mso-wrap-distance-right:0.00pt;mso-wrap-distance-bottom:0.00pt;rotation:0;z-index:1;" stroked="false">
                      <v:imagedata r:id="rId20"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31265" cy="24892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75268" name=""/>
                              <pic:cNvPicPr>
                                <a:picLocks noChangeAspect="1"/>
                              </pic:cNvPicPr>
                              <pic:nvPr/>
                            </pic:nvPicPr>
                            <pic:blipFill rotWithShape="1">
                              <a:blip r:embed="rId21"/>
                              <a:stretch/>
                            </pic:blipFill>
                            <pic:spPr bwMode="auto">
                              <a:xfrm flipH="0" flipV="0">
                                <a:off x="0" y="0"/>
                                <a:ext cx="3031264" cy="2489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68pt;height:196.01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lang w:val="pt-BR"/>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2913611" cy="21852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53005" name=""/>
                              <pic:cNvPicPr>
                                <a:picLocks noChangeAspect="1"/>
                              </pic:cNvPicPr>
                              <pic:nvPr/>
                            </pic:nvPicPr>
                            <pic:blipFill rotWithShape="1">
                              <a:blip r:embed="rId22"/>
                              <a:stretch/>
                            </pic:blipFill>
                            <pic:spPr bwMode="auto">
                              <a:xfrm flipH="0" flipV="0">
                                <a:off x="0" y="0"/>
                                <a:ext cx="2913610" cy="2185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42pt;height:172.06pt;mso-wrap-distance-left:0.00pt;mso-wrap-distance-top:0.00pt;mso-wrap-distance-right:0.00pt;mso-wrap-distance-bottom:0.00pt;z-index:1;" stroked="false">
                      <v:imagedata r:id="rId22" o:title=""/>
                      <o:lock v:ext="edit" rotation="t"/>
                    </v:shape>
                  </w:pict>
                </mc:Fallback>
              </mc:AlternateConten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3005867" cy="2254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95919" name=""/>
                              <pic:cNvPicPr>
                                <a:picLocks noChangeAspect="1"/>
                              </pic:cNvPicPr>
                              <pic:nvPr/>
                            </pic:nvPicPr>
                            <pic:blipFill rotWithShape="1">
                              <a:blip r:embed="rId23"/>
                              <a:stretch/>
                            </pic:blipFill>
                            <pic:spPr bwMode="auto">
                              <a:xfrm flipH="0" flipV="0">
                                <a:off x="0" y="0"/>
                                <a:ext cx="3005867" cy="2254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68pt;height:177.51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lang w:val="pt-BR"/>
              </w:rPr>
            </w:r>
          </w:p>
        </w:tc>
      </w:tr>
      <w:tr>
        <w:trPr>
          <w:trHeight w:val="282"/>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2996241" cy="224718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13508" name=""/>
                              <pic:cNvPicPr>
                                <a:picLocks noChangeAspect="1"/>
                              </pic:cNvPicPr>
                              <pic:nvPr/>
                            </pic:nvPicPr>
                            <pic:blipFill rotWithShape="1">
                              <a:blip r:embed="rId24"/>
                              <a:stretch/>
                            </pic:blipFill>
                            <pic:spPr bwMode="auto">
                              <a:xfrm flipH="0" flipV="0">
                                <a:off x="0" y="0"/>
                                <a:ext cx="2996241" cy="22471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5.92pt;height:176.94pt;mso-wrap-distance-left:0.00pt;mso-wrap-distance-top:0.00pt;mso-wrap-distance-right:0.00pt;mso-wrap-distance-bottom:0.00pt;z-index:1;" stroked="false">
                      <v:imagedata r:id="rId24" o:title=""/>
                      <o:lock v:ext="edit" rotation="t"/>
                    </v:shape>
                  </w:pict>
                </mc:Fallback>
              </mc:AlternateConten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2980636" cy="223547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06134" name=""/>
                              <pic:cNvPicPr>
                                <a:picLocks noChangeAspect="1"/>
                              </pic:cNvPicPr>
                              <pic:nvPr/>
                            </pic:nvPicPr>
                            <pic:blipFill rotWithShape="1">
                              <a:blip r:embed="rId25"/>
                              <a:stretch/>
                            </pic:blipFill>
                            <pic:spPr bwMode="auto">
                              <a:xfrm flipH="0" flipV="0">
                                <a:off x="0" y="0"/>
                                <a:ext cx="2980635" cy="2235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4.70pt;height:176.02pt;mso-wrap-distance-left:0.00pt;mso-wrap-distance-top:0.00pt;mso-wrap-distance-right:0.00pt;mso-wrap-distance-bottom:0.00pt;z-index:1;" stroked="false">
                      <v:imagedata r:id="rId25"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96241" cy="22471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35330" name=""/>
                              <pic:cNvPicPr>
                                <a:picLocks noChangeAspect="1"/>
                              </pic:cNvPicPr>
                              <pic:nvPr/>
                            </pic:nvPicPr>
                            <pic:blipFill rotWithShape="1">
                              <a:blip r:embed="rId26"/>
                              <a:stretch/>
                            </pic:blipFill>
                            <pic:spPr bwMode="auto">
                              <a:xfrm flipH="0" flipV="0">
                                <a:off x="0" y="0"/>
                                <a:ext cx="2996241" cy="22471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5.92pt;height:176.94pt;mso-wrap-distance-left:0.00pt;mso-wrap-distance-top:0.00pt;mso-wrap-distance-right:0.00pt;mso-wrap-distance-bottom:0.00pt;z-index:1;" stroked="false">
                      <v:imagedata r:id="rId26" o:title=""/>
                      <o:lock v:ext="edit" rotation="t"/>
                    </v:shape>
                  </w:pict>
                </mc:Fallback>
              </mc:AlternateContent>
            </w:r>
            <w:r>
              <w:rPr>
                <w:i/>
                <w:highlight w:val="white"/>
                <w:lang w:val="pt-BR"/>
              </w:rPr>
            </w:r>
            <w:r>
              <w:rPr>
                <w:i/>
                <w:highlight w:val="white"/>
                <w:lang w:val="pt-BR"/>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24187" cy="226814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54410" name=""/>
                              <pic:cNvPicPr>
                                <a:picLocks noChangeAspect="1"/>
                              </pic:cNvPicPr>
                              <pic:nvPr/>
                            </pic:nvPicPr>
                            <pic:blipFill rotWithShape="1">
                              <a:blip r:embed="rId27"/>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8.12pt;height:178.59pt;mso-wrap-distance-left:0.00pt;mso-wrap-distance-top:0.00pt;mso-wrap-distance-right:0.00pt;mso-wrap-distance-bottom:0.00pt;z-index:1;" stroked="false">
                      <v:imagedata r:id="rId27" o:title=""/>
                      <o:lock v:ext="edit" rotation="t"/>
                    </v:shape>
                  </w:pict>
                </mc:Fallback>
              </mc:AlternateConten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c>
          <w:tcPr>
            <w:tcBorders/>
            <w:tcW w:w="4757" w:type="dxa"/>
            <w:vAlign w:val="center"/>
            <w:vMerge w:val="restart"/>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lang w:val="pt-BR"/>
              </w:rPr>
            </w:r>
          </w:p>
        </w:tc>
      </w:tr>
      <w:tr>
        <w:trPr/>
        <w:tc>
          <w:tcPr>
            <w:tcBorders/>
            <w:tcW w:w="4758"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01466" cy="224874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47343" name=""/>
                              <pic:cNvPicPr>
                                <a:picLocks noChangeAspect="1"/>
                              </pic:cNvPicPr>
                              <pic:nvPr/>
                            </pic:nvPicPr>
                            <pic:blipFill rotWithShape="1">
                              <a:blip r:embed="rId28"/>
                              <a:stretch/>
                            </pic:blipFill>
                            <pic:spPr bwMode="auto">
                              <a:xfrm flipH="0" flipV="0">
                                <a:off x="0" y="0"/>
                                <a:ext cx="3001465" cy="2248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6.34pt;height:177.07pt;mso-wrap-distance-left:0.00pt;mso-wrap-distance-top:0.00pt;mso-wrap-distance-right:0.00pt;mso-wrap-distance-bottom:0.00pt;z-index:1;" stroked="false">
                      <v:imagedata r:id="rId28" o:title=""/>
                      <o:lock v:ext="edit" rotation="t"/>
                    </v:shape>
                  </w:pict>
                </mc:Fallback>
              </mc:AlternateContent>
            </w:r>
            <w:r>
              <w:rPr>
                <w:i/>
                <w:highlight w:val="white"/>
                <w:lang w:val="pt-BR"/>
              </w:rPr>
            </w:r>
            <w:r>
              <w:rPr>
                <w:i/>
                <w:highlight w:val="white"/>
                <w:lang w:val="pt-BR"/>
              </w:rPr>
            </w:r>
          </w:p>
        </w:tc>
        <w:tc>
          <w:tcPr>
            <w:tcBorders/>
            <w:tcW w:w="4757"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24187" cy="226577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0050" name=""/>
                              <pic:cNvPicPr>
                                <a:picLocks noChangeAspect="1"/>
                              </pic:cNvPicPr>
                              <pic:nvPr/>
                            </pic:nvPicPr>
                            <pic:blipFill rotWithShape="1">
                              <a:blip r:embed="rId29"/>
                              <a:stretch/>
                            </pic:blipFill>
                            <pic:spPr bwMode="auto">
                              <a:xfrm flipH="0" flipV="0">
                                <a:off x="0" y="0"/>
                                <a:ext cx="3024187" cy="22657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8.12pt;height:178.41pt;mso-wrap-distance-left:0.00pt;mso-wrap-distance-top:0.00pt;mso-wrap-distance-right:0.00pt;mso-wrap-distance-bottom:0.00pt;z-index:1;" stroked="false">
                      <v:imagedata r:id="rId29" o:title=""/>
                      <o:lock v:ext="edit" rotation="t"/>
                    </v:shape>
                  </w:pict>
                </mc:Fallback>
              </mc:AlternateContent>
            </w:r>
            <w:r>
              <w:rPr>
                <w:i/>
                <w:highlight w:val="white"/>
                <w:lang w:val="pt-BR"/>
              </w:rPr>
            </w:r>
            <w:r>
              <w:rPr>
                <w:i/>
                <w:highlight w:val="white"/>
                <w:lang w:val="pt-BR"/>
              </w:rPr>
            </w:r>
          </w:p>
        </w:tc>
      </w:tr>
    </w:tbl>
    <w:p>
      <w:pPr>
        <w:pBdr/>
        <w:spacing/>
        <w:ind/>
        <w:rPr>
          <w:highlight w:val="white"/>
        </w:rPr>
      </w:pPr>
      <w:r>
        <w:rPr>
          <w:highlight w:val="white"/>
        </w:rPr>
      </w:r>
      <w:r>
        <w:rPr>
          <w:highlight w:val="white"/>
        </w:rPr>
      </w:r>
    </w:p>
    <w:p>
      <w:pPr>
        <w:pBdr/>
        <w:spacing w:after="200" w:line="276" w:lineRule="auto"/>
        <w:ind/>
        <w:rPr>
          <w:highlight w:val="white"/>
        </w:rPr>
      </w:pPr>
      <w:r>
        <w:rPr>
          <w:highlight w:val="white"/>
        </w:rPr>
        <w:br w:type="page" w:clear="all"/>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w:t>
      </w:r>
      <w:commentRangeStart w:id="1"/>
      <w:r>
        <w:rPr>
          <w:b/>
          <w:highlight w:val="white"/>
          <w:lang w:val="vi-VN"/>
        </w:rPr>
        <w:t xml:space="preserve"> THU THẬP THỊ </w:t>
      </w:r>
      <w:commentRangeEnd w:id="1"/>
      <w:r>
        <w:commentReference w:id="1"/>
      </w:r>
      <w:r>
        <w:rPr>
          <w:b/>
          <w:highlight w:val="white"/>
          <w:lang w:val="vi-VN"/>
        </w:rPr>
        <w:t xml:space="preserve">TRƯỜN</w:t>
      </w:r>
      <w:r>
        <w:rPr>
          <w:b/>
          <w:highlight w:val="white"/>
        </w:rPr>
        <w:t xml:space="preserve">G</w:t>
      </w:r>
      <w:r>
        <w:rPr>
          <w:i/>
          <w:highlight w:val="white"/>
          <w:lang w:val="pt-BR"/>
        </w:rPr>
      </w:r>
      <w:r>
        <w:rPr>
          <w:i/>
          <w:highlight w:val="white"/>
          <w:lang w:val="pt-BR"/>
        </w:rPr>
      </w:r>
    </w:p>
    <w:p>
      <w:pPr>
        <w:pBdr/>
        <w:spacing/>
        <w:ind/>
        <w:jc w:val="center"/>
        <w:rPr>
          <w:i/>
          <w:highlight w:val="white"/>
        </w:rPr>
      </w:pPr>
      <w:r>
        <w:rPr>
          <w:i/>
          <w:highlight w:val="white"/>
          <w:lang w:val="pt-BR"/>
        </w:rPr>
        <w:t xml:space="preserve">(Kèm theo Báo cáo thẩm định số </w:t>
      </w:r>
      <w:r>
        <w:rPr>
          <w:i/>
          <w:highlight w:val="white"/>
        </w:rPr>
        <w:t xml:space="preserve">275/2026/1042/VFI-BC.6</w:t>
      </w:r>
      <w:commentRangeStart w:id="2"/>
      <w:r>
        <w:rPr>
          <w:i/>
          <w:highlight w:val="white"/>
        </w:rPr>
        <w:t xml:space="preserve">9.A</w:t>
      </w:r>
      <w:r>
        <w:rPr>
          <w:i/>
          <w:highlight w:val="white"/>
          <w:lang w:val="pt-BR"/>
        </w:rPr>
        <w:t xml:space="preserve"> </w:t>
      </w:r>
      <w:r>
        <w:rPr>
          <w:i/>
          <w:highlight w:val="white"/>
          <w:lang w:val="pt-BR"/>
        </w:rPr>
        <w:t xml:space="preserve">ngày </w:t>
      </w:r>
      <w:r>
        <w:rPr>
          <w:i/>
          <w:highlight w:val="white"/>
          <w:lang w:val="pt-BR"/>
        </w:rPr>
        <w:t xml:space="preserve">9 tháng</w:t>
      </w:r>
      <w:r>
        <w:rPr>
          <w:i/>
          <w:highlight w:val="white"/>
          <w:lang w:val="pt-BR"/>
        </w:rPr>
      </w:r>
      <w:commentRangeEnd w:id="2"/>
      <w:r>
        <w:commentReference w:id="2"/>
      </w:r>
      <w:r>
        <w:rPr>
          <w:i/>
          <w:highlight w:val="white"/>
          <w:lang w:val="pt-BR"/>
        </w:rPr>
        <w:t xml:space="preserve"> 7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https://batdongsan.com.vn/ban-can-ho-chung-cu-duong-vu-pham-ham-phuong-yen-hoa-2-khu-do-thi-trung-yen/sieu-hott-ban-102-62m2-co-2-pn-full-o-pr45387432#js__pr-expired__content-anchor</w:t>
            </w:r>
            <w:r>
              <w:rPr>
                <w:color w:val="000000" w:themeColor="text1"/>
                <w:sz w:val="22"/>
                <w:szCs w:val="22"/>
                <w:highlight w:val="white"/>
              </w:rPr>
              <w:br/>
              <w:t xml:space="preserve">0914198063</w:t>
            </w:r>
            <w:r>
              <w:rPr>
                <w:sz w:val="22"/>
                <w:szCs w:val="22"/>
                <w:highlight w:val="white"/>
              </w:rPr>
              <w:t xml:space="preserve"> </w:t>
            </w:r>
            <w:r>
              <w:rPr>
                <w:sz w:val="22"/>
                <w:szCs w:val="22"/>
                <w:highlight w:val="white"/>
              </w:rPr>
              <w:br/>
              <w:t xml:space="preserve">(Phương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4.930.000.000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w:t>
            </w:r>
            <w:r>
              <w:rPr>
                <w:color w:val="000000" w:themeColor="text1"/>
                <w:sz w:val="22"/>
                <w:szCs w:val="22"/>
                <w:highlight w:val="white"/>
              </w:rPr>
              <w:t xml:space="preserve">giao </w:t>
            </w:r>
            <w:r>
              <w:rPr>
                <w:color w:val="000000" w:themeColor="text1"/>
                <w:sz w:val="22"/>
                <w:szCs w:val="22"/>
                <w:highlight w:val="white"/>
              </w:rPr>
              <w:t xml:space="preserve">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06/2026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(62m²)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Tài sản tại: Căn hộ tầng 11, nhà 4F khu đô thị Trung Yên, phường Yên Hòa, quận Cầu Giấy, thành phố Hà Nội (Nay là phường Cầu Giấy, thành phố Hà Nội) </w:t>
            </w:r>
            <w:r>
              <w:rPr>
                <w:sz w:val="22"/>
                <w:szCs w:val="22"/>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38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w:t>
            </w:r>
            <w:r>
              <w:rPr>
                <w:color w:val="000000"/>
                <w:sz w:val="22"/>
                <w:szCs w:val="22"/>
                <w:highlight w:val="white"/>
              </w:rPr>
              <w:t xml:space="preserve">căn </w:t>
            </w:r>
            <w:r>
              <w:rPr>
                <w:color w:val="000000"/>
                <w:sz w:val="22"/>
                <w:szCs w:val="22"/>
                <w:highlight w:val="white"/>
              </w:rPr>
              <w:t xml:space="preserve">hộ</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w:t>
            </w:r>
            <w:r>
              <w:rPr>
                <w:color w:val="000000"/>
                <w:sz w:val="22"/>
                <w:szCs w:val="22"/>
                <w:highlight w:val="white"/>
              </w:rPr>
              <w:t xml:space="preserve">tầng </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w:t>
            </w:r>
            <w:r>
              <w:rPr>
                <w:color w:val="000000"/>
                <w:sz w:val="22"/>
                <w:szCs w:val="22"/>
                <w:highlight w:val="white"/>
              </w:rPr>
              <w:t xml:space="preserve">trí </w:t>
            </w:r>
            <w:r>
              <w:rPr>
                <w:color w:val="000000"/>
                <w:sz w:val="22"/>
                <w:szCs w:val="22"/>
                <w:highlight w:val="white"/>
              </w:rPr>
              <w:t xml:space="preserve">căn </w:t>
            </w:r>
            <w:r>
              <w:rPr>
                <w:color w:val="000000"/>
                <w:sz w:val="22"/>
                <w:szCs w:val="22"/>
                <w:highlight w:val="white"/>
              </w:rPr>
              <w:t xml:space="preserve">hộ </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Căn </w:t>
            </w:r>
            <w:r>
              <w:rPr>
                <w:color w:val="000000" w:themeColor="text1"/>
                <w:sz w:val="22"/>
                <w:szCs w:val="22"/>
                <w:highlight w:val="white"/>
              </w:rPr>
              <w:t xml:space="preserve">thườn</w:t>
            </w:r>
            <w:r>
              <w:rPr>
                <w:color w:val="000000" w:themeColor="text1"/>
                <w:sz w:val="22"/>
                <w:szCs w:val="22"/>
                <w:highlight w:val="white"/>
              </w:rPr>
              <w:t xml:space="preserve">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Cấu </w:t>
            </w:r>
            <w:r>
              <w:rPr>
                <w:color w:val="000000"/>
                <w:sz w:val="22"/>
                <w:szCs w:val="22"/>
                <w:highlight w:val="white"/>
              </w:rPr>
              <w:t xml:space="preserve">t</w:t>
            </w:r>
            <w:r>
              <w:rPr>
                <w:color w:val="000000"/>
                <w:sz w:val="22"/>
                <w:szCs w:val="22"/>
                <w:highlight w:val="white"/>
              </w:rPr>
              <w:t xml:space="preserve">rúc</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02 </w:t>
            </w:r>
            <w:r>
              <w:rPr>
                <w:color w:val="000000" w:themeColor="text1"/>
                <w:sz w:val="22"/>
                <w:szCs w:val="22"/>
                <w:highlight w:val="white"/>
              </w:rPr>
              <w:t xml:space="preserve">phòng </w:t>
            </w:r>
            <w:r>
              <w:rPr>
                <w:color w:val="000000" w:themeColor="text1"/>
                <w:sz w:val="22"/>
                <w:szCs w:val="22"/>
                <w:highlight w:val="white"/>
              </w:rPr>
              <w:t xml:space="preserve">ngủ, 02 </w:t>
            </w:r>
            <w:r>
              <w:rPr>
                <w:color w:val="000000" w:themeColor="text1"/>
                <w:sz w:val="22"/>
                <w:szCs w:val="22"/>
                <w:highlight w:val="white"/>
              </w:rPr>
              <w:t xml:space="preserve">wc, 01 </w:t>
            </w:r>
            <w:r>
              <w:rPr>
                <w:color w:val="000000" w:themeColor="text1"/>
                <w:sz w:val="22"/>
                <w:szCs w:val="22"/>
                <w:highlight w:val="white"/>
              </w:rPr>
              <w:t xml:space="preserve">bếp, 01 </w:t>
            </w:r>
            <w:r>
              <w:rPr>
                <w:color w:val="000000" w:themeColor="text1"/>
                <w:sz w:val="22"/>
                <w:szCs w:val="22"/>
                <w:highlight w:val="white"/>
              </w:rPr>
              <w:t xml:space="preserve">ban </w:t>
            </w:r>
            <w:r>
              <w:rPr>
                <w:color w:val="000000" w:themeColor="text1"/>
                <w:sz w:val="22"/>
                <w:szCs w:val="22"/>
                <w:highlight w:val="white"/>
              </w:rPr>
              <w:t xml:space="preserve">công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Hướng </w:t>
            </w:r>
            <w:r>
              <w:rPr>
                <w:color w:val="000000"/>
                <w:sz w:val="22"/>
                <w:szCs w:val="22"/>
                <w:highlight w:val="white"/>
              </w:rPr>
              <w:t xml:space="preserve">c</w:t>
            </w:r>
            <w:r>
              <w:rPr>
                <w:color w:val="000000"/>
                <w:sz w:val="22"/>
                <w:szCs w:val="22"/>
                <w:highlight w:val="white"/>
              </w:rPr>
              <w:t xml:space="preserve">ửa </w:t>
            </w:r>
            <w:r>
              <w:rPr>
                <w:color w:val="000000"/>
                <w:sz w:val="22"/>
                <w:szCs w:val="22"/>
                <w:highlight w:val="white"/>
              </w:rPr>
              <w:t xml:space="preserve">chính </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Đô</w:t>
            </w:r>
            <w:r>
              <w:rPr>
                <w:color w:val="000000" w:themeColor="text1"/>
                <w:sz w:val="22"/>
                <w:szCs w:val="22"/>
                <w:highlight w:val="white"/>
              </w:rPr>
              <w:t xml:space="preserve">ng </w:t>
            </w:r>
            <w:r>
              <w:rPr>
                <w:color w:val="000000" w:themeColor="text1"/>
                <w:sz w:val="22"/>
                <w:szCs w:val="22"/>
                <w:highlight w:val="white"/>
              </w:rPr>
              <w:t xml:space="preserve">Nam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976353" cy="1822044"/>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77808671" name="" descr=""/>
                              <pic:cNvPicPr/>
                              <pic:nvPr/>
                            </pic:nvPicPr>
                            <pic:blipFill rotWithShape="1">
                              <a:blip r:embed="rId30"/>
                              <a:stretch/>
                            </pic:blipFill>
                            <pic:spPr bwMode="auto">
                              <a:xfrm rot="0" flipH="0" flipV="0">
                                <a:off x="0" y="0"/>
                                <a:ext cx="2976351" cy="18220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4.36pt;height:143.47pt;mso-wrap-distance-left:0.00pt;mso-wrap-distance-top:0.00pt;mso-wrap-distance-right:0.00pt;mso-wrap-distance-bottom:0.00pt;rotation:0;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jc w:val="left"/>
        <w:rPr>
          <w:i/>
          <w:highlight w:val="white"/>
        </w:rPr>
      </w:pPr>
      <w:r>
        <w:rPr>
          <w:i/>
          <w:highlight w:val="white"/>
          <w:lang w:val="pt-BR"/>
        </w:rPr>
      </w:r>
      <w:r>
        <w:rPr>
          <w:i/>
          <w:highlight w:val="white"/>
          <w:lang w:val="pt-BR"/>
        </w:rPr>
      </w:r>
      <w:r>
        <w:rPr>
          <w:i/>
          <w:highlight w:val="whit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left"/>
              <w:rPr>
                <w:b/>
                <w:bCs/>
                <w:highlight w:val="white"/>
              </w:rPr>
            </w:pPr>
            <w:r>
              <w:rPr>
                <w:b/>
                <w:bCs/>
                <w:highlight w:val="white"/>
              </w:rPr>
            </w:r>
            <w:r>
              <w:rPr>
                <w:b/>
                <w:bCs/>
                <w:highlight w:val="white"/>
              </w:rPr>
            </w:r>
            <w:r>
              <w:rPr>
                <w:b/>
                <w:bCs/>
                <w:highlight w:val="white"/>
              </w:rPr>
            </w:r>
          </w:p>
          <w:p>
            <w:pPr>
              <w:pBdr/>
              <w:spacing/>
              <w:ind/>
              <w:jc w:val="left"/>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highlight w:val="white"/>
              </w:rPr>
            </w:pPr>
            <w:r>
              <w:rPr>
                <w:highlight w:val="white"/>
              </w:rPr>
              <w:t xml:space="preserve">Nguyễn Thuỳ Nhật Anh</w:t>
            </w:r>
            <w:r>
              <w:rPr>
                <w:highlight w:val="white"/>
              </w:rPr>
            </w:r>
          </w:p>
        </w:tc>
      </w:tr>
    </w:tbl>
    <w:p>
      <w:pPr>
        <w:pBdr/>
        <w:spacing w:after="200" w:line="276" w:lineRule="auto"/>
        <w:ind/>
        <w:rPr>
          <w:b/>
          <w:bCs/>
          <w:iCs/>
          <w:highlight w:val="white"/>
        </w:rPr>
      </w:pPr>
      <w:r>
        <w:rPr>
          <w:b/>
          <w:bCs/>
          <w:iCs/>
          <w:highlight w:val="white"/>
          <w:lang w:val="pt-BR"/>
        </w:rPr>
      </w:r>
      <w:r>
        <w:rPr>
          <w:b/>
          <w:bCs/>
          <w:iCs/>
          <w:highlight w:val="white"/>
          <w:lang w:val="pt-BR"/>
        </w:rPr>
      </w:r>
      <w:r>
        <w:rPr>
          <w:b/>
          <w:bCs/>
          <w:iCs/>
          <w:highlight w:val="white"/>
          <w:lang w:val="pt-BR"/>
        </w:rPr>
      </w:r>
    </w:p>
    <w:p>
      <w:pPr>
        <w:pBdr/>
        <w:spacing w:after="200" w:line="276" w:lineRule="auto"/>
        <w:ind/>
        <w:jc w:val="center"/>
        <w:rPr>
          <w:iCs/>
          <w:highlight w:val="white"/>
        </w:rPr>
      </w:pPr>
      <w:r>
        <w:rPr>
          <w:b/>
          <w:bCs/>
          <w:iCs/>
          <w:highlight w:val="white"/>
          <w:lang w:val="pt-BR"/>
        </w:rPr>
        <w:t xml:space="preserve">TSSS2</w:t>
      </w:r>
      <w:r>
        <w:rPr>
          <w:iCs/>
          <w:highlight w:val="white"/>
          <w:lang w:val="pt-BR"/>
        </w:rPr>
      </w:r>
      <w:r>
        <w:rPr>
          <w:iCs/>
          <w:highlight w:val="white"/>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https://batdongsan.com.vn/ban-can-ho-chung-cu-duong-vu-pham-ham-phuong-yen-hoa-2-khu-do-thi-trung-yen/ban-gap-2-ngu-k-t-gia-5-95-ty-tam-cau-giay-pr45880994</w:t>
            </w:r>
            <w:r>
              <w:rPr>
                <w:color w:val="000000" w:themeColor="text1"/>
                <w:sz w:val="22"/>
                <w:szCs w:val="22"/>
                <w:highlight w:val="white"/>
              </w:rPr>
              <w:br/>
              <w:t xml:space="preserve">0914198063</w:t>
            </w:r>
            <w:r>
              <w:rPr>
                <w:sz w:val="22"/>
                <w:szCs w:val="22"/>
                <w:highlight w:val="white"/>
              </w:rPr>
              <w:t xml:space="preserve"> </w:t>
            </w:r>
            <w:r>
              <w:rPr>
                <w:sz w:val="22"/>
                <w:szCs w:val="22"/>
                <w:highlight w:val="white"/>
              </w:rPr>
              <w:br/>
              <w:t xml:space="preserve">(Nga</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5.950.000.000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5.057.500.000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Căn hộ tầng 11, nhà 4F khu đô thị Trung Yên, phường Yên Hòa, quận Cầu Giấy, thành phố Hà Nội (Nay là phường Cầu Giấy, thành phố Hà Nội) </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w:t>
            </w:r>
            <w:r>
              <w:rPr>
                <w:color w:val="000000"/>
                <w:sz w:val="22"/>
                <w:szCs w:val="22"/>
              </w:rPr>
              <w:t xml:space="preserve">căn </w:t>
            </w:r>
            <w:r>
              <w:rPr>
                <w:color w:val="000000"/>
                <w:sz w:val="22"/>
                <w:szCs w:val="22"/>
              </w:rPr>
              <w:t xml:space="preserve">hộ</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w:t>
            </w:r>
            <w:r>
              <w:rPr>
                <w:color w:val="000000"/>
                <w:sz w:val="22"/>
                <w:szCs w:val="22"/>
              </w:rPr>
              <w:t xml:space="preserve">trí </w:t>
            </w:r>
            <w:r>
              <w:rPr>
                <w:color w:val="000000"/>
                <w:sz w:val="22"/>
                <w:szCs w:val="22"/>
              </w:rPr>
              <w:t xml:space="preserve">căn </w:t>
            </w:r>
            <w:r>
              <w:rPr>
                <w:color w:val="000000"/>
                <w:sz w:val="22"/>
                <w:szCs w:val="22"/>
              </w:rPr>
              <w:t xml:space="preserve">hộ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thườn</w:t>
            </w:r>
            <w:r>
              <w:rPr>
                <w:color w:val="000000" w:themeColor="text1"/>
                <w:sz w:val="22"/>
                <w:szCs w:val="22"/>
              </w:rPr>
              <w:t xml:space="preserve">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w:t>
            </w:r>
            <w:r>
              <w:rPr>
                <w:color w:val="000000"/>
                <w:sz w:val="22"/>
                <w:szCs w:val="22"/>
              </w:rPr>
              <w:t xml:space="preserve">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02 </w:t>
            </w:r>
            <w:r>
              <w:rPr>
                <w:color w:val="000000" w:themeColor="text1"/>
                <w:sz w:val="22"/>
                <w:szCs w:val="22"/>
              </w:rPr>
              <w:t xml:space="preserve">phòng </w:t>
            </w:r>
            <w:r>
              <w:rPr>
                <w:color w:val="000000" w:themeColor="text1"/>
                <w:sz w:val="22"/>
                <w:szCs w:val="22"/>
              </w:rPr>
              <w:t xml:space="preserve">ngủ, 02 </w:t>
            </w:r>
            <w:r>
              <w:rPr>
                <w:color w:val="000000" w:themeColor="text1"/>
                <w:sz w:val="22"/>
                <w:szCs w:val="22"/>
              </w:rPr>
              <w:t xml:space="preserve">wc, 01 </w:t>
            </w:r>
            <w:r>
              <w:rPr>
                <w:color w:val="000000" w:themeColor="text1"/>
                <w:sz w:val="22"/>
                <w:szCs w:val="22"/>
              </w:rPr>
              <w:t xml:space="preserve">bếp, 01 </w:t>
            </w:r>
            <w:r>
              <w:rPr>
                <w:color w:val="000000" w:themeColor="text1"/>
                <w:sz w:val="22"/>
                <w:szCs w:val="22"/>
              </w:rPr>
              <w:t xml:space="preserve">ban </w:t>
            </w:r>
            <w:r>
              <w:rPr>
                <w:color w:val="000000" w:themeColor="text1"/>
                <w:sz w:val="22"/>
                <w:szCs w:val="22"/>
              </w:rPr>
              <w:t xml:space="preserve">công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w:t>
            </w:r>
            <w:r>
              <w:rPr>
                <w:color w:val="000000"/>
                <w:sz w:val="22"/>
                <w:szCs w:val="22"/>
              </w:rPr>
              <w:t xml:space="preserve">ửa </w:t>
            </w:r>
            <w:r>
              <w:rPr>
                <w:color w:val="000000"/>
                <w:sz w:val="22"/>
                <w:szCs w:val="22"/>
              </w:rPr>
              <w:t xml:space="preserve">chính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Đô</w:t>
            </w:r>
            <w:r>
              <w:rPr>
                <w:color w:val="000000" w:themeColor="text1"/>
                <w:sz w:val="22"/>
                <w:szCs w:val="22"/>
              </w:rPr>
              <w:t xml:space="preserve">ng </w:t>
            </w:r>
            <w:r>
              <w:rPr>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635715" cy="2145346"/>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72953467" name="" descr=""/>
                              <pic:cNvPicPr/>
                              <pic:nvPr/>
                            </pic:nvPicPr>
                            <pic:blipFill rotWithShape="1">
                              <a:blip r:embed="rId31"/>
                              <a:stretch/>
                            </pic:blipFill>
                            <pic:spPr bwMode="auto">
                              <a:xfrm flipH="0" flipV="0">
                                <a:off x="0" y="0"/>
                                <a:ext cx="3635714" cy="21453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6.28pt;height:168.92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https://batdongsan.com.vn/ban-can-ho-chung-cu-duong-vu-pham-ham-phuong-yen-hoa-2-khu-do-thi-trung-yen/ban-gap-cao-cap-65-m2-2-pn-toa-4f-o-ham-pr45774166</w:t>
            </w:r>
            <w:r>
              <w:rPr>
                <w:color w:val="000000" w:themeColor="text1"/>
                <w:sz w:val="22"/>
                <w:szCs w:val="22"/>
              </w:rPr>
              <w:br/>
            </w:r>
            <w:r>
              <w:rPr>
                <w:sz w:val="22"/>
                <w:szCs w:val="22"/>
              </w:rPr>
              <w:t xml:space="preserve">SĐT: </w:t>
            </w:r>
            <w:r>
              <w:rPr>
                <w:color w:val="000000" w:themeColor="text1"/>
                <w:sz w:val="22"/>
                <w:szCs w:val="22"/>
              </w:rPr>
              <w:t xml:space="preserve">0904760444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5.700.000.000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4.845.000.000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after="0" w:before="0" w:line="240" w:lineRule="auto"/>
              <w:ind/>
              <w:jc w:val="center"/>
              <w:rPr/>
            </w:pPr>
            <w:r>
              <w:rPr>
                <w:color w:val="000000" w:themeColor="text1"/>
                <w:sz w:val="22"/>
                <w:szCs w:val="22"/>
              </w:rPr>
              <w:t xml:space="preserve">Tài sản tại: </w:t>
            </w:r>
            <w:r>
              <w:rPr>
                <w:rFonts w:ascii="Times New Roman" w:hAnsi="Times New Roman" w:eastAsia="Times New Roman" w:cs="Times New Roman"/>
                <w:color w:val="000000"/>
                <w:sz w:val="22"/>
              </w:rPr>
              <w:t xml:space="preserve">Tài sản tại: Căn hộ tầng 11, nhà 4F khu đô thị Trung Yên, phường Yên Hòa, quận Cầu Giấy, thành phố Hà Nội (Nay là phường Cầu Giấy, thành phố Hà Nội)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w:t>
            </w:r>
            <w:r>
              <w:rPr>
                <w:color w:val="000000"/>
                <w:sz w:val="22"/>
                <w:szCs w:val="22"/>
              </w:rPr>
              <w:t xml:space="preserve">căn </w:t>
            </w:r>
            <w:r>
              <w:rPr>
                <w:color w:val="000000"/>
                <w:sz w:val="22"/>
                <w:szCs w:val="22"/>
              </w:rPr>
              <w:t xml:space="preserve">hộ</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w:t>
            </w:r>
            <w:r>
              <w:rPr>
                <w:color w:val="000000"/>
                <w:sz w:val="22"/>
                <w:szCs w:val="22"/>
              </w:rPr>
              <w:t xml:space="preserve">trí </w:t>
            </w:r>
            <w:r>
              <w:rPr>
                <w:color w:val="000000"/>
                <w:sz w:val="22"/>
                <w:szCs w:val="22"/>
              </w:rPr>
              <w:t xml:space="preserve">căn </w:t>
            </w:r>
            <w:r>
              <w:rPr>
                <w:color w:val="000000"/>
                <w:sz w:val="22"/>
                <w:szCs w:val="22"/>
              </w:rPr>
              <w:t xml:space="preserve">hộ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thườn</w:t>
            </w:r>
            <w:r>
              <w:rPr>
                <w:color w:val="000000" w:themeColor="text1"/>
                <w:sz w:val="22"/>
                <w:szCs w:val="22"/>
              </w:rPr>
              <w:t xml:space="preserve">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w:t>
            </w:r>
            <w:r>
              <w:rPr>
                <w:color w:val="000000"/>
                <w:sz w:val="22"/>
                <w:szCs w:val="22"/>
              </w:rPr>
              <w:t xml:space="preserve">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02 </w:t>
            </w:r>
            <w:r>
              <w:rPr>
                <w:color w:val="000000" w:themeColor="text1"/>
                <w:sz w:val="22"/>
                <w:szCs w:val="22"/>
              </w:rPr>
              <w:t xml:space="preserve">phòng </w:t>
            </w:r>
            <w:r>
              <w:rPr>
                <w:color w:val="000000" w:themeColor="text1"/>
                <w:sz w:val="22"/>
                <w:szCs w:val="22"/>
              </w:rPr>
              <w:t xml:space="preserve">ngủ, 02 </w:t>
            </w:r>
            <w:r>
              <w:rPr>
                <w:color w:val="000000" w:themeColor="text1"/>
                <w:sz w:val="22"/>
                <w:szCs w:val="22"/>
              </w:rPr>
              <w:t xml:space="preserve">wc, 01 </w:t>
            </w:r>
            <w:r>
              <w:rPr>
                <w:color w:val="000000" w:themeColor="text1"/>
                <w:sz w:val="22"/>
                <w:szCs w:val="22"/>
              </w:rPr>
              <w:t xml:space="preserve">bếp, 01 </w:t>
            </w:r>
            <w:r>
              <w:rPr>
                <w:color w:val="000000" w:themeColor="text1"/>
                <w:sz w:val="22"/>
                <w:szCs w:val="22"/>
              </w:rPr>
              <w:t xml:space="preserve">ban </w:t>
            </w:r>
            <w:r>
              <w:rPr>
                <w:color w:val="000000" w:themeColor="text1"/>
                <w:sz w:val="22"/>
                <w:szCs w:val="22"/>
              </w:rPr>
              <w:t xml:space="preserve">công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w:t>
            </w:r>
            <w:r>
              <w:rPr>
                <w:color w:val="000000"/>
                <w:sz w:val="22"/>
                <w:szCs w:val="22"/>
              </w:rPr>
              <w:t xml:space="preserve">ửa </w:t>
            </w:r>
            <w:r>
              <w:rPr>
                <w:color w:val="000000"/>
                <w:sz w:val="22"/>
                <w:szCs w:val="22"/>
              </w:rPr>
              <w:t xml:space="preserve">chính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Đô</w:t>
            </w:r>
            <w:r>
              <w:rPr>
                <w:color w:val="000000" w:themeColor="text1"/>
                <w:sz w:val="22"/>
                <w:szCs w:val="22"/>
              </w:rPr>
              <w:t xml:space="preserve">ng </w:t>
            </w:r>
            <w:r>
              <w:rPr>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11890" cy="2354896"/>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09459524" name="" descr=""/>
                              <pic:cNvPicPr/>
                              <pic:nvPr/>
                            </pic:nvPicPr>
                            <pic:blipFill rotWithShape="1">
                              <a:blip r:embed="rId32"/>
                              <a:stretch/>
                            </pic:blipFill>
                            <pic:spPr bwMode="auto">
                              <a:xfrm flipH="0" flipV="0">
                                <a:off x="0" y="0"/>
                                <a:ext cx="3511889" cy="23548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76.53pt;height:185.4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highlight w:val="none"/>
          <w:lang w:val="pt-BR"/>
        </w:rPr>
      </w:pPr>
      <w:r>
        <w:rPr>
          <w:iCs/>
          <w:lang w:val="pt-BR"/>
        </w:rPr>
      </w:r>
      <w:r>
        <w:rPr>
          <w:iCs/>
          <w:lang w:val="pt-BR"/>
        </w:rPr>
        <w:br/>
      </w:r>
      <w:r>
        <w:rPr>
          <w:iCs/>
          <w:highlight w:val="none"/>
          <w:lang w:val="pt-BR"/>
        </w:rPr>
      </w:r>
      <w:r>
        <w:rPr>
          <w:iCs/>
          <w:highlight w:val="none"/>
          <w:lang w:val="pt-BR"/>
        </w:rPr>
      </w:r>
    </w:p>
    <w:p>
      <w:pPr>
        <w:pBdr/>
        <w:spacing w:after="200" w:line="276" w:lineRule="auto"/>
        <w:ind/>
        <w:jc w:val="center"/>
        <w:rPr>
          <w:b/>
          <w:bCs/>
          <w:highlight w:val="none"/>
        </w:rPr>
      </w:pPr>
      <w:r>
        <w:rPr>
          <w:b/>
          <w:bCs/>
          <w:iCs/>
          <w:highlight w:val="none"/>
          <w:lang w:val="pt-BR" w:bidi="pt-BR"/>
        </w:rPr>
        <w:t xml:space="preserve">Hồ </w:t>
      </w:r>
      <w:r>
        <w:rPr>
          <w:b/>
          <w:bCs/>
          <w:iCs/>
          <w:highlight w:val="none"/>
          <w:lang w:val="pt-BR" w:bidi="pt-BR"/>
        </w:rPr>
        <w:t xml:space="preserve">sơ </w:t>
      </w:r>
      <w:r>
        <w:rPr>
          <w:b/>
          <w:bCs/>
          <w:iCs/>
          <w:highlight w:val="none"/>
          <w:lang w:val="pt-BR" w:bidi="pt-BR"/>
        </w:rPr>
        <w:t xml:space="preserve">ph</w:t>
      </w:r>
      <w:r>
        <w:rPr>
          <w:b/>
          <w:bCs/>
          <w:iCs/>
          <w:highlight w:val="none"/>
          <w:lang w:val="pt-BR" w:bidi="pt-BR"/>
        </w:rPr>
        <w:t xml:space="preserve">áp </w:t>
      </w:r>
      <w:r>
        <w:rPr>
          <w:b/>
          <w:bCs/>
          <w:iCs/>
          <w:highlight w:val="none"/>
          <w:lang w:val="pt-BR" w:bidi="pt-BR"/>
        </w:rPr>
        <w:t xml:space="preserve">lý </w:t>
      </w:r>
      <w:r>
        <w:rPr>
          <w:b/>
          <w:bCs/>
          <w:highlight w:val="none"/>
        </w:rPr>
      </w:r>
      <w:r>
        <w:rPr>
          <w:b/>
          <w:bCs/>
          <w:highlight w:val="none"/>
        </w:rPr>
      </w:r>
    </w:p>
    <w:p>
      <w:pPr>
        <w:pBdr/>
        <w:shd w:val="nil" w:color="auto"/>
        <w:spacing/>
        <w:ind/>
        <w:rPr>
          <w:lang w:val="pt-BR"/>
        </w:rPr>
      </w:pPr>
      <w:r>
        <w:rPr>
          <w:lang w:val="pt-BR"/>
        </w:rPr>
      </w:r>
      <w:r>
        <mc:AlternateContent>
          <mc:Choice Requires="wpg">
            <w:drawing>
              <wp:inline xmlns:wp="http://schemas.openxmlformats.org/drawingml/2006/wordprocessingDrawing" distT="0" distB="0" distL="0" distR="0">
                <wp:extent cx="6048375" cy="409682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46745" name=""/>
                        <pic:cNvPicPr>
                          <a:picLocks noChangeAspect="1"/>
                        </pic:cNvPicPr>
                        <pic:nvPr/>
                      </pic:nvPicPr>
                      <pic:blipFill rotWithShape="1">
                        <a:blip r:embed="rId33"/>
                        <a:stretch/>
                      </pic:blipFill>
                      <pic:spPr bwMode="auto">
                        <a:xfrm>
                          <a:off x="0" y="0"/>
                          <a:ext cx="6048374" cy="4096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22.58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p>
      <w:pPr>
        <w:pBdr/>
        <w:shd w:val="nil" w:color="000000"/>
        <w:spacing/>
        <w:ind/>
        <w:rPr/>
      </w:pPr>
      <w:r>
        <w:rPr>
          <w:lang w:val="pt-BR"/>
        </w:rPr>
      </w:r>
      <w:r>
        <mc:AlternateContent>
          <mc:Choice Requires="wpg">
            <w:drawing>
              <wp:inline xmlns:wp="http://schemas.openxmlformats.org/drawingml/2006/wordprocessingDrawing" distT="0" distB="0" distL="0" distR="0">
                <wp:extent cx="6048375" cy="425748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96447" name=""/>
                        <pic:cNvPicPr>
                          <a:picLocks noChangeAspect="1"/>
                        </pic:cNvPicPr>
                        <pic:nvPr/>
                      </pic:nvPicPr>
                      <pic:blipFill rotWithShape="1">
                        <a:blip r:embed="rId34"/>
                        <a:stretch/>
                      </pic:blipFill>
                      <pic:spPr bwMode="auto">
                        <a:xfrm>
                          <a:off x="0" y="0"/>
                          <a:ext cx="6048374" cy="4257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35.24pt;mso-wrap-distance-left:0.00pt;mso-wrap-distance-top:0.00pt;mso-wrap-distance-right:0.00pt;mso-wrap-distance-bottom:0.00pt;z-index:1;" stroked="false">
                <v:imagedata r:id="rId34" o:title=""/>
                <o:lock v:ext="edit" rotation="t"/>
              </v:shape>
            </w:pict>
          </mc:Fallback>
        </mc:AlternateContent>
      </w:r>
      <w:r>
        <w:rPr>
          <w:lang w:val="pt-BR"/>
        </w:rPr>
      </w:r>
      <w:r/>
    </w:p>
    <w:p>
      <w:pPr>
        <w:pBdr/>
        <w:shd w:val="nil" w:color="000000"/>
        <w:spacing/>
        <w:ind/>
        <w:rPr>
          <w:lang w:val="pt-BR"/>
        </w:rPr>
      </w:pPr>
      <w:r>
        <mc:AlternateContent>
          <mc:Choice Requires="wpg">
            <w:drawing>
              <wp:inline xmlns:wp="http://schemas.openxmlformats.org/drawingml/2006/wordprocessingDrawing" distT="0" distB="0" distL="0" distR="0">
                <wp:extent cx="6048375" cy="863090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88317" name=""/>
                        <pic:cNvPicPr>
                          <a:picLocks noChangeAspect="1"/>
                        </pic:cNvPicPr>
                        <pic:nvPr/>
                      </pic:nvPicPr>
                      <pic:blipFill rotWithShape="1">
                        <a:blip r:embed="rId35"/>
                        <a:stretch/>
                      </pic:blipFill>
                      <pic:spPr bwMode="auto">
                        <a:xfrm>
                          <a:off x="0" y="0"/>
                          <a:ext cx="6048374" cy="8630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9.60pt;mso-wrap-distance-left:0.00pt;mso-wrap-distance-top:0.00pt;mso-wrap-distance-right:0.00pt;mso-wrap-distance-bottom:0.00pt;z-index:1;" stroked="false">
                <v:imagedata r:id="rId35" o:title=""/>
                <o:lock v:ext="edit" rotation="t"/>
              </v:shape>
            </w:pict>
          </mc:Fallback>
        </mc:AlternateContent>
      </w:r>
      <w:r>
        <w:rPr>
          <w:lang w:val="pt-BR"/>
        </w:rPr>
        <w:br w:type="page" w:clear="all"/>
      </w:r>
      <w:r>
        <mc:AlternateContent>
          <mc:Choice Requires="wpg">
            <w:drawing>
              <wp:inline xmlns:wp="http://schemas.openxmlformats.org/drawingml/2006/wordprocessingDrawing" distT="0" distB="0" distL="0" distR="0">
                <wp:extent cx="6048375" cy="802366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70594" name=""/>
                        <pic:cNvPicPr>
                          <a:picLocks noChangeAspect="1"/>
                        </pic:cNvPicPr>
                        <pic:nvPr/>
                      </pic:nvPicPr>
                      <pic:blipFill rotWithShape="1">
                        <a:blip r:embed="rId36"/>
                        <a:stretch/>
                      </pic:blipFill>
                      <pic:spPr bwMode="auto">
                        <a:xfrm>
                          <a:off x="0" y="0"/>
                          <a:ext cx="6048374" cy="8023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1.78pt;mso-wrap-distance-left:0.00pt;mso-wrap-distance-top:0.00pt;mso-wrap-distance-right:0.00pt;mso-wrap-distance-bottom:0.00pt;z-index:1;" stroked="false">
                <v:imagedata r:id="rId36" o:title=""/>
                <o:lock v:ext="edit" rotation="t"/>
              </v:shape>
            </w:pict>
          </mc:Fallback>
        </mc:AlternateContent>
      </w:r>
      <w:r>
        <w:rPr>
          <w:lang w:val="pt-BR"/>
        </w:rPr>
      </w:r>
      <w:r>
        <w:rPr>
          <w:lang w:val="pt-BR"/>
        </w:rPr>
      </w:r>
    </w:p>
    <w:p>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7-13T11:42:05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 w:id="1" w:author="Nguyễn Thị Thùy Dương" w:date="2026-07-13T11:43:21Z" w:initials="NTTD">
    <w:p w14:paraId="00000002" w14:textId="00000002">
      <w:pPr>
        <w:spacing w:line="240" w:after="0" w:lineRule="auto" w:before="0"/>
        <w:ind w:firstLine="0" w:left="0" w:right="0"/>
        <w:jc w:val="left"/>
      </w:pPr>
      <w:r>
        <w:rPr>
          <w:rFonts w:eastAsia="Arial" w:ascii="Arial" w:hAnsi="Arial" w:cs="Arial"/>
          <w:sz w:val="22"/>
        </w:rPr>
        <w:t xml:space="preserve">Bổ sung hình ảnh chat sale/ghi âm</w:t>
      </w:r>
    </w:p>
  </w:comment>
  <w:comment w:id="0" w:author="Nguyễn Thị Thùy Dương" w:date="2026-07-13T11:41:55Z" w:initials="NTTD">
    <w:p w14:paraId="00000003" w14:textId="00000003">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8F40302" w16cex:dateUtc="2026-07-13T04:42:05Z"/>
  <w16cex:commentExtensible w16cex:durableId="254FB4D5" w16cex:dateUtc="2026-07-13T04:43:21Z"/>
  <w16cex:commentExtensible w16cex:durableId="7E93D5B7" w16cex:dateUtc="2026-07-13T04:41:5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8F40302"/>
  <w16cid:commentId w16cid:paraId="00000002" w16cid:durableId="254FB4D5"/>
  <w16cid:commentId w16cid:paraId="00000003" w16cid:durableId="7E93D5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Cambria Math">
    <w:panose1 w:val="02000603000000000000"/>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284</cp:revision>
  <dcterms:created xsi:type="dcterms:W3CDTF">2025-09-15T09:58:00Z</dcterms:created>
  <dcterms:modified xsi:type="dcterms:W3CDTF">2026-07-13T08:32:50Z</dcterms:modified>
</cp:coreProperties>
</file>