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left"/>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5467350"/>
                <wp:effectExtent l="12700" t="12700" r="31750" b="31750"/>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HSTD-20260618-0005/CT-VFI</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Chưa biết</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Số vào sổ cấp GCN AA 01695769 và CH 316143, Số thửa 456, Tờ bản đồ 7, Địa chỉ trên sổ tổ dân phố Sa Pa 5, phường Sa Pa, </w:t>
                            </w:r>
                            <w:r>
                              <w:rPr>
                                <w:color w:val="000000"/>
                              </w:rPr>
                              <w:t xml:space="preserve">tỉnh Lào Cai, Diện tích: Đất thương mại, dịch vụ (120 m2) | Tài sản tại: Thị trấn Sa Pa, Huyện Sa Pa, Tỉnh Lào Cai, khoảng cách ra đường chính 160m, độ rộng đường trước mặt tài sản 5m, đường đi chung, mặt tiền 36.86m, khu du lịch, 22.33775, 103.83911111111</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430.5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HSTD-20260618-0005/CT-VFI</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Chưa biết</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Số vào sổ cấp GCN AA 01695769 và CH 316143, Số thửa 456, Tờ bản đồ 7, Địa chỉ trên sổ tổ dân phố Sa Pa 5, phường Sa Pa, </w:t>
                      </w:r>
                      <w:r>
                        <w:rPr>
                          <w:color w:val="000000"/>
                        </w:rPr>
                        <w:t xml:space="preserve">tỉnh Lào Cai, Diện tích: Đất thương mại, dịch vụ (120 m2) | Tài sản tại: Thị trấn Sa Pa, Huyện Sa Pa, Tỉnh Lào Cai, khoảng cách ra đường chính 160m, độ rộng đường trước mặt tài sản 5m, đường đi chung, mặt tiền 36.86m, khu du lịch, 22.33775, 103.83911111111</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4"/>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24"/>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4"/>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23"/>
              <w:pBdr/>
              <w:spacing w:after="60"/>
              <w:ind/>
              <w:rPr>
                <w:color w:val="000000" w:themeColor="text1"/>
                <w:sz w:val="24"/>
                <w:szCs w:val="24"/>
              </w:rPr>
            </w:pPr>
            <w:r>
              <w:rPr>
                <w:rStyle w:val="1022"/>
                <w:rFonts w:ascii="Times New Roman" w:hAnsi="Times New Roman"/>
                <w:color w:val="000000" w:themeColor="text1"/>
                <w:lang w:val="pt-BR"/>
              </w:rPr>
              <w:t xml:space="preserve">Số: </w:t>
            </w:r>
            <w:r>
              <w:rPr>
                <w:rStyle w:val="1022"/>
                <w:rFonts w:ascii="Times New Roman" w:hAnsi="Times New Roman"/>
                <w:color w:val="000000" w:themeColor="text1"/>
                <w:lang w:val="pt-BR"/>
              </w:rPr>
              <w:t xml:space="preserve">HSTD-20260618-0005/CT-VFI</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23"/>
              <w:pBdr/>
              <w:spacing w:after="60"/>
              <w:ind w:right="-56"/>
              <w:jc w:val="right"/>
              <w:rPr>
                <w:color w:val="000000" w:themeColor="text1"/>
                <w:sz w:val="24"/>
                <w:szCs w:val="24"/>
                <w:lang w:val="vi-VN"/>
              </w:rPr>
            </w:pPr>
            <w:r>
              <w:rPr>
                <w:rStyle w:val="1022"/>
                <w:rFonts w:ascii="Times New Roman" w:hAnsi="Times New Roman"/>
                <w:i/>
                <w:color w:val="auto"/>
              </w:rPr>
              <w:t xml:space="preserve">TP. Hà Nội</w:t>
            </w:r>
            <w:r>
              <w:rPr>
                <w:rStyle w:val="1022"/>
                <w:rFonts w:ascii="Times New Roman" w:hAnsi="Times New Roman"/>
                <w:i/>
                <w:color w:val="auto"/>
                <w:lang w:val="vi-VN"/>
              </w:rPr>
              <w:t xml:space="preserve">, </w:t>
            </w:r>
            <w:r>
              <w:rPr>
                <w:rStyle w:val="1022"/>
                <w:rFonts w:ascii="Times New Roman" w:hAnsi="Times New Roman"/>
                <w:i/>
                <w:color w:val="000000" w:themeColor="text1"/>
                <w:lang w:val="vi-VN"/>
              </w:rPr>
              <w:t xml:space="preserve">ngày 20 tháng 7 năm 2026</w:t>
            </w:r>
            <w:r>
              <w:rPr>
                <w:color w:val="000000" w:themeColor="text1"/>
                <w:sz w:val="24"/>
                <w:szCs w:val="24"/>
                <w:lang w:val="vi-VN"/>
              </w:rPr>
            </w:r>
            <w:r>
              <w:rPr>
                <w:color w:val="000000" w:themeColor="text1"/>
                <w:sz w:val="24"/>
                <w:szCs w:val="24"/>
                <w:lang w:val="vi-VN"/>
              </w:rPr>
            </w:r>
          </w:p>
        </w:tc>
      </w:tr>
    </w:tbl>
    <w:p>
      <w:pPr>
        <w:pStyle w:val="1023"/>
        <w:pBdr/>
        <w:spacing w:after="120" w:before="200" w:line="288" w:lineRule="auto"/>
        <w:ind/>
        <w:jc w:val="center"/>
        <w:rPr>
          <w:rStyle w:val="1022"/>
          <w:rFonts w:ascii="Times New Roman" w:hAnsi="Times New Roman"/>
          <w:b/>
          <w:bCs/>
          <w:color w:val="auto"/>
          <w:sz w:val="30"/>
          <w:szCs w:val="30"/>
          <w:lang w:val="vi-VN"/>
        </w:rPr>
      </w:pPr>
      <w:r>
        <w:rPr>
          <w:rStyle w:val="1022"/>
          <w:rFonts w:ascii="Times New Roman" w:hAnsi="Times New Roman"/>
          <w:b/>
          <w:bCs/>
          <w:color w:val="auto"/>
          <w:sz w:val="30"/>
          <w:szCs w:val="30"/>
          <w:lang w:val="vi-VN"/>
        </w:rPr>
        <w:t xml:space="preserve">CHỨNG THƯ THẨM ĐỊNH GIÁ</w:t>
      </w:r>
      <w:r>
        <w:rPr>
          <w:rStyle w:val="1022"/>
          <w:rFonts w:ascii="Times New Roman" w:hAnsi="Times New Roman"/>
          <w:b/>
          <w:bCs/>
          <w:color w:val="auto"/>
          <w:sz w:val="30"/>
          <w:szCs w:val="30"/>
          <w:lang w:val="vi-VN"/>
        </w:rPr>
      </w:r>
      <w:r>
        <w:rPr>
          <w:rStyle w:val="1022"/>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Chưa biết</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HSTD-20260618-0005/HĐTĐ-VFI</w:t>
      </w:r>
      <w:r>
        <w:rPr>
          <w:spacing w:val="-4"/>
          <w:lang w:val="vi-VN"/>
        </w:rPr>
        <w:t xml:space="preserve"> ký ngày </w:t>
      </w:r>
      <w:r>
        <w:rPr>
          <w:color w:val="000000" w:themeColor="text1"/>
          <w:spacing w:val="-4"/>
        </w:rPr>
        <w:t xml:space="preserve">22 tháng 6 năm 2026</w:t>
      </w:r>
      <w:r>
        <w:rPr>
          <w:spacing w:val="-4"/>
          <w:lang w:val="vi-VN"/>
        </w:rPr>
        <w:t xml:space="preserve"> </w:t>
      </w:r>
      <w:r>
        <w:rPr>
          <w:spacing w:val="-4"/>
          <w:lang w:val="vi-VN"/>
        </w:rPr>
        <w:t xml:space="preserve">giữa </w:t>
      </w:r>
      <w:r>
        <w:rPr>
          <w:color w:val="000000" w:themeColor="text1"/>
          <w:spacing w:val="-4"/>
        </w:rPr>
        <w:t xml:space="preserve">Chưa biết</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HSTD-20260618-0005/BC-VFI</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16 tháng 7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Chưa biết</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011111111111</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Số vào sổ cấp GCN AA 01695769 và CH 316143, Số thửa 456, Tờ bản đồ 7, Địa chỉ trên sổ tổ dân phố Sa Pa 5, phường Sa Pa, </w:t>
      </w:r>
      <w:r>
        <w:rPr>
          <w:color w:val="000000" w:themeColor="text1"/>
        </w:rPr>
        <w:t xml:space="preserve">tỉnh Lào Cai, Diện tích: Đất thương mại, dịch vụ (120 m2) | Tài sản tại: Thị trấn Sa Pa, Huyện Sa Pa, Tỉnh Lào Cai, khoảng cách ra đường chính 160m, độ rộng đường trước mặt tài sản 5m, đường đi chung, mặt tiền 36.86m, khu du lịch, 22.33775, 103.83911111111</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07/2026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07/2026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t xml:space="preserve">Số vào sổ cấp GCN AA 01695769 và CH 316143, Số thửa 456, Tờ bản đồ 7, Địa chỉ trên sổ tổ dân phố Sa Pa 5, phường Sa Pa, </w:t>
            </w:r>
            <w:r>
              <w:rPr>
                <w:color w:val="000000"/>
              </w:rPr>
              <w:t xml:space="preserve">tỉnh Lào Cai, Diện tích: Đất thương mại, dịch vụ (120 m2) | Tài sản tại: Thị trấn Sa Pa, Huyện Sa Pa, Tỉnh Lào Cai, khoảng cách ra đường chính 160m, độ rộng đường trước mặt tài sản 5m, đường đi chung, mặt tiền 36.86m, khu du lịch, 22.33775, 103.83911111111</w:t>
            </w:r>
            <w:r>
              <w:rPr>
                <w:b/>
                <w:bCs/>
              </w:rPr>
              <w:t xml:space="preserve">.</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pPr>
              <w:pBdr/>
              <w:spacing w:after="40" w:before="40" w:line="288" w:lineRule="auto"/>
              <w:ind/>
              <w:rPr/>
            </w:pPr>
            <w:r>
              <w:rPr>
                <w:b/>
                <w:bCs/>
              </w:rPr>
              <w:t xml:space="preserve">Đất thương mại, dịch vụ</w:t>
            </w: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120</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35.000.000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4.200.000.000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t xml:space="preserve">4.200.000.000</w:t>
            </w:r>
            <w:r>
              <w:rPr>
                <w:b/>
                <w:bCs/>
                <w:color w:val="000000"/>
              </w:rPr>
            </w:r>
            <w:r>
              <w:rPr>
                <w:b/>
                <w:bCs/>
                <w:color w:val="000000"/>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color w:val="000000"/>
              </w:rPr>
              <w:t xml:space="preserve">4.200.000.000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Bốn tỷ hai trăm triệu</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4"/>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23"/>
              <w:pBdr/>
              <w:spacing w:after="60"/>
              <w:ind/>
              <w:rPr>
                <w:color w:val="000000" w:themeColor="text1"/>
                <w:sz w:val="24"/>
                <w:szCs w:val="24"/>
              </w:rPr>
            </w:pPr>
            <w:r>
              <w:rPr>
                <w:rStyle w:val="1022"/>
                <w:rFonts w:ascii="Times New Roman" w:hAnsi="Times New Roman"/>
                <w:color w:val="000000" w:themeColor="text1"/>
                <w:lang w:val="pt-BR"/>
              </w:rPr>
              <w:t xml:space="preserve">Số: </w:t>
            </w:r>
            <w:r>
              <w:rPr>
                <w:rStyle w:val="1022"/>
                <w:rFonts w:ascii="Times New Roman" w:hAnsi="Times New Roman"/>
                <w:color w:val="000000" w:themeColor="text1"/>
                <w:lang w:val="pt-BR"/>
              </w:rPr>
              <w:t xml:space="preserve">HSTD-20260618-0005/CT-VFI</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1023"/>
              <w:pBdr/>
              <w:spacing w:after="60"/>
              <w:ind w:right="-56"/>
              <w:jc w:val="right"/>
              <w:rPr>
                <w:color w:val="000000" w:themeColor="text1"/>
                <w:sz w:val="24"/>
                <w:szCs w:val="24"/>
                <w:lang w:val="vi-VN"/>
              </w:rPr>
            </w:pPr>
            <w:r>
              <w:rPr>
                <w:rStyle w:val="1022"/>
                <w:rFonts w:ascii="Times New Roman" w:hAnsi="Times New Roman"/>
                <w:i/>
                <w:color w:val="auto"/>
              </w:rPr>
              <w:t xml:space="preserve">TP. Hà Nội</w:t>
            </w:r>
            <w:r>
              <w:rPr>
                <w:rStyle w:val="1022"/>
                <w:rFonts w:ascii="Times New Roman" w:hAnsi="Times New Roman"/>
                <w:i/>
                <w:color w:val="auto"/>
                <w:lang w:val="vi-VN"/>
              </w:rPr>
              <w:t xml:space="preserve">, </w:t>
            </w:r>
            <w:r>
              <w:rPr>
                <w:rStyle w:val="1022"/>
                <w:rFonts w:ascii="Times New Roman" w:hAnsi="Times New Roman"/>
                <w:i/>
                <w:color w:val="000000" w:themeColor="text1"/>
                <w:lang w:val="vi-VN"/>
              </w:rPr>
              <w:t xml:space="preserve">ngày 20 tháng 7 năm 2026</w:t>
            </w:r>
            <w:r>
              <w:rPr>
                <w:color w:val="000000" w:themeColor="text1"/>
                <w:sz w:val="24"/>
                <w:szCs w:val="24"/>
                <w:lang w:val="vi-VN"/>
              </w:rPr>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23"/>
              <w:pBdr/>
              <w:spacing w:after="60"/>
              <w:ind/>
              <w:rPr>
                <w:rStyle w:val="1022"/>
                <w:rFonts w:ascii="Times New Roman" w:hAnsi="Times New Roman"/>
                <w:color w:val="000000" w:themeColor="text1"/>
                <w:lang w:val="pt-BR"/>
              </w:rPr>
            </w:pPr>
            <w:r>
              <w:rPr>
                <w:rStyle w:val="1022"/>
                <w:rFonts w:ascii="Times New Roman" w:hAnsi="Times New Roman"/>
                <w:color w:val="000000" w:themeColor="text1"/>
                <w:lang w:val="pt-BR"/>
              </w:rPr>
            </w:r>
            <w:r>
              <w:rPr>
                <w:rStyle w:val="1022"/>
                <w:rFonts w:ascii="Times New Roman" w:hAnsi="Times New Roman"/>
                <w:color w:val="000000" w:themeColor="text1"/>
                <w:lang w:val="pt-BR"/>
              </w:rPr>
            </w:r>
            <w:r>
              <w:rPr>
                <w:rStyle w:val="1022"/>
                <w:rFonts w:ascii="Times New Roman" w:hAnsi="Times New Roman"/>
                <w:color w:val="000000" w:themeColor="text1"/>
                <w:lang w:val="pt-BR"/>
              </w:rPr>
            </w:r>
          </w:p>
        </w:tc>
        <w:tc>
          <w:tcPr>
            <w:shd w:val="clear" w:color="auto" w:fill="auto"/>
            <w:tcBorders/>
            <w:tcMar>
              <w:left w:w="108" w:type="dxa"/>
              <w:top w:w="0" w:type="dxa"/>
              <w:right w:w="108" w:type="dxa"/>
              <w:bottom w:w="0" w:type="dxa"/>
            </w:tcMar>
            <w:tcW w:w="5412" w:type="dxa"/>
            <w:textDirection w:val="lrTb"/>
            <w:noWrap w:val="false"/>
          </w:tcPr>
          <w:p>
            <w:pPr>
              <w:pStyle w:val="1023"/>
              <w:pBdr/>
              <w:spacing w:after="60"/>
              <w:ind w:right="-56"/>
              <w:rPr>
                <w:rStyle w:val="1022"/>
                <w:rFonts w:ascii="Times New Roman" w:hAnsi="Times New Roman"/>
                <w:i/>
                <w:color w:val="auto"/>
              </w:rPr>
            </w:pPr>
            <w:r>
              <w:rPr>
                <w:rFonts w:ascii="Times New Roman" w:hAnsi="Times New Roman"/>
                <w:i/>
                <w:color w:val="auto"/>
              </w:rPr>
            </w:r>
            <w:r>
              <w:rPr>
                <w:rStyle w:val="1022"/>
                <w:rFonts w:ascii="Times New Roman" w:hAnsi="Times New Roman"/>
                <w:i/>
                <w:color w:val="auto"/>
              </w:rPr>
            </w:r>
            <w:r>
              <w:rPr>
                <w:rStyle w:val="1022"/>
                <w:rFonts w:ascii="Times New Roman" w:hAnsi="Times New Roman"/>
                <w:i/>
                <w:color w:val="auto"/>
              </w:rPr>
            </w:r>
          </w:p>
        </w:tc>
      </w:tr>
    </w:tbl>
    <w:p>
      <w:pPr>
        <w:pStyle w:val="1023"/>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3"/>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HSTD-20260618-0005/CT-VFI</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20 tháng 7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3"/>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4"/>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Chưa biết</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t xml:space="preserve">011111111111</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Số vào sổ cấp GCN AA 01695769 và CH 316143, Số thửa 456, Tờ bản đồ 7, Địa chỉ trên sổ tổ dân phố Sa Pa 5, phường Sa Pa, </w:t>
            </w:r>
            <w:r>
              <w:rPr>
                <w:bCs/>
                <w:color w:val="000000" w:themeColor="text1"/>
                <w:lang w:val="pt-BR"/>
              </w:rPr>
              <w:t xml:space="preserve">tỉnh Lào Cai, Diện tích: Đất thương mại, dịch vụ (120 m2) | Tài sản tại: Thị trấn Sa Pa, Huyện Sa Pa, Tỉnh Lào Cai, khoảng cách ra đường chính 160m, độ rộng đường trước mặt tài sản 5m, đường đi chung, mặt tiền 36.86m, khu du lịch, 22.33775, 103.83911111111</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07/2026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tổ dân phố Sa Pa 5, phường Sa Pa, tỉnh Lào Cai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4"/>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22.33775, 103.83911111111</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07/2026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4"/>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4"/>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4"/>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4"/>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4"/>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4"/>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4"/>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4"/>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pPr>
        <w:pStyle w:val="1024"/>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24"/>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4"/>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4"/>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4"/>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Số vào sổ cấp GCN AA 01695769 và CH 316143, Số thửa 456, Tờ bản đồ 7, Địa chỉ trên sổ tổ dân phố Sa Pa 5, phường Sa Pa, </w:t>
      </w:r>
      <w:r>
        <w:rPr>
          <w:bCs/>
          <w:color w:val="000000" w:themeColor="text1"/>
          <w:lang w:val="pt-BR"/>
        </w:rPr>
        <w:t xml:space="preserve">tỉnh Lào Cai, Diện tích: Đất thương mại, dịch vụ (120 m2) | Tài sản tại: Thị trấn Sa Pa, Huyện Sa Pa, Tỉnh Lào Cai, khoảng cách ra đường chính 160m, độ rộng đường trước mặt tài sản 5m, đường đi chung, mặt tiền 36.86m, khu du lịch, 22.33775, 103.83911111111</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4"/>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HSTD-20260618-0005/HĐTĐ-VFI ngày 22/06/2026 giữa Công ty Cổ phần Kehin với Công ty Cổ phần Thẩm định và Đầu tư Tài chính Hoa Sen.</w:t>
      </w:r>
      <w:r>
        <w:rPr>
          <w:b/>
          <w:lang w:val="pt-BR"/>
        </w:rPr>
      </w:r>
      <w:r>
        <w:rPr>
          <w:b/>
          <w:lang w:val="pt-BR"/>
        </w:rPr>
      </w:r>
    </w:p>
    <w:p>
      <w:pPr>
        <w:pStyle w:val="1024"/>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Pr>
          <w:i/>
          <w:iCs/>
          <w:lang w:val="pt-BR"/>
        </w:rPr>
      </w:pPr>
      <w:r>
        <w:rPr>
          <w:lang w:val="pt-BR"/>
        </w:rPr>
        <w:tab/>
      </w:r>
      <w:r>
        <w:rPr>
          <w:i/>
          <w:iCs/>
          <w:lang w:val="pt-BR"/>
        </w:rPr>
      </w:r>
      <w:r>
        <w:rPr>
          <w:i/>
          <w:iCs/>
          <w:lang w:val="pt-BR"/>
        </w:rPr>
      </w:r>
    </w:p>
    <w:p>
      <w:pPr>
        <w:pStyle w:val="1024"/>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Số vào sổ cấp GCN AA 01695769 và CH 316143, Số thửa 456, Tờ bản đồ 7, Địa chỉ trên sổ tổ dân phố Sa Pa 5, phường Sa Pa, </w:t>
            </w:r>
            <w:r>
              <w:rPr>
                <w:b/>
                <w:bCs/>
                <w:color w:val="000000"/>
              </w:rPr>
              <w:t xml:space="preserve">tỉnh Lào Cai, Diện tích: Đất thương mại, dịch vụ (120 m2) | Tài sản tại: Thị trấn Sa Pa, Huyện Sa Pa, Tỉnh Lào Cai, khoảng cách ra đường chính 160m, độ rộng đường trước mặt tài sản 5m, đường đi chung, mặt tiền 36.86m, khu du lịch, 22.33775, 103.83911111111</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456</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7</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tổ dân phố Sa Pa 5, phường Sa Pa, tỉnh Lào Cai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120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 120 m2</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thương mại, dịch vụ</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3.5</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3.5</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ind/>
              <w:rPr>
                <w:color w:val="000000" w:themeColor="text1"/>
              </w:rPr>
            </w:pPr>
            <w:r/>
            <w:bookmarkStart w:id="3" w:name="OLE_LINK1"/>
            <w:r>
              <w:rPr>
                <w:color w:val="000000" w:themeColor="text1"/>
              </w:rPr>
            </w:r>
            <w:bookmarkEnd w:id="3"/>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22.33775</w:t>
            </w:r>
            <w:r>
              <w:rPr>
                <w:color w:val="000000"/>
              </w:rPr>
              <w:t xml:space="preserve">, </w:t>
            </w:r>
            <w:r>
              <w:rPr>
                <w:color w:val="000000"/>
              </w:rPr>
              <w:t xml:space="preserve">103.83911111111</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476750"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4476750"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52.50pt;height:200.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120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5.31</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10.75</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 Nam</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Không có lợi thế kinh doanh</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Khá</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r>
            <w:r>
              <w:rPr>
                <w:color w:val="000000"/>
              </w:rPr>
            </w:r>
            <w:r>
              <w:rPr>
                <w:color w:val="000000"/>
              </w:rPr>
            </w:r>
          </w:p>
        </w:tc>
      </w:tr>
    </w:tbl>
    <w:p>
      <w:pPr>
        <w:pBdr/>
        <w:spacing w:line="235" w:lineRule="auto"/>
        <w:ind w:left="646"/>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28"/>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 yếu tố</w:t>
            </w:r>
            <w:r>
              <w:rPr>
                <w:b/>
                <w:bCs/>
              </w:rPr>
            </w:r>
            <w:r>
              <w:rPr>
                <w:b/>
                <w:bCs/>
              </w:rPr>
            </w:r>
          </w:p>
        </w:tc>
        <w:tc>
          <w:tcPr>
            <w:tcBorders/>
            <w:tcW w:w="1560" w:type="dxa"/>
            <w:vAlign w:val="center"/>
            <w:textDirection w:val="lrTb"/>
            <w:noWrap w:val="false"/>
          </w:tcPr>
          <w:p>
            <w:pPr>
              <w:pBdr/>
              <w:spacing/>
              <w:ind/>
              <w:jc w:val="center"/>
              <w:rPr>
                <w:b/>
                <w:bCs/>
              </w:rPr>
            </w:pPr>
            <w:r>
              <w:rPr>
                <w:b/>
                <w:bCs/>
              </w:rPr>
              <w:t xml:space="preserve">Thông tin TSTĐ</w:t>
            </w:r>
            <w:r>
              <w:rPr>
                <w:b/>
                <w:bCs/>
              </w:rPr>
            </w:r>
            <w:r>
              <w:rPr>
                <w:b/>
                <w:bCs/>
              </w:rPr>
            </w:r>
          </w:p>
        </w:tc>
        <w:tc>
          <w:tcPr>
            <w:tcBorders/>
            <w:tcW w:w="1605" w:type="dxa"/>
            <w:vAlign w:val="center"/>
            <w:textDirection w:val="lrTb"/>
            <w:noWrap w:val="false"/>
          </w:tcPr>
          <w:p>
            <w:pPr>
              <w:pBdr/>
              <w:spacing/>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 lệch</w:t>
            </w:r>
            <w:r>
              <w:rPr>
                <w:b/>
                <w:bCs/>
              </w:rPr>
            </w:r>
            <w:r>
              <w:rPr>
                <w:b/>
                <w:bCs/>
              </w:rPr>
            </w:r>
          </w:p>
        </w:tc>
        <w:tc>
          <w:tcPr>
            <w:tcBorders/>
            <w:tcW w:w="2149" w:type="dxa"/>
            <w:vAlign w:val="center"/>
            <w:textDirection w:val="lrTb"/>
            <w:noWrap w:val="false"/>
          </w:tcPr>
          <w:p>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t xml:space="preserve">tổ dân phố Sa Pa 5, phường Sa Pa, tỉnh Lào Cai ✔</w:t>
            </w:r>
            <w:r/>
          </w:p>
        </w:tc>
        <w:tc>
          <w:tcPr>
            <w:tcBorders/>
            <w:tcW w:w="1605" w:type="dxa"/>
            <w:vAlign w:val="center"/>
            <w:textDirection w:val="lrTb"/>
            <w:noWrap w:val="false"/>
          </w:tcPr>
          <w:p>
            <w:pPr>
              <w:pBdr/>
              <w:spacing/>
              <w:ind/>
              <w:jc w:val="center"/>
              <w:rPr/>
            </w:pPr>
            <w:r>
              <w:t xml:space="preserve">Thị trấn Sa Pa, Huyện Sa Pa, Tỉnh Lào Cai</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Địa chỉ thực tế</w:t>
            </w:r>
            <w:r/>
          </w:p>
        </w:tc>
        <w:tc>
          <w:tcPr>
            <w:tcBorders/>
            <w:tcW w:w="1560" w:type="dxa"/>
            <w:vAlign w:val="center"/>
            <w:textDirection w:val="lrTb"/>
            <w:noWrap w:val="false"/>
          </w:tcPr>
          <w:p>
            <w:pPr>
              <w:pBdr/>
              <w:spacing/>
              <w:ind/>
              <w:jc w:val="center"/>
              <w:rPr/>
            </w:pPr>
            <w:r>
              <w:t xml:space="preserve">Thị trấn Sa Pa, Huyện Sa Pa, Tỉnh Lào Cai</w:t>
            </w:r>
            <w:r/>
          </w:p>
        </w:tc>
        <w:tc>
          <w:tcPr>
            <w:tcBorders/>
            <w:tcW w:w="1605" w:type="dxa"/>
            <w:vAlign w:val="center"/>
            <w:textDirection w:val="lrTb"/>
            <w:noWrap w:val="false"/>
          </w:tcPr>
          <w:p>
            <w:pPr>
              <w:pBdr/>
              <w:spacing/>
              <w:ind/>
              <w:jc w:val="center"/>
              <w:rPr/>
            </w:pPr>
            <w:r>
              <w:t xml:space="preserve">Thị trấn Sa Pa, Huyện Sa Pa, Tỉnh Lào Cai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thương mại, dịch vụ</w:t>
            </w:r>
            <w:r/>
          </w:p>
        </w:tc>
        <w:tc>
          <w:tcPr>
            <w:tcBorders/>
            <w:tcW w:w="1605" w:type="dxa"/>
            <w:vAlign w:val="center"/>
            <w:textDirection w:val="lrTb"/>
            <w:noWrap w:val="false"/>
          </w:tcPr>
          <w:p>
            <w:pPr>
              <w:pBdr/>
              <w:spacing/>
              <w:ind/>
              <w:jc w:val="center"/>
              <w:rPr/>
            </w:pPr>
            <w:r>
              <w:t xml:space="preserve">Đất thương mại, dịch vụ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Vị trí</w:t>
            </w:r>
            <w:r/>
          </w:p>
        </w:tc>
        <w:tc>
          <w:tcPr>
            <w:tcBorders/>
            <w:tcW w:w="1560" w:type="dxa"/>
            <w:vAlign w:val="center"/>
            <w:textDirection w:val="lrTb"/>
            <w:noWrap w:val="false"/>
          </w:tcPr>
          <w:p>
            <w:pPr>
              <w:pBdr/>
              <w:spacing/>
              <w:ind/>
              <w:jc w:val="center"/>
              <w:rPr/>
            </w:pPr>
            <w:r>
              <w:t xml:space="preserve">VT3</w:t>
            </w:r>
            <w:r/>
          </w:p>
        </w:tc>
        <w:tc>
          <w:tcPr>
            <w:tcBorders/>
            <w:tcW w:w="1605" w:type="dxa"/>
            <w:vAlign w:val="center"/>
            <w:textDirection w:val="lrTb"/>
            <w:noWrap w:val="false"/>
          </w:tcPr>
          <w:p>
            <w:pPr>
              <w:pBdr/>
              <w:spacing/>
              <w:ind/>
              <w:jc w:val="center"/>
              <w:rPr/>
            </w:pPr>
            <w:r>
              <w:t xml:space="preserve">VT4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Kết cấu mặt đường</w:t>
            </w:r>
            <w:r/>
          </w:p>
        </w:tc>
        <w:tc>
          <w:tcPr>
            <w:tcBorders/>
            <w:tcW w:w="1560" w:type="dxa"/>
            <w:vAlign w:val="center"/>
            <w:textDirection w:val="lrTb"/>
            <w:noWrap w:val="false"/>
          </w:tcPr>
          <w:p>
            <w:pPr>
              <w:pBdr/>
              <w:spacing/>
              <w:ind/>
              <w:jc w:val="center"/>
              <w:rPr/>
            </w:pPr>
            <w:r>
              <w:t xml:space="preserve">Đường đất</w:t>
            </w:r>
            <w:r/>
          </w:p>
        </w:tc>
        <w:tc>
          <w:tcPr>
            <w:tcBorders/>
            <w:tcW w:w="1605" w:type="dxa"/>
            <w:vAlign w:val="center"/>
            <w:textDirection w:val="lrTb"/>
            <w:noWrap w:val="false"/>
          </w:tcPr>
          <w:p>
            <w:pPr>
              <w:pBdr/>
              <w:spacing/>
              <w:ind/>
              <w:jc w:val="center"/>
              <w:rPr/>
            </w:pPr>
            <w:r>
              <w:t xml:space="preserve">Đường bê tông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cắt đường trước nhà</w:t>
            </w:r>
            <w:r/>
          </w:p>
        </w:tc>
        <w:tc>
          <w:tcPr>
            <w:tcBorders/>
            <w:tcW w:w="1560" w:type="dxa"/>
            <w:vAlign w:val="center"/>
            <w:textDirection w:val="lrTb"/>
            <w:noWrap w:val="false"/>
          </w:tcPr>
          <w:p>
            <w:pPr>
              <w:pBdr/>
              <w:spacing/>
              <w:ind/>
              <w:jc w:val="center"/>
              <w:rPr/>
            </w:pPr>
            <w:r>
              <w:t xml:space="preserve">5</w:t>
            </w:r>
            <w:r/>
          </w:p>
        </w:tc>
        <w:tc>
          <w:tcPr>
            <w:tcBorders/>
            <w:tcW w:w="1605" w:type="dxa"/>
            <w:vAlign w:val="center"/>
            <w:textDirection w:val="lrTb"/>
            <w:noWrap w:val="false"/>
          </w:tcPr>
          <w:p>
            <w:pPr>
              <w:pBdr/>
              <w:spacing/>
              <w:ind/>
              <w:jc w:val="center"/>
              <w:rPr/>
            </w:pPr>
            <w:r>
              <w:t xml:space="preserve">3.5 ✔</w:t>
            </w:r>
            <w:r/>
          </w:p>
        </w:tc>
        <w:tc>
          <w:tcPr>
            <w:tcBorders/>
            <w:tcW w:w="1371" w:type="dxa"/>
            <w:vAlign w:val="center"/>
            <w:textDirection w:val="lrTb"/>
            <w:noWrap w:val="false"/>
          </w:tcPr>
          <w:p>
            <w:pPr>
              <w:pBdr/>
              <w:spacing/>
              <w:ind/>
              <w:jc w:val="center"/>
              <w:rPr/>
            </w:pPr>
            <w:r>
              <w:t xml:space="preserve">-1.5</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Cơ sở hạ tầng kỹ thuật</w:t>
            </w:r>
            <w:r/>
          </w:p>
        </w:tc>
        <w:tc>
          <w:tcPr>
            <w:tcBorders/>
            <w:tcW w:w="1560" w:type="dxa"/>
            <w:vAlign w:val="center"/>
            <w:textDirection w:val="lrTb"/>
            <w:noWrap w:val="false"/>
          </w:tcPr>
          <w:p>
            <w:pPr>
              <w:pBdr/>
              <w:spacing/>
              <w:ind/>
              <w:jc w:val="center"/>
              <w:rPr/>
            </w:pPr>
            <w:r>
              <w:t xml:space="preserve">Hạ tầng khu dân cư thông thường</w:t>
            </w:r>
            <w:r/>
          </w:p>
        </w:tc>
        <w:tc>
          <w:tcPr>
            <w:tcBorders/>
            <w:tcW w:w="1605" w:type="dxa"/>
            <w:vAlign w:val="center"/>
            <w:textDirection w:val="lrTb"/>
            <w:noWrap w:val="false"/>
          </w:tcPr>
          <w:p>
            <w:pPr>
              <w:pBdr/>
              <w:spacing/>
              <w:ind/>
              <w:jc w:val="center"/>
              <w:rPr/>
            </w:pPr>
            <w:r>
              <w:t xml:space="preserve">Hạ tầng khu dân cư thông thường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Môi trường, an ninh</w:t>
            </w:r>
            <w:r/>
          </w:p>
        </w:tc>
        <w:tc>
          <w:tcPr>
            <w:tcBorders/>
            <w:tcW w:w="1560" w:type="dxa"/>
            <w:vAlign w:val="center"/>
            <w:textDirection w:val="lrTb"/>
            <w:noWrap w:val="false"/>
          </w:tcPr>
          <w:p>
            <w:pPr>
              <w:pBdr/>
              <w:spacing/>
              <w:ind/>
              <w:jc w:val="center"/>
              <w:rPr/>
            </w:pPr>
            <w:r>
              <w:t xml:space="preserve">Khá</w:t>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11</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120</w:t>
            </w:r>
            <w:r/>
          </w:p>
        </w:tc>
        <w:tc>
          <w:tcPr>
            <w:tcBorders/>
            <w:tcW w:w="1605" w:type="dxa"/>
            <w:vAlign w:val="center"/>
            <w:textDirection w:val="lrTb"/>
            <w:noWrap w:val="false"/>
          </w:tcPr>
          <w:p>
            <w:pPr>
              <w:pBdr/>
              <w:spacing/>
              <w:ind/>
              <w:jc w:val="center"/>
              <w:rPr/>
            </w:pPr>
            <w:r>
              <w:t xml:space="preserve">120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12</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0</w:t>
            </w:r>
            <w:r/>
          </w:p>
        </w:tc>
        <w:tc>
          <w:tcPr>
            <w:tcBorders/>
            <w:tcW w:w="1605" w:type="dxa"/>
            <w:vAlign w:val="center"/>
            <w:textDirection w:val="lrTb"/>
            <w:noWrap w:val="false"/>
          </w:tcPr>
          <w:p>
            <w:pPr>
              <w:pBdr/>
              <w:spacing/>
              <w:ind/>
              <w:jc w:val="center"/>
              <w:rPr/>
            </w:pPr>
            <w:r>
              <w:t xml:space="preserve">5.31 ✔</w:t>
            </w:r>
            <w:r/>
          </w:p>
        </w:tc>
        <w:tc>
          <w:tcPr>
            <w:tcBorders/>
            <w:tcW w:w="1371" w:type="dxa"/>
            <w:vAlign w:val="center"/>
            <w:textDirection w:val="lrTb"/>
            <w:noWrap w:val="false"/>
          </w:tcPr>
          <w:p>
            <w:pPr>
              <w:pBdr/>
              <w:spacing/>
              <w:ind/>
              <w:jc w:val="center"/>
              <w:rPr/>
            </w:pPr>
            <w:r>
              <w:t xml:space="preserve">5.3</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13</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t xml:space="preserve">0</w:t>
            </w:r>
            <w:r/>
          </w:p>
        </w:tc>
        <w:tc>
          <w:tcPr>
            <w:tcBorders/>
            <w:tcW w:w="1605" w:type="dxa"/>
            <w:vAlign w:val="center"/>
            <w:textDirection w:val="lrTb"/>
            <w:noWrap w:val="false"/>
          </w:tcPr>
          <w:p>
            <w:pPr>
              <w:pBdr/>
              <w:spacing/>
              <w:ind/>
              <w:jc w:val="center"/>
              <w:rPr/>
            </w:pPr>
            <w:r>
              <w:t xml:space="preserve">10.75 ✔</w:t>
            </w:r>
            <w:r/>
          </w:p>
        </w:tc>
        <w:tc>
          <w:tcPr>
            <w:tcBorders/>
            <w:tcW w:w="1371" w:type="dxa"/>
            <w:vAlign w:val="center"/>
            <w:textDirection w:val="lrTb"/>
            <w:noWrap w:val="false"/>
          </w:tcPr>
          <w:p>
            <w:pPr>
              <w:pBdr/>
              <w:spacing/>
              <w:ind/>
              <w:jc w:val="center"/>
              <w:rPr/>
            </w:pPr>
            <w:r>
              <w:t xml:space="preserve">5.4</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14</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1 mặt tiền</w:t>
            </w:r>
            <w:r/>
          </w:p>
        </w:tc>
        <w:tc>
          <w:tcPr>
            <w:tcBorders/>
            <w:tcW w:w="1605" w:type="dxa"/>
            <w:vAlign w:val="center"/>
            <w:textDirection w:val="lrTb"/>
            <w:noWrap w:val="false"/>
          </w:tcPr>
          <w:p>
            <w:pPr>
              <w:pBdr/>
              <w:spacing/>
              <w:ind/>
              <w:jc w:val="center"/>
              <w:rPr/>
            </w:pPr>
            <w:r>
              <w:t xml:space="preserve">Tiếp giáp 1 mặt tiền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15</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Hình chữ nhật</w:t>
            </w:r>
            <w:r/>
          </w:p>
        </w:tc>
        <w:tc>
          <w:tcPr>
            <w:tcBorders/>
            <w:tcW w:w="1605" w:type="dxa"/>
            <w:vAlign w:val="center"/>
            <w:textDirection w:val="lrTb"/>
            <w:noWrap w:val="false"/>
          </w:tcPr>
          <w:p>
            <w:pPr>
              <w:pBdr/>
              <w:spacing/>
              <w:ind/>
              <w:jc w:val="center"/>
              <w:rPr/>
            </w:pPr>
            <w:r>
              <w:t xml:space="preserve">Hình chữ nhật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16</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Tây Nam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17</w:t>
            </w:r>
            <w:r/>
          </w:p>
        </w:tc>
        <w:tc>
          <w:tcPr>
            <w:tcBorders/>
            <w:tcW w:w="1663" w:type="dxa"/>
            <w:vAlign w:val="center"/>
            <w:textDirection w:val="lrTb"/>
            <w:noWrap w:val="false"/>
          </w:tcPr>
          <w:p>
            <w:pPr>
              <w:pBdr/>
              <w:spacing/>
              <w:ind/>
              <w:jc w:val="center"/>
              <w:rPr/>
            </w:pPr>
            <w:r>
              <w:t xml:space="preserve">Cảnh quan</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View khu dân cư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18</w:t>
            </w:r>
            <w:r/>
          </w:p>
        </w:tc>
        <w:tc>
          <w:tcPr>
            <w:tcBorders/>
            <w:tcW w:w="1663" w:type="dxa"/>
            <w:vAlign w:val="center"/>
            <w:textDirection w:val="lrTb"/>
            <w:noWrap w:val="false"/>
          </w:tcPr>
          <w:p>
            <w:pPr>
              <w:pBdr/>
              <w:spacing/>
              <w:ind/>
              <w:jc w:val="center"/>
              <w:rPr/>
            </w:pPr>
            <w:r>
              <w:t xml:space="preserve">Lợi thế kinh doanh</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Không có lợi thế kinh doanh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19</w:t>
            </w:r>
            <w:r/>
          </w:p>
        </w:tc>
        <w:tc>
          <w:tcPr>
            <w:tcBorders/>
            <w:tcW w:w="1663" w:type="dxa"/>
            <w:vAlign w:val="center"/>
            <w:textDirection w:val="lrTb"/>
            <w:noWrap w:val="false"/>
          </w:tcPr>
          <w:p>
            <w:pPr>
              <w:pBdr/>
              <w:spacing/>
              <w:ind/>
              <w:jc w:val="center"/>
              <w:rPr/>
            </w:pPr>
            <w:r>
              <w:t xml:space="preserve">Khả năng chuyển nhượng</w:t>
            </w:r>
            <w:r/>
          </w:p>
        </w:tc>
        <w:tc>
          <w:tcPr>
            <w:tcBorders/>
            <w:tcW w:w="1560" w:type="dxa"/>
            <w:vAlign w:val="center"/>
            <w:textDirection w:val="lrTb"/>
            <w:noWrap w:val="false"/>
          </w:tcPr>
          <w:p>
            <w:pPr>
              <w:pBdr/>
              <w:spacing/>
              <w:ind/>
              <w:jc w:val="center"/>
              <w:rPr/>
            </w:pPr>
            <w:r>
              <w:t xml:space="preserve">Khá ✔</w:t>
            </w:r>
            <w:r/>
          </w:p>
        </w:tc>
        <w:tc>
          <w:tcPr>
            <w:tcBorders/>
            <w:tcW w:w="1605" w:type="dxa"/>
            <w:vAlign w:val="center"/>
            <w:textDirection w:val="lrTb"/>
            <w:noWrap w:val="false"/>
          </w:tcPr>
          <w:p>
            <w:pPr>
              <w:pBdr/>
              <w:spacing/>
              <w:ind/>
              <w:jc w:val="center"/>
              <w:rPr/>
            </w:pPr>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4"/>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4"/>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4"/>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4"/>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4"/>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4"/>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4"/>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4"/>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24"/>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1024"/>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4"/>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4"/>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 và </w:t>
      </w:r>
      <w:r>
        <w:rPr>
          <w:spacing w:val="-4"/>
          <w:lang w:val="pt-BR"/>
        </w:rPr>
        <w:t xml:space="preserve">tài sản thẩm định</w:t>
      </w:r>
      <w:r>
        <w:rPr>
          <w:spacing w:val="-2"/>
          <w:lang w:val="pt-BR"/>
        </w:rPr>
        <w:t xml:space="preserve">.</w:t>
      </w:r>
      <w:r>
        <w:rPr>
          <w:lang w:val="de-DE"/>
        </w:rPr>
      </w:r>
      <w:r>
        <w:rPr>
          <w:lang w:val="de-DE"/>
        </w:rPr>
      </w:r>
    </w:p>
    <w:p>
      <w:pPr>
        <w:pStyle w:val="1024"/>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4"/>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4"/>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4"/>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Style w:val="1028"/>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37"/>
        <w:gridCol w:w="1984"/>
        <w:gridCol w:w="1701"/>
        <w:gridCol w:w="1701"/>
        <w:gridCol w:w="1701"/>
        <w:gridCol w:w="1701"/>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ĐẶC ĐIỂM BĐS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TSTĐ</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TSSS1</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TSSS2</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TSSS3</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A</w:t>
            </w:r>
            <w:r/>
          </w:p>
        </w:tc>
        <w:tc>
          <w:tcPr>
            <w:tcBorders>
              <w:bottom w:val="single" w:color="000000" w:sz="8" w:space="0"/>
              <w:right w:val="single" w:color="000000" w:sz="8" w:space="0"/>
            </w:tcBorders>
            <w:tcMar>
              <w:left w:w="108" w:type="dxa"/>
              <w:top w:w="0" w:type="dxa"/>
              <w:right w:w="108" w:type="dxa"/>
              <w:bottom w:w="0" w:type="dxa"/>
            </w:tcMar>
            <w:tcW w:w="198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Thông tin về tài sản</w:t>
            </w:r>
            <w:r/>
          </w:p>
        </w:tc>
        <w:tc>
          <w:tcPr>
            <w:tcBorders>
              <w:bottom w:val="single" w:color="000000" w:sz="8" w:space="0"/>
              <w:right w:val="single" w:color="000000" w:sz="8" w:space="0"/>
            </w:tcBorders>
            <w:tcMar>
              <w:left w:w="108" w:type="dxa"/>
              <w:top w:w="0" w:type="dxa"/>
              <w:right w:w="108" w:type="dxa"/>
              <w:bottom w:w="0" w:type="dxa"/>
            </w:tcMar>
            <w:tcW w:w="170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Địa chỉ</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Phường Sa Pa, Tỉnh Lào Cai</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Phường Sa Pa, Tỉnh Lào Cai</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Phường Sa Pa, Tỉnh Lào Cai</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Phường Sa Pa, Tỉnh Lào Cai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https://batdongsan.com.vn/ban-dat-duong-nguyen-chi-thanh-phuong-sa-pa_1-409/ban-at-tai-60-trieu-m2-203-m2-mat-tien-18m-pr45770090</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Liên hệ trực tiếp</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https://www.facebook.com/groups/2149648815086927/permalink/27229879579970504/</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Thông tin liên lạc</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0566281888 </w:t>
              <w:br/>
              <w:t xml:space="preserve"> (Nguyễn Dũng)</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0325233123</w:t>
              <w:br/>
              <w:t xml:space="preserve"> (Sung Chang)</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0969 778 163</w:t>
              <w:br/>
              <w:t xml:space="preserve"> (Anh Toàn)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Đang giao dịch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Đang giao dịch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Đang giao dịch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07/2026</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07/2026</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07/2026</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đô thị</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đô thị</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đô thị</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đô thị</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hạn sử dụng đất</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Cách đường Điện Biên Phủ khoảng 130m. Cách nhà thờ đá khoảng 1,0km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Cách đường Điện Biên Phủ khoảng 600m. Cách nhà thờ đá khoảng 800m</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Cách đường Điện Biên Phủ khoảng 130m. Cách nhà thờ đá khoảng 800m</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Cách đường điện biên phủ khoảng 50m. Cách nhà thờ đá khoảng 1,7km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Giao thông</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bê tông</w:t>
            </w:r>
            <w:r/>
            <w:r>
              <w:rPr>
                <w:rFonts w:ascii="Times New Roman" w:hAnsi="Times New Roman" w:eastAsia="Times New Roman" w:cs="Times New Roman"/>
                <w:sz w:val="24"/>
                <w:szCs w:val="24"/>
              </w:rPr>
            </w:r>
            <w:r>
              <w:rPr>
                <w:rFonts w:ascii="Times New Roman" w:hAnsi="Times New Roman" w:eastAsia="Times New Roman" w:cs="Times New Roman"/>
                <w:sz w:val="24"/>
                <w:szCs w:val="24"/>
              </w:rPr>
            </w:r>
            <w:r>
              <w:rPr>
                <w:rFonts w:ascii="Times New Roman" w:hAnsi="Times New Roman" w:eastAsia="Times New Roman" w:cs="Times New Roman"/>
                <w:sz w:val="24"/>
              </w:rP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ind/>
              <w:rPr/>
            </w:pPr>
            <w:r/>
            <w:r>
              <w:rPr>
                <w:rFonts w:ascii="Times New Roman" w:hAnsi="Times New Roman" w:eastAsia="Times New Roman" w:cs="Times New Roman"/>
                <w:color w:val="000000"/>
                <w:sz w:val="22"/>
              </w:rPr>
              <w:t xml:space="preserve">Đường bê tông</w:t>
            </w:r>
            <w:r>
              <w:rPr>
                <w:rFonts w:ascii="Times New Roman" w:hAnsi="Times New Roman" w:eastAsia="Times New Roman" w:cs="Times New Roman"/>
                <w:sz w:val="24"/>
              </w:rPr>
            </w:r>
            <w:r>
              <w:rPr>
                <w:rFonts w:ascii="Times New Roman" w:hAnsi="Times New Roman" w:eastAsia="Times New Roman" w:cs="Times New Roman"/>
                <w:sz w:val="24"/>
              </w:rPr>
            </w:r>
            <w:r>
              <w:rPr>
                <w:rFonts w:ascii="Times New Roman" w:hAnsi="Times New Roman" w:eastAsia="Times New Roman" w:cs="Times New Roman"/>
                <w:sz w:val="24"/>
              </w:rPr>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ind/>
              <w:rPr/>
            </w:pPr>
            <w:r/>
            <w:r>
              <w:rPr>
                <w:rFonts w:ascii="Times New Roman" w:hAnsi="Times New Roman" w:eastAsia="Times New Roman" w:cs="Times New Roman"/>
                <w:color w:val="000000"/>
                <w:sz w:val="22"/>
              </w:rPr>
              <w:t xml:space="preserve">Đường bê tông</w:t>
            </w:r>
            <w:r>
              <w:rPr>
                <w:rFonts w:ascii="Times New Roman" w:hAnsi="Times New Roman" w:eastAsia="Times New Roman" w:cs="Times New Roman"/>
                <w:sz w:val="24"/>
              </w:rPr>
            </w:r>
            <w:r>
              <w:rPr>
                <w:rFonts w:ascii="Times New Roman" w:hAnsi="Times New Roman" w:eastAsia="Times New Roman" w:cs="Times New Roman"/>
                <w:sz w:val="24"/>
              </w:rPr>
            </w:r>
            <w:r>
              <w:rPr>
                <w:rFonts w:ascii="Times New Roman" w:hAnsi="Times New Roman" w:eastAsia="Times New Roman" w:cs="Times New Roman"/>
                <w:sz w:val="24"/>
              </w:rPr>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ind/>
              <w:rPr/>
            </w:pPr>
            <w:r/>
            <w:r>
              <w:rPr>
                <w:rFonts w:ascii="Times New Roman" w:hAnsi="Times New Roman" w:eastAsia="Times New Roman" w:cs="Times New Roman"/>
                <w:color w:val="000000"/>
                <w:sz w:val="22"/>
              </w:rPr>
              <w:t xml:space="preserve">Đường bê tông</w:t>
            </w:r>
            <w:r>
              <w:rPr>
                <w:rFonts w:ascii="Times New Roman" w:hAnsi="Times New Roman" w:eastAsia="Times New Roman" w:cs="Times New Roman"/>
                <w:sz w:val="24"/>
              </w:rPr>
            </w:r>
            <w:r>
              <w:rPr>
                <w:rFonts w:ascii="Times New Roman" w:hAnsi="Times New Roman" w:eastAsia="Times New Roman" w:cs="Times New Roman"/>
                <w:sz w:val="24"/>
              </w:rPr>
            </w:r>
            <w:r>
              <w:rPr>
                <w:rFonts w:ascii="Times New Roman" w:hAnsi="Times New Roman" w:eastAsia="Times New Roman" w:cs="Times New Roman"/>
                <w:sz w:val="24"/>
              </w:rPr>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Độ rộng đường trước tài sản (m)</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3,5</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3,5</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Cơ sở hạ tầng kỹ thuật</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Hạ tầng khu dân cư thông thường</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Hạ tầng khu dân cư thông thường</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Hạ tầng khu dân cư thông thường</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Hạ tầng khu dân cư thông thường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môi trường an ninh</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Khá</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Khá</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Khá</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Khá</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đất (m²)</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120</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203,3</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136,3</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9,71</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9,35</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Nằm trong thửa đất TMDV cùng chủ sử dụng đất </w:t>
            </w:r>
            <w:r>
              <w:rPr>
                <w:rFonts w:ascii="Times New Roman" w:hAnsi="Times New Roman" w:eastAsia="Times New Roman" w:cs="Times New Roman"/>
                <w:sz w:val="24"/>
              </w:rPr>
            </w:r>
            <w:r>
              <w:rPr>
                <w:rFonts w:ascii="Times New Roman" w:hAnsi="Times New Roman" w:eastAsia="Times New Roman" w:cs="Times New Roman"/>
                <w:sz w:val="24"/>
              </w:rPr>
            </w:r>
            <w:r>
              <w:rPr>
                <w:rFonts w:ascii="Times New Roman" w:hAnsi="Times New Roman" w:eastAsia="Times New Roman" w:cs="Times New Roman"/>
                <w:color w:val="000000"/>
                <w:sz w:val="22"/>
              </w:rPr>
            </w:r>
            <w:r/>
            <w:r>
              <w:rPr>
                <w:rFonts w:ascii="Times New Roman" w:hAnsi="Times New Roman" w:eastAsia="Times New Roman" w:cs="Times New Roman"/>
                <w:sz w:val="24"/>
              </w:rP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Tiếp giáp 1 mặt tiền tiếp giáp đường</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ind/>
              <w:jc w:val="center"/>
              <w:rPr/>
            </w:pPr>
            <w:r/>
            <w:r>
              <w:rPr>
                <w:rFonts w:ascii="Times New Roman" w:hAnsi="Times New Roman" w:eastAsia="Times New Roman" w:cs="Times New Roman"/>
                <w:color w:val="000000"/>
                <w:sz w:val="22"/>
              </w:rPr>
              <w:t xml:space="preserve">Tiếp giáp 1 mặt tiền tiếp giáp đường</w:t>
            </w:r>
            <w:r>
              <w:rPr>
                <w:rFonts w:ascii="Times New Roman" w:hAnsi="Times New Roman" w:eastAsia="Times New Roman" w:cs="Times New Roman"/>
                <w:sz w:val="24"/>
              </w:rPr>
            </w:r>
            <w:r>
              <w:rPr>
                <w:rFonts w:ascii="Times New Roman" w:hAnsi="Times New Roman" w:eastAsia="Times New Roman" w:cs="Times New Roman"/>
                <w:sz w:val="24"/>
              </w:rPr>
            </w:r>
            <w:r>
              <w:rPr>
                <w:rFonts w:ascii="Times New Roman" w:hAnsi="Times New Roman" w:eastAsia="Times New Roman" w:cs="Times New Roman"/>
                <w:sz w:val="24"/>
              </w:rPr>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ind/>
              <w:jc w:val="center"/>
              <w:rPr/>
            </w:pPr>
            <w:r/>
            <w:r>
              <w:rPr>
                <w:rFonts w:ascii="Times New Roman" w:hAnsi="Times New Roman" w:eastAsia="Times New Roman" w:cs="Times New Roman"/>
                <w:color w:val="000000"/>
                <w:sz w:val="22"/>
              </w:rPr>
              <w:t xml:space="preserve">Tiếp giáp 1 mặt tiền tiếp giáp đường</w:t>
            </w:r>
            <w:r>
              <w:rPr>
                <w:rFonts w:ascii="Times New Roman" w:hAnsi="Times New Roman" w:eastAsia="Times New Roman" w:cs="Times New Roman"/>
                <w:sz w:val="24"/>
              </w:rPr>
            </w:r>
            <w:r>
              <w:rPr>
                <w:rFonts w:ascii="Times New Roman" w:hAnsi="Times New Roman" w:eastAsia="Times New Roman" w:cs="Times New Roman"/>
                <w:sz w:val="24"/>
              </w:rPr>
            </w:r>
            <w:r>
              <w:rPr>
                <w:rFonts w:ascii="Times New Roman" w:hAnsi="Times New Roman" w:eastAsia="Times New Roman" w:cs="Times New Roman"/>
                <w:sz w:val="24"/>
              </w:rPr>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Hình chữ nhật</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Đa giác khác</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đối vuông vức</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Hình chữ nhật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Hiện trạng môi trường</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Bình thường</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Bình thường</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Bình thường</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Bình thường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18</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Khả năng chuyển nhượng</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Khá</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Khá</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Khá</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Khá</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19</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Tài sản trên đất</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trống</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trống</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trống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20</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12.198.000.000</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6.800.000.000</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6.300.000.000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21</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thương lượng/bán (đồng)</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10.978.200.000</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6.120.000.000</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5.670.000.000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B</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Chi tiết tính toán</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Giá trị tài sản trên đất (đồng)</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Giá trị đất (đồng)</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10.978.200.000</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6.120.000.000</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5.670.000.000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Đơn giá QSDĐ (đồng/m²)</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54.000.000</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44.900.954</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47.250.000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C</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NHẬN XÉT</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hạn sử dụng đất</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16"/>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ind/>
              <w:jc w:val="center"/>
              <w:rPr/>
            </w:pPr>
            <w:r/>
            <w:r>
              <w:rPr>
                <w:rFonts w:ascii="Times New Roman" w:hAnsi="Times New Roman" w:eastAsia="Times New Roman" w:cs="Times New Roman"/>
                <w:color w:val="000000"/>
                <w:sz w:val="22"/>
              </w:rPr>
              <w:t xml:space="preserve">Lợi thế hơn</w:t>
            </w:r>
            <w:r>
              <w:rPr>
                <w:rFonts w:ascii="Times New Roman" w:hAnsi="Times New Roman" w:eastAsia="Times New Roman" w:cs="Times New Roman"/>
                <w:sz w:val="24"/>
              </w:rPr>
            </w:r>
            <w:r>
              <w:rPr>
                <w:rFonts w:ascii="Times New Roman" w:hAnsi="Times New Roman" w:eastAsia="Times New Roman" w:cs="Times New Roman"/>
                <w:sz w:val="24"/>
              </w:rPr>
            </w:r>
            <w:r>
              <w:rPr>
                <w:rFonts w:ascii="Times New Roman" w:hAnsi="Times New Roman" w:eastAsia="Times New Roman" w:cs="Times New Roman"/>
                <w:sz w:val="24"/>
              </w:rPr>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ind/>
              <w:jc w:val="center"/>
              <w:rPr/>
            </w:pPr>
            <w:r/>
            <w:r>
              <w:rPr>
                <w:rFonts w:ascii="Times New Roman" w:hAnsi="Times New Roman" w:eastAsia="Times New Roman" w:cs="Times New Roman"/>
                <w:color w:val="000000"/>
                <w:sz w:val="22"/>
              </w:rPr>
              <w:t xml:space="preserve">Lợi thế hơn</w:t>
            </w:r>
            <w:r>
              <w:rPr>
                <w:rFonts w:ascii="Times New Roman" w:hAnsi="Times New Roman" w:eastAsia="Times New Roman" w:cs="Times New Roman"/>
                <w:sz w:val="24"/>
              </w:rPr>
            </w:r>
            <w:r>
              <w:rPr>
                <w:rFonts w:ascii="Times New Roman" w:hAnsi="Times New Roman" w:eastAsia="Times New Roman" w:cs="Times New Roman"/>
                <w:sz w:val="24"/>
              </w:rPr>
            </w:r>
            <w:r>
              <w:rPr>
                <w:rFonts w:ascii="Times New Roman" w:hAnsi="Times New Roman" w:eastAsia="Times New Roman" w:cs="Times New Roman"/>
                <w:sz w:val="24"/>
              </w:rPr>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Giao thông</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Tương đồng</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Tương đồng</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Tương đồng</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Độ rộng đường trước tài sản (m)</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đất (m²)</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ind/>
              <w:jc w:val="center"/>
              <w:rPr/>
            </w:pPr>
            <w:r/>
            <w:r>
              <w:rPr>
                <w:rFonts w:ascii="Times New Roman" w:hAnsi="Times New Roman" w:eastAsia="Times New Roman" w:cs="Times New Roman"/>
                <w:color w:val="000000"/>
                <w:sz w:val="22"/>
              </w:rPr>
              <w:t xml:space="preserve">Lợi thế hơn</w:t>
            </w:r>
            <w:r>
              <w:rPr>
                <w:rFonts w:ascii="Times New Roman" w:hAnsi="Times New Roman" w:eastAsia="Times New Roman" w:cs="Times New Roman"/>
                <w:sz w:val="24"/>
              </w:rPr>
            </w:r>
            <w:r>
              <w:rPr>
                <w:rFonts w:ascii="Times New Roman" w:hAnsi="Times New Roman" w:eastAsia="Times New Roman" w:cs="Times New Roman"/>
                <w:sz w:val="24"/>
              </w:rPr>
            </w:r>
            <w:r>
              <w:rPr>
                <w:rFonts w:ascii="Times New Roman" w:hAnsi="Times New Roman" w:eastAsia="Times New Roman" w:cs="Times New Roman"/>
                <w:sz w:val="24"/>
              </w:rPr>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ind/>
              <w:jc w:val="center"/>
              <w:rPr/>
            </w:pPr>
            <w:r/>
            <w:r>
              <w:rPr>
                <w:rFonts w:ascii="Times New Roman" w:hAnsi="Times New Roman" w:eastAsia="Times New Roman" w:cs="Times New Roman"/>
                <w:color w:val="000000"/>
                <w:sz w:val="22"/>
              </w:rPr>
              <w:t xml:space="preserve">Lợi thế hơn</w:t>
            </w:r>
            <w:r>
              <w:rPr>
                <w:rFonts w:ascii="Times New Roman" w:hAnsi="Times New Roman" w:eastAsia="Times New Roman" w:cs="Times New Roman"/>
                <w:sz w:val="24"/>
              </w:rPr>
            </w:r>
            <w:r>
              <w:rPr>
                <w:rFonts w:ascii="Times New Roman" w:hAnsi="Times New Roman" w:eastAsia="Times New Roman" w:cs="Times New Roman"/>
                <w:sz w:val="24"/>
              </w:rPr>
            </w:r>
            <w:r>
              <w:rPr>
                <w:rFonts w:ascii="Times New Roman" w:hAnsi="Times New Roman" w:eastAsia="Times New Roman" w:cs="Times New Roman"/>
                <w:sz w:val="24"/>
              </w:rPr>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ind/>
              <w:jc w:val="center"/>
              <w:rPr/>
            </w:pPr>
            <w:r/>
            <w:r>
              <w:rPr>
                <w:rFonts w:ascii="Times New Roman" w:hAnsi="Times New Roman" w:eastAsia="Times New Roman" w:cs="Times New Roman"/>
                <w:color w:val="000000"/>
                <w:sz w:val="22"/>
              </w:rPr>
              <w:t xml:space="preserve">Lợi thế hơn</w:t>
            </w:r>
            <w:r>
              <w:rPr>
                <w:rFonts w:ascii="Times New Roman" w:hAnsi="Times New Roman" w:eastAsia="Times New Roman" w:cs="Times New Roman"/>
                <w:sz w:val="24"/>
              </w:rPr>
            </w:r>
            <w:r>
              <w:rPr>
                <w:rFonts w:ascii="Times New Roman" w:hAnsi="Times New Roman" w:eastAsia="Times New Roman" w:cs="Times New Roman"/>
                <w:sz w:val="24"/>
              </w:rPr>
            </w:r>
            <w:r>
              <w:rPr>
                <w:rFonts w:ascii="Times New Roman" w:hAnsi="Times New Roman" w:eastAsia="Times New Roman" w:cs="Times New Roman"/>
                <w:sz w:val="24"/>
              </w:rPr>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4"/>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10.978.200.000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6.120.000.000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5.670.000.000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54.000.000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44.900.954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47.250.000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54.000.000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44.900.954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47.250.000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tại đô thị</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tại đô thị</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tại đô thị</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tại đô thị</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54.000.000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44.900.954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47.250.000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54.000.000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44.900.954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47.250.000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Cách đường Điện Biên Phủ khoảng 130m. Cách nhà thờ đá khoảng 1,0km </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Cách đường Điện Biên Phủ khoảng 600m. Cách nhà thờ đá khoảng 800m</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Cách đường Điện Biên Phủ khoảng 130m. Cách nhà thờ đá khoảng 800m</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Cách đường điện biên phủ khoảng 50m. Cách nhà thờ đá khoảng 1,7km</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-2.160.000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-1.796.038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4.725.000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51.840.000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43.104.916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51.975.000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51.840.000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43.104.916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51.975.000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-4.320.000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-4.725.000</w:t>
            </w:r>
            <w:r>
              <w:rPr>
                <w:color w:val="000000"/>
                <w:sz w:val="22"/>
                <w:szCs w:val="22"/>
              </w:rPr>
            </w:r>
            <w:r>
              <w:rPr>
                <w:color w:val="000000"/>
                <w:sz w:val="22"/>
                <w:szCs w:val="22"/>
              </w:rPr>
            </w:r>
          </w:p>
        </w:tc>
      </w:tr>
      <w:tr>
        <w:trPr>
          <w:trHeight w:val="585"/>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47.520.000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43.104.916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47.250.000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120</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203,3</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136,3</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120</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1.620.000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49.140.000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43.104.916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47.250.000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Nằm trong thửa đất TMDV cùng chủ sử dụng đất </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Tiếp giáp 1 mặt tiền tiếp giáp đường</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000000" w:fill="ffffff"/>
            <w:tcBorders/>
            <w:tcW w:w="1522" w:type="dxa"/>
            <w:vAlign w:val="center"/>
            <w:textDirection w:val="lrTb"/>
            <w:noWrap w:val="false"/>
          </w:tcPr>
          <w:p>
            <w:pPr>
              <w:pBdr/>
              <w:spacing/>
              <w:ind/>
              <w:jc w:val="center"/>
              <w:rPr/>
            </w:pPr>
            <w:r/>
            <w:r>
              <w:rPr>
                <w:rFonts w:ascii="Times New Roman" w:hAnsi="Times New Roman" w:eastAsia="Times New Roman" w:cs="Times New Roman"/>
                <w:color w:val="000000"/>
                <w:sz w:val="22"/>
              </w:rPr>
              <w:t xml:space="preserve">Tiếp giáp 1 mặt tiền tiếp giáp đường</w:t>
            </w:r>
            <w:r/>
            <w:r/>
          </w:p>
        </w:tc>
        <w:tc>
          <w:tcPr>
            <w:shd w:val="clear" w:color="000000" w:fill="ffffff"/>
            <w:tcBorders/>
            <w:tcW w:w="1522" w:type="dxa"/>
            <w:vAlign w:val="center"/>
            <w:textDirection w:val="lrTb"/>
            <w:noWrap w:val="false"/>
          </w:tcPr>
          <w:p>
            <w:pPr>
              <w:pBdr/>
              <w:spacing/>
              <w:ind/>
              <w:jc w:val="center"/>
              <w:rPr/>
            </w:pPr>
            <w:r/>
            <w:r>
              <w:rPr>
                <w:rFonts w:ascii="Times New Roman" w:hAnsi="Times New Roman" w:eastAsia="Times New Roman" w:cs="Times New Roman"/>
                <w:color w:val="000000"/>
                <w:sz w:val="22"/>
              </w:rPr>
              <w:t xml:space="preserve">Tiếp giáp 1 mặt tiền tiếp giáp đường</w:t>
            </w:r>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-11.225.239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-11.812.500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49.140.000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31.879.677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35.437.500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42"/>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14:ligatures w14:val="none"/>
              </w:rPr>
            </w:pPr>
            <w:r>
              <w:rPr>
                <w:color w:val="000000" w:themeColor="text1"/>
                <w:sz w:val="22"/>
                <w:szCs w:val="22"/>
                <w:lang w:val="undefined"/>
              </w:rPr>
              <w:t xml:space="preserve">2.700.000</w:t>
            </w:r>
            <w:r>
              <w:rPr>
                <w:color w:val="000000" w:themeColor="text1"/>
                <w:sz w:val="22"/>
                <w:szCs w:val="22"/>
                <w:lang w:val="undefined" w:bidi="undefined"/>
              </w:rPr>
            </w:r>
            <w:r>
              <w:rPr>
                <w:color w:val="000000" w:themeColor="text1"/>
                <w:sz w:val="22"/>
                <w:szCs w:val="22"/>
                <w:lang w:val="undefined"/>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14:ligatures w14:val="none"/>
              </w:rPr>
            </w:pPr>
            <w:r>
              <w:rPr>
                <w:color w:val="000000" w:themeColor="text1"/>
                <w:sz w:val="22"/>
                <w:szCs w:val="22"/>
                <w:lang w:val="undefined" w:bidi="undefined"/>
              </w:rPr>
            </w:r>
            <w:r>
              <w:rPr>
                <w:color w:val="000000" w:themeColor="text1"/>
                <w:sz w:val="22"/>
                <w:szCs w:val="22"/>
                <w:lang w:val="undefined"/>
              </w:rPr>
              <w:t xml:space="preserve">38.340.000</w:t>
            </w:r>
            <w:r>
              <w:rPr>
                <w:color w:val="000000" w:themeColor="text1"/>
                <w:sz w:val="22"/>
                <w:szCs w:val="22"/>
                <w:lang w:val="undefined" w:bidi="undefined"/>
              </w:rPr>
            </w:r>
            <w:r>
              <w:rPr>
                <w:color w:val="000000" w:themeColor="text1"/>
                <w:sz w:val="22"/>
                <w:szCs w:val="22"/>
                <w:lang w:val="undefined"/>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31.879.677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35.437.500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38.340.000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31.879.677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35.437.500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35.219.059</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8.86%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-9.48%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0.62%</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24.300.000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13.021.277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21.262.500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- 25%%</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15.660.000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13.021.277</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11.812.500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-9.48</w:t>
      </w:r>
      <w:r>
        <w:t xml:space="preserve">% đến</w:t>
      </w:r>
      <w:r>
        <w:t xml:space="preserve"> </w:t>
      </w:r>
      <w:r>
        <w:t xml:space="preserve"> </w:t>
      </w:r>
      <w:r>
        <w:t xml:space="preserve">8.86</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38.340.000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12.782.556</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31.879.677</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10.625.496</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35.437.500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11.811.319</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35.219.371</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35.000.000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35.000.000</w:t>
      </w:r>
      <w:r>
        <w:rPr>
          <w:b/>
          <w:bCs/>
          <w:color w:val="000000" w:themeColor="text1"/>
        </w:rPr>
        <w:t xml:space="preserve"> </w:t>
      </w:r>
      <w:r>
        <w:rPr>
          <w:b/>
          <w:bCs/>
        </w:rPr>
        <w:t xml:space="preserve">đồng/m².</w:t>
      </w:r>
      <w:r>
        <w:rPr>
          <w:b/>
          <w:bCs/>
        </w:rPr>
      </w:r>
      <w:r>
        <w:rPr>
          <w:b/>
          <w:bCs/>
        </w:rPr>
      </w:r>
    </w:p>
    <w:p>
      <w:pPr>
        <w:pStyle w:val="1024"/>
        <w:numPr>
          <w:ilvl w:val="0"/>
          <w:numId w:val="26"/>
        </w:numPr>
        <w:pBdr/>
        <w:spacing w:after="120" w:before="120" w:line="276" w:lineRule="auto"/>
        <w:ind w:hanging="357" w:left="357"/>
        <w:jc w:val="both"/>
        <w:rPr>
          <w:b/>
          <w:bCs/>
        </w:rPr>
      </w:pPr>
      <w:r>
        <w:rPr>
          <w:b/>
          <w:bCs/>
        </w:rPr>
        <w:t xml:space="preserve">Xác định giá trị tài sản gắn liền với đất</w:t>
      </w:r>
      <w:r>
        <w:rPr>
          <w:b/>
          <w:bCs/>
        </w:rPr>
      </w:r>
      <w:r>
        <w:rPr>
          <w:b/>
          <w:bCs/>
        </w:rPr>
      </w:r>
    </w:p>
    <w:p>
      <w:pPr>
        <w:pStyle w:val="1024"/>
        <w:pBdr/>
        <w:spacing w:after="120" w:before="120" w:line="276" w:lineRule="auto"/>
        <w:ind w:left="357"/>
        <w:jc w:val="both"/>
        <w:rPr>
          <w:b/>
          <w:lang w:val="pt-BR"/>
        </w:rPr>
      </w:pPr>
      <w:r>
        <w:rPr>
          <w:b/>
          <w:lang w:val="pt-BR"/>
        </w:rPr>
      </w:r>
      <w:r>
        <w:rPr>
          <w:b/>
          <w:lang w:val="pt-BR"/>
        </w:rPr>
      </w:r>
      <w:r>
        <w:rPr>
          <w:b/>
          <w:lang w:val="pt-BR"/>
        </w:rPr>
      </w:r>
    </w:p>
    <w:p>
      <w:pPr>
        <w:pStyle w:val="1024"/>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4"/>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07/2026</w:t>
      </w:r>
      <w:r>
        <w:t xml:space="preserve"> </w:t>
      </w:r>
      <w:r>
        <w:t xml:space="preserve">ước tính </w:t>
      </w:r>
      <w:r>
        <w:t xml:space="preserve">như sau</w:t>
      </w:r>
      <w:r>
        <w:t xml:space="preserve">:</w:t>
      </w:r>
      <w:r/>
    </w:p>
    <w:p>
      <w:pPr>
        <w:pStyle w:val="1024"/>
        <w:pBdr/>
        <w:tabs>
          <w:tab w:val="left" w:leader="none" w:pos="993"/>
        </w:tabs>
        <w:spacing w:after="120" w:before="120" w:line="276" w:lineRule="auto"/>
        <w:ind w:left="0"/>
        <w:jc w:val="both"/>
        <w:rPr/>
      </w:pPr>
      <w:r/>
      <w:r/>
    </w:p>
    <w:p>
      <w:pPr>
        <w:pStyle w:val="1024"/>
        <w:pBdr/>
        <w:tabs>
          <w:tab w:val="left" w:leader="none" w:pos="993"/>
        </w:tabs>
        <w:spacing w:after="120" w:before="120" w:line="276" w:lineRule="auto"/>
        <w:ind w:left="0"/>
        <w:jc w:val="both"/>
        <w:rPr/>
      </w:pPr>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color w:val="000000"/>
              </w:rPr>
              <w:t xml:space="preserve">Số vào sổ cấp GCN AA 01695769 và CH 316143, Số thửa 456, Tờ bản đồ 7, Địa chỉ trên sổ tổ dân phố Sa Pa 5, phường Sa Pa, </w:t>
            </w:r>
            <w:r>
              <w:rPr>
                <w:color w:val="000000"/>
              </w:rPr>
              <w:t xml:space="preserve">tỉnh Lào Cai, Diện tích: Đất thương mại, dịch vụ (120 m2) | Tài sản tại: Thị trấn Sa Pa, Huyện Sa Pa, Tỉnh Lào Cai, khoảng cách ra đường chính 160m, độ rộng đường trước mặt tài sản 5m, đường đi chung, mặt tiền 36.86m, khu du lịch, 22.33775, 103.83911111111</w:t>
            </w:r>
            <w:r>
              <w:rPr>
                <w:b/>
                <w:bCs/>
              </w:rPr>
              <w:t xml:space="preserve">.</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97" w:type="pct"/>
            <w:vAlign w:val="center"/>
            <w:textDirection w:val="lrTb"/>
            <w:noWrap w:val="false"/>
          </w:tcPr>
          <w:p>
            <w:pPr>
              <w:pBdr/>
              <w:spacing w:after="40" w:before="40" w:line="288" w:lineRule="auto"/>
              <w:ind/>
              <w:rPr/>
            </w:pPr>
            <w:r>
              <w:rPr>
                <w:b/>
                <w:bCs/>
              </w:rPr>
              <w:t xml:space="preserve">Đất thương mại, dịch vụ</w:t>
            </w: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120</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35.000.000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4.200.000.000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t xml:space="preserve">4.200.000.000</w:t>
            </w:r>
            <w:r>
              <w:rPr>
                <w:b/>
                <w:bCs/>
                <w:color w:val="000000"/>
              </w:rPr>
            </w:r>
            <w:r>
              <w:rPr>
                <w:b/>
                <w:bCs/>
                <w:color w:val="000000"/>
              </w:rP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color w:val="000000"/>
              </w:rPr>
              <w:t xml:space="preserve">4.200.000.000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Bốn tỷ hai trăm triệu</w:t>
            </w:r>
            <w:r>
              <w:rPr>
                <w:b/>
                <w:bCs/>
                <w:i/>
                <w:iCs/>
                <w:color w:val="000000"/>
              </w:rPr>
              <w:t xml:space="preserve">./.)</w:t>
            </w:r>
            <w:r>
              <w:rPr>
                <w:b/>
                <w:bCs/>
                <w:i/>
                <w:iCs/>
                <w:color w:val="000000"/>
              </w:rPr>
            </w:r>
            <w:r>
              <w:rPr>
                <w:b/>
                <w:bCs/>
                <w:i/>
                <w:iCs/>
                <w:color w:val="000000"/>
              </w:rPr>
            </w:r>
          </w:p>
        </w:tc>
      </w:tr>
    </w:tbl>
    <w:p>
      <w:pPr>
        <w:pStyle w:val="1024"/>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4"/>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4"/>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4"/>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4"/>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4"/>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4"/>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4"/>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4"/>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4"/>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4"/>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4"/>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4"/>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4"/>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4"/>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4"/>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4"/>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4"/>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4"/>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4"/>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4"/>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thẩm định của các cơ quan có chức năng. Do vậy, việc đánh giá chất lượng</w:t>
      </w:r>
      <w:r>
        <w:rPr>
          <w:bCs/>
          <w:spacing w:val="-2"/>
          <w:lang w:val="pt-BR"/>
        </w:rPr>
        <w:t xml:space="preserve">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r>
        <w:rPr>
          <w:bCs/>
          <w:spacing w:val="-2"/>
          <w:lang w:val="pt-BR"/>
        </w:rPr>
      </w:r>
    </w:p>
    <w:p>
      <w:pPr>
        <w:pStyle w:val="1024"/>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4"/>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4"/>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4"/>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4"/>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24"/>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HSTD-20260618-0005/CT-VFI</w:t>
      </w:r>
      <w:r>
        <w:rPr>
          <w:color w:val="ff0000"/>
          <w:lang w:val="vi-VN"/>
        </w:rPr>
        <w:t xml:space="preserve"> </w:t>
      </w:r>
      <w:r>
        <w:rPr>
          <w:color w:val="000000" w:themeColor="text1"/>
        </w:rPr>
        <w:t xml:space="preserve">ngày 16 tháng 7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p>
      <w:pPr>
        <w:pStyle w:val="1024"/>
        <w:pBdr/>
        <w:tabs>
          <w:tab w:val="left" w:leader="none" w:pos="993"/>
        </w:tabs>
        <w:spacing w:after="120" w:before="120" w:line="288" w:lineRule="auto"/>
        <w:ind w:left="0"/>
        <w:jc w:val="both"/>
        <w:rPr>
          <w:lang w:val="vi-VN"/>
        </w:rPr>
      </w:pPr>
      <w:r>
        <w:rPr>
          <w:lang w:val="vi-VN"/>
        </w:rPr>
      </w:r>
      <w:r>
        <w:rPr>
          <w:lang w:val="vi-VN"/>
        </w:rPr>
      </w:r>
      <w:r>
        <w:rPr>
          <w:lang w:val="vi-VN"/>
        </w:rPr>
      </w:r>
    </w:p>
    <w:p>
      <w:pPr>
        <w:pStyle w:val="1024"/>
        <w:pBdr/>
        <w:tabs>
          <w:tab w:val="left" w:leader="none" w:pos="993"/>
        </w:tabs>
        <w:spacing w:after="120" w:before="120" w:line="288" w:lineRule="auto"/>
        <w:ind w:left="0"/>
        <w:jc w:val="both"/>
        <w:rPr>
          <w:lang w:val="vi-VN"/>
        </w:rPr>
      </w:pPr>
      <w:r>
        <w:rPr>
          <w:lang w:val="vi-VN"/>
        </w:rPr>
      </w:r>
      <w:r>
        <w:rPr>
          <w:lang w:val="vi-VN"/>
        </w:rPr>
      </w:r>
      <w:r>
        <w:rPr>
          <w:lang w:val="vi-VN"/>
        </w:rPr>
      </w:r>
    </w:p>
    <w:p>
      <w:pPr>
        <w:pStyle w:val="1024"/>
        <w:pBdr/>
        <w:tabs>
          <w:tab w:val="left" w:leader="none" w:pos="993"/>
        </w:tabs>
        <w:spacing w:after="120" w:before="120" w:line="288" w:lineRule="auto"/>
        <w:ind w:left="0"/>
        <w:jc w:val="both"/>
        <w:rPr>
          <w:lang w:val="pt-BR"/>
        </w:rPr>
      </w:pPr>
      <w:r>
        <w:rPr>
          <w:lang w:val="pt-BR"/>
        </w:rPr>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Đinh Thị Lan Hương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HSTD-20260618-0005/BC-VFI</w:t>
      </w:r>
      <w:r>
        <w:rPr>
          <w:i/>
          <w:lang w:val="pt-BR"/>
        </w:rPr>
        <w:t xml:space="preserve"> </w:t>
      </w:r>
      <w:r>
        <w:rPr>
          <w:i/>
          <w:lang w:val="pt-BR"/>
        </w:rPr>
        <w:t xml:space="preserve">16 tháng 7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28"/>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12.50pt;height:150.00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0.00pt;height:150.00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12.50pt;height:150.00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12.50pt;height:150.00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12.50pt;height:150.00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HSTD-20260618-0005/BC-VFI</w:t>
      </w:r>
      <w:r>
        <w:rPr>
          <w:i/>
          <w:lang w:val="pt-BR"/>
        </w:rPr>
        <w:t xml:space="preserve"> </w:t>
      </w:r>
      <w:r>
        <w:rPr>
          <w:i/>
          <w:lang w:val="pt-BR"/>
        </w:rPr>
        <w:t xml:space="preserve">16 tháng 7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https://batdongsan.com.vn/ban-dat-duong-nguyen-chi-thanh-phuong-sa-pa_1-409/ban-at-tai-60-trieu-m2-203-m2-mat-tien-18m-pr45770090</w:t>
            </w:r>
            <w:r>
              <w:rPr>
                <w:color w:val="000000" w:themeColor="text1"/>
                <w:sz w:val="22"/>
                <w:szCs w:val="22"/>
              </w:rPr>
              <w:br/>
              <w:t xml:space="preserve">0566281888</w:t>
            </w:r>
            <w:r>
              <w:rPr>
                <w:sz w:val="22"/>
                <w:szCs w:val="22"/>
              </w:rPr>
              <w:t xml:space="preserve"> </w:t>
            </w:r>
            <w:r>
              <w:rPr>
                <w:sz w:val="22"/>
                <w:szCs w:val="22"/>
              </w:rPr>
              <w:br/>
              <w:t xml:space="preserve">(Nguyễn Dũng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12.198.000.000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10.978.200.000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07/2026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(203.3m²)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Phường Sa Pa, Tỉnh Lào Cai, khoảng cách ra đường chính Cách đường điện biên phủ khoảng 600m. Cách nhà thờ đá khoảng 800mm, độ rộng đường trước mặt tài sản 5m, mặt tiền 9.71m, 22.335405235874205, 103.83615804976887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203.3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9.71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 giác khác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314378" cy="3175000"/>
                      <wp:effectExtent l="0" t="0" r="0" b="0"/>
                      <wp:docPr id="1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3"/>
                              <a:stretch/>
                            </pic:blipFill>
                            <pic:spPr bwMode="auto">
                              <a:xfrm>
                                <a:off x="0" y="0"/>
                                <a:ext cx="531437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418.45pt;height:250.00pt;mso-wrap-distance-left:0.00pt;mso-wrap-distance-top:0.00pt;mso-wrap-distance-right:0.00pt;mso-wrap-distance-bottom:0.00pt;z-index:1;" stroked="false">
                      <v:imagedata r:id="rId23"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821042"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282104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22.13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669037"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266903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10.16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082555"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308255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42.72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Đinh Thị Lan Hương</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0325233123</w:t>
            </w:r>
            <w:r>
              <w:rPr>
                <w:sz w:val="22"/>
                <w:szCs w:val="22"/>
              </w:rPr>
              <w:t xml:space="preserve"> </w:t>
            </w:r>
            <w:r>
              <w:rPr>
                <w:sz w:val="22"/>
                <w:szCs w:val="22"/>
              </w:rPr>
              <w:br/>
              <w:t xml:space="preserve">(Sung Chang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6.800.000.000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6.120.000.000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07/2026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(136.3m²)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Phường Sa Pa, Tỉnh Lào Cai, khoảng cách ra đường chính Cách đường điện biên phủ khoảng 130m. Cách nhà thờ đá khoảng 800mm, độ rộng đường trước mặt tài sản 3.5m, mặt tiền 9.35m, 22.338780661640467, 103.84219718832598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136.3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9.35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447564"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344756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71.46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184449"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318444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50.74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990785"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599078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71.72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4778"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238477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87.78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Đinh Thị Lan Hương</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https://www.facebook.com/groups/2149648815086927/permalink/27229879579970504/</w:t>
            </w:r>
            <w:r>
              <w:rPr>
                <w:color w:val="000000" w:themeColor="text1"/>
                <w:sz w:val="22"/>
                <w:szCs w:val="22"/>
              </w:rPr>
              <w:br/>
            </w:r>
            <w:r>
              <w:rPr>
                <w:sz w:val="22"/>
                <w:szCs w:val="22"/>
              </w:rPr>
              <w:t xml:space="preserve">SĐT: </w:t>
            </w:r>
            <w:r>
              <w:rPr>
                <w:color w:val="000000" w:themeColor="text1"/>
                <w:sz w:val="22"/>
                <w:szCs w:val="22"/>
              </w:rPr>
              <w:t xml:space="preserve">0969 778 163</w:t>
            </w:r>
            <w:r>
              <w:rPr>
                <w:sz w:val="22"/>
                <w:szCs w:val="22"/>
              </w:rPr>
              <w:t xml:space="preserve"> </w:t>
            </w:r>
            <w:r>
              <w:rPr>
                <w:sz w:val="22"/>
                <w:szCs w:val="22"/>
              </w:rPr>
              <w:br/>
              <w:t xml:space="preserve">(Anh Toàn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6.300.000.000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5.670.000.000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07/2026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(120m²)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Phường Sa Pa, Tỉnh Lào Cai, khoảng cách ra đường chính Cách đường điện biên phủ khoảng 50m. Cách nhà thờ đá khoảng 1,3kmm, độ rộng đường trước mặt tài sản 6m, mặt tiền 6m, 22.342666666666666, 103.84902777777778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12.50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051178"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405117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318.99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233333"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42333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333.33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Đinh Thị Lan Hương</w:t>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0"/>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0"/>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0"/>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0"/>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8"/>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6">
    <w:name w:val="Table Grid Light"/>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7">
    <w:name w:val="Plain Table 1"/>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2"/>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3"/>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4"/>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5"/>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Grid Table 1 Light"/>
    <w:basedOn w:val="1008"/>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 Accent 1"/>
    <w:basedOn w:val="100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2"/>
    <w:basedOn w:val="100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3"/>
    <w:basedOn w:val="100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4"/>
    <w:basedOn w:val="100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5"/>
    <w:basedOn w:val="100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6"/>
    <w:basedOn w:val="100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2"/>
    <w:basedOn w:val="100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 Accent 1"/>
    <w:basedOn w:val="100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5"/>
    <w:basedOn w:val="100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6"/>
    <w:basedOn w:val="100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3"/>
    <w:basedOn w:val="100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 Accent 1"/>
    <w:basedOn w:val="100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5"/>
    <w:basedOn w:val="100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6"/>
    <w:basedOn w:val="100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4"/>
    <w:basedOn w:val="1008"/>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 Accent 1"/>
    <w:basedOn w:val="1008"/>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2"/>
    <w:basedOn w:val="1008"/>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3"/>
    <w:basedOn w:val="1008"/>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4"/>
    <w:basedOn w:val="1008"/>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5"/>
    <w:basedOn w:val="1008"/>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6"/>
    <w:basedOn w:val="1008"/>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5 Dark"/>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Accent 1"/>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 Accent 2"/>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3"/>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4"/>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5"/>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6"/>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6 Colorful"/>
    <w:basedOn w:val="1008"/>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8">
    <w:name w:val="Grid Table 6 Colorful - Accent 1"/>
    <w:basedOn w:val="1008"/>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79">
    <w:name w:val="Grid Table 6 Colorful - Accent 2"/>
    <w:basedOn w:val="100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0">
    <w:name w:val="Grid Table 6 Colorful - Accent 3"/>
    <w:basedOn w:val="1008"/>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1">
    <w:name w:val="Grid Table 6 Colorful - Accent 4"/>
    <w:basedOn w:val="100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2">
    <w:name w:val="Grid Table 6 Colorful - Accent 5"/>
    <w:basedOn w:val="1008"/>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3">
    <w:name w:val="Grid Table 6 Colorful - Accent 6"/>
    <w:basedOn w:val="1008"/>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7 Colorful"/>
    <w:basedOn w:val="1008"/>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7 Colorful - Accent 1"/>
    <w:basedOn w:val="1008"/>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5"/>
    <w:basedOn w:val="1008"/>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6"/>
    <w:basedOn w:val="1008"/>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List Table 1 Light"/>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 Accent 1"/>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2"/>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3"/>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4"/>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5"/>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6"/>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2"/>
    <w:basedOn w:val="1008"/>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 Accent 1"/>
    <w:basedOn w:val="1008"/>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2"/>
    <w:basedOn w:val="1008"/>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3"/>
    <w:basedOn w:val="1008"/>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4"/>
    <w:basedOn w:val="1008"/>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5"/>
    <w:basedOn w:val="1008"/>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6"/>
    <w:basedOn w:val="1008"/>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3"/>
    <w:basedOn w:val="100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 Accent 1"/>
    <w:basedOn w:val="1008"/>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2"/>
    <w:basedOn w:val="100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3"/>
    <w:basedOn w:val="1008"/>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4"/>
    <w:basedOn w:val="100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5"/>
    <w:basedOn w:val="1008"/>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6"/>
    <w:basedOn w:val="1008"/>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4"/>
    <w:basedOn w:val="100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 Accent 1"/>
    <w:basedOn w:val="1008"/>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2"/>
    <w:basedOn w:val="1008"/>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3"/>
    <w:basedOn w:val="1008"/>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4"/>
    <w:basedOn w:val="1008"/>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5"/>
    <w:basedOn w:val="1008"/>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6"/>
    <w:basedOn w:val="1008"/>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5 Dark"/>
    <w:basedOn w:val="1008"/>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0">
    <w:name w:val="List Table 5 Dark - Accent 1"/>
    <w:basedOn w:val="1008"/>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2"/>
    <w:basedOn w:val="1008"/>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3"/>
    <w:basedOn w:val="1008"/>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4"/>
    <w:basedOn w:val="1008"/>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5"/>
    <w:basedOn w:val="1008"/>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6"/>
    <w:basedOn w:val="1008"/>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6 Colorful"/>
    <w:basedOn w:val="1008"/>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6 Colorful - Accent 1"/>
    <w:basedOn w:val="1008"/>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2"/>
    <w:basedOn w:val="1008"/>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3"/>
    <w:basedOn w:val="1008"/>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4"/>
    <w:basedOn w:val="1008"/>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5"/>
    <w:basedOn w:val="1008"/>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6"/>
    <w:basedOn w:val="1008"/>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7 Colorful"/>
    <w:basedOn w:val="1008"/>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4">
    <w:name w:val="List Table 7 Colorful - Accent 1"/>
    <w:basedOn w:val="1008"/>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5">
    <w:name w:val="List Table 7 Colorful - Accent 2"/>
    <w:basedOn w:val="1008"/>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6">
    <w:name w:val="List Table 7 Colorful - Accent 3"/>
    <w:basedOn w:val="1008"/>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7">
    <w:name w:val="List Table 7 Colorful - Accent 4"/>
    <w:basedOn w:val="1008"/>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8">
    <w:name w:val="List Table 7 Colorful - Accent 5"/>
    <w:basedOn w:val="1008"/>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39">
    <w:name w:val="List Table 7 Colorful - Accent 6"/>
    <w:basedOn w:val="1008"/>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0">
    <w:name w:val="Lined - Accent"/>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ned - Accent 1"/>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2"/>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3"/>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4"/>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5"/>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6"/>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Bordered &amp; Lined - Accent"/>
    <w:basedOn w:val="1008"/>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1"/>
    <w:basedOn w:val="1008"/>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2"/>
    <w:basedOn w:val="1008"/>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3"/>
    <w:basedOn w:val="1008"/>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4"/>
    <w:basedOn w:val="1008"/>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5"/>
    <w:basedOn w:val="1008"/>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6"/>
    <w:basedOn w:val="1008"/>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w:basedOn w:val="1008"/>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 Accent 1"/>
    <w:basedOn w:val="100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2"/>
    <w:basedOn w:val="100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3"/>
    <w:basedOn w:val="100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4"/>
    <w:basedOn w:val="100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5"/>
    <w:basedOn w:val="100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6"/>
    <w:basedOn w:val="100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1">
    <w:name w:val="Heading 5"/>
    <w:basedOn w:val="1002"/>
    <w:next w:val="1002"/>
    <w:link w:val="966"/>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2">
    <w:name w:val="Heading 6"/>
    <w:basedOn w:val="1002"/>
    <w:next w:val="1002"/>
    <w:link w:val="967"/>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3">
    <w:name w:val="Heading 7"/>
    <w:basedOn w:val="1002"/>
    <w:next w:val="1002"/>
    <w:link w:val="968"/>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4">
    <w:name w:val="Heading 8"/>
    <w:basedOn w:val="1002"/>
    <w:next w:val="1002"/>
    <w:link w:val="969"/>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5">
    <w:name w:val="Heading 9"/>
    <w:basedOn w:val="1002"/>
    <w:next w:val="1002"/>
    <w:link w:val="970"/>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6">
    <w:name w:val="Heading 5 Char"/>
    <w:basedOn w:val="1007"/>
    <w:link w:val="961"/>
    <w:uiPriority w:val="9"/>
    <w:pPr>
      <w:pBdr/>
      <w:spacing/>
      <w:ind/>
    </w:pPr>
    <w:rPr>
      <w:rFonts w:ascii="Arial" w:hAnsi="Arial" w:eastAsia="Arial" w:cs="Arial"/>
      <w:color w:val="0f4761" w:themeColor="accent1" w:themeShade="BF"/>
    </w:rPr>
  </w:style>
  <w:style w:type="character" w:styleId="967">
    <w:name w:val="Heading 6 Char"/>
    <w:basedOn w:val="1007"/>
    <w:link w:val="962"/>
    <w:uiPriority w:val="9"/>
    <w:pPr>
      <w:pBdr/>
      <w:spacing/>
      <w:ind/>
    </w:pPr>
    <w:rPr>
      <w:rFonts w:ascii="Arial" w:hAnsi="Arial" w:eastAsia="Arial" w:cs="Arial"/>
      <w:i/>
      <w:iCs/>
      <w:color w:val="595959" w:themeColor="text1" w:themeTint="A6"/>
    </w:rPr>
  </w:style>
  <w:style w:type="character" w:styleId="968">
    <w:name w:val="Heading 7 Char"/>
    <w:basedOn w:val="1007"/>
    <w:link w:val="963"/>
    <w:uiPriority w:val="9"/>
    <w:pPr>
      <w:pBdr/>
      <w:spacing/>
      <w:ind/>
    </w:pPr>
    <w:rPr>
      <w:rFonts w:ascii="Arial" w:hAnsi="Arial" w:eastAsia="Arial" w:cs="Arial"/>
      <w:color w:val="595959" w:themeColor="text1" w:themeTint="A6"/>
    </w:rPr>
  </w:style>
  <w:style w:type="character" w:styleId="969">
    <w:name w:val="Heading 8 Char"/>
    <w:basedOn w:val="1007"/>
    <w:link w:val="964"/>
    <w:uiPriority w:val="9"/>
    <w:pPr>
      <w:pBdr/>
      <w:spacing/>
      <w:ind/>
    </w:pPr>
    <w:rPr>
      <w:rFonts w:ascii="Arial" w:hAnsi="Arial" w:eastAsia="Arial" w:cs="Arial"/>
      <w:i/>
      <w:iCs/>
      <w:color w:val="272727" w:themeColor="text1" w:themeTint="D8"/>
    </w:rPr>
  </w:style>
  <w:style w:type="character" w:styleId="970">
    <w:name w:val="Heading 9 Char"/>
    <w:basedOn w:val="1007"/>
    <w:link w:val="965"/>
    <w:uiPriority w:val="9"/>
    <w:pPr>
      <w:pBdr/>
      <w:spacing/>
      <w:ind/>
    </w:pPr>
    <w:rPr>
      <w:rFonts w:ascii="Arial" w:hAnsi="Arial" w:eastAsia="Arial" w:cs="Arial"/>
      <w:i/>
      <w:iCs/>
      <w:color w:val="272727" w:themeColor="text1" w:themeTint="D8"/>
    </w:rPr>
  </w:style>
  <w:style w:type="paragraph" w:styleId="971">
    <w:name w:val="Subtitle"/>
    <w:basedOn w:val="1002"/>
    <w:next w:val="1002"/>
    <w:link w:val="972"/>
    <w:uiPriority w:val="11"/>
    <w:qFormat/>
    <w:pPr>
      <w:numPr>
        <w:ilvl w:val="1"/>
      </w:numPr>
      <w:pBdr/>
      <w:spacing/>
      <w:ind/>
    </w:pPr>
    <w:rPr>
      <w:color w:val="595959" w:themeColor="text1" w:themeTint="A6"/>
      <w:spacing w:val="15"/>
      <w:sz w:val="28"/>
      <w:szCs w:val="28"/>
    </w:rPr>
  </w:style>
  <w:style w:type="character" w:styleId="972">
    <w:name w:val="Subtitle Char"/>
    <w:basedOn w:val="1007"/>
    <w:link w:val="971"/>
    <w:uiPriority w:val="11"/>
    <w:pPr>
      <w:pBdr/>
      <w:spacing/>
      <w:ind/>
    </w:pPr>
    <w:rPr>
      <w:color w:val="595959" w:themeColor="text1" w:themeTint="A6"/>
      <w:spacing w:val="15"/>
      <w:sz w:val="28"/>
      <w:szCs w:val="28"/>
    </w:rPr>
  </w:style>
  <w:style w:type="paragraph" w:styleId="973">
    <w:name w:val="Quote"/>
    <w:basedOn w:val="1002"/>
    <w:next w:val="1002"/>
    <w:link w:val="974"/>
    <w:uiPriority w:val="29"/>
    <w:qFormat/>
    <w:pPr>
      <w:pBdr/>
      <w:spacing w:before="160"/>
      <w:ind/>
      <w:jc w:val="center"/>
    </w:pPr>
    <w:rPr>
      <w:i/>
      <w:iCs/>
      <w:color w:val="404040" w:themeColor="text1" w:themeTint="BF"/>
    </w:rPr>
  </w:style>
  <w:style w:type="character" w:styleId="974">
    <w:name w:val="Quote Char"/>
    <w:basedOn w:val="1007"/>
    <w:link w:val="973"/>
    <w:uiPriority w:val="29"/>
    <w:pPr>
      <w:pBdr/>
      <w:spacing/>
      <w:ind/>
    </w:pPr>
    <w:rPr>
      <w:i/>
      <w:iCs/>
      <w:color w:val="404040" w:themeColor="text1" w:themeTint="BF"/>
    </w:rPr>
  </w:style>
  <w:style w:type="character" w:styleId="975">
    <w:name w:val="Intense Emphasis"/>
    <w:basedOn w:val="1007"/>
    <w:uiPriority w:val="21"/>
    <w:qFormat/>
    <w:pPr>
      <w:pBdr/>
      <w:spacing/>
      <w:ind/>
    </w:pPr>
    <w:rPr>
      <w:i/>
      <w:iCs/>
      <w:color w:val="0f4761" w:themeColor="accent1" w:themeShade="BF"/>
    </w:rPr>
  </w:style>
  <w:style w:type="paragraph" w:styleId="976">
    <w:name w:val="Intense Quote"/>
    <w:basedOn w:val="1002"/>
    <w:next w:val="1002"/>
    <w:link w:val="977"/>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7">
    <w:name w:val="Intense Quote Char"/>
    <w:basedOn w:val="1007"/>
    <w:link w:val="976"/>
    <w:uiPriority w:val="30"/>
    <w:pPr>
      <w:pBdr/>
      <w:spacing/>
      <w:ind/>
    </w:pPr>
    <w:rPr>
      <w:i/>
      <w:iCs/>
      <w:color w:val="0f4761" w:themeColor="accent1" w:themeShade="BF"/>
    </w:rPr>
  </w:style>
  <w:style w:type="character" w:styleId="978">
    <w:name w:val="Intense Reference"/>
    <w:basedOn w:val="1007"/>
    <w:uiPriority w:val="32"/>
    <w:qFormat/>
    <w:pPr>
      <w:pBdr/>
      <w:spacing/>
      <w:ind/>
    </w:pPr>
    <w:rPr>
      <w:b/>
      <w:bCs/>
      <w:smallCaps/>
      <w:color w:val="0f4761" w:themeColor="accent1" w:themeShade="BF"/>
      <w:spacing w:val="5"/>
    </w:rPr>
  </w:style>
  <w:style w:type="paragraph" w:styleId="979">
    <w:name w:val="No Spacing"/>
    <w:basedOn w:val="1002"/>
    <w:uiPriority w:val="1"/>
    <w:qFormat/>
    <w:pPr>
      <w:pBdr/>
      <w:spacing w:after="0" w:line="240" w:lineRule="auto"/>
      <w:ind/>
    </w:pPr>
  </w:style>
  <w:style w:type="character" w:styleId="980">
    <w:name w:val="Subtle Emphasis"/>
    <w:basedOn w:val="1007"/>
    <w:uiPriority w:val="19"/>
    <w:qFormat/>
    <w:pPr>
      <w:pBdr/>
      <w:spacing/>
      <w:ind/>
    </w:pPr>
    <w:rPr>
      <w:i/>
      <w:iCs/>
      <w:color w:val="404040" w:themeColor="text1" w:themeTint="BF"/>
    </w:rPr>
  </w:style>
  <w:style w:type="character" w:styleId="981">
    <w:name w:val="Subtle Reference"/>
    <w:basedOn w:val="1007"/>
    <w:uiPriority w:val="31"/>
    <w:qFormat/>
    <w:pPr>
      <w:pBdr/>
      <w:spacing/>
      <w:ind/>
    </w:pPr>
    <w:rPr>
      <w:smallCaps/>
      <w:color w:val="5a5a5a" w:themeColor="text1" w:themeTint="A5"/>
    </w:rPr>
  </w:style>
  <w:style w:type="character" w:styleId="982">
    <w:name w:val="Book Title"/>
    <w:basedOn w:val="1007"/>
    <w:uiPriority w:val="33"/>
    <w:qFormat/>
    <w:pPr>
      <w:pBdr/>
      <w:spacing/>
      <w:ind/>
    </w:pPr>
    <w:rPr>
      <w:b/>
      <w:bCs/>
      <w:i/>
      <w:iCs/>
      <w:spacing w:val="5"/>
    </w:rPr>
  </w:style>
  <w:style w:type="paragraph" w:styleId="983">
    <w:name w:val="Caption"/>
    <w:basedOn w:val="1002"/>
    <w:next w:val="1002"/>
    <w:uiPriority w:val="35"/>
    <w:unhideWhenUsed/>
    <w:qFormat/>
    <w:pPr>
      <w:pBdr/>
      <w:spacing w:after="200" w:line="240" w:lineRule="auto"/>
      <w:ind/>
    </w:pPr>
    <w:rPr>
      <w:i/>
      <w:iCs/>
      <w:color w:val="0e2841" w:themeColor="text2"/>
      <w:sz w:val="18"/>
      <w:szCs w:val="18"/>
    </w:rPr>
  </w:style>
  <w:style w:type="paragraph" w:styleId="984">
    <w:name w:val="footnote text"/>
    <w:basedOn w:val="1002"/>
    <w:link w:val="985"/>
    <w:uiPriority w:val="99"/>
    <w:semiHidden/>
    <w:unhideWhenUsed/>
    <w:pPr>
      <w:pBdr/>
      <w:spacing w:after="0" w:line="240" w:lineRule="auto"/>
      <w:ind/>
    </w:pPr>
    <w:rPr>
      <w:sz w:val="20"/>
      <w:szCs w:val="20"/>
    </w:rPr>
  </w:style>
  <w:style w:type="character" w:styleId="985">
    <w:name w:val="Footnote Text Char"/>
    <w:basedOn w:val="1007"/>
    <w:link w:val="984"/>
    <w:uiPriority w:val="99"/>
    <w:semiHidden/>
    <w:pPr>
      <w:pBdr/>
      <w:spacing/>
      <w:ind/>
    </w:pPr>
    <w:rPr>
      <w:sz w:val="20"/>
      <w:szCs w:val="20"/>
    </w:rPr>
  </w:style>
  <w:style w:type="character" w:styleId="986">
    <w:name w:val="footnote reference"/>
    <w:basedOn w:val="1007"/>
    <w:uiPriority w:val="99"/>
    <w:semiHidden/>
    <w:unhideWhenUsed/>
    <w:pPr>
      <w:pBdr/>
      <w:spacing/>
      <w:ind/>
    </w:pPr>
    <w:rPr>
      <w:vertAlign w:val="superscript"/>
    </w:rPr>
  </w:style>
  <w:style w:type="paragraph" w:styleId="987">
    <w:name w:val="endnote text"/>
    <w:basedOn w:val="1002"/>
    <w:link w:val="988"/>
    <w:uiPriority w:val="99"/>
    <w:semiHidden/>
    <w:unhideWhenUsed/>
    <w:pPr>
      <w:pBdr/>
      <w:spacing w:after="0" w:line="240" w:lineRule="auto"/>
      <w:ind/>
    </w:pPr>
    <w:rPr>
      <w:sz w:val="20"/>
      <w:szCs w:val="20"/>
    </w:rPr>
  </w:style>
  <w:style w:type="character" w:styleId="988">
    <w:name w:val="Endnote Text Char"/>
    <w:basedOn w:val="1007"/>
    <w:link w:val="987"/>
    <w:uiPriority w:val="99"/>
    <w:semiHidden/>
    <w:pPr>
      <w:pBdr/>
      <w:spacing/>
      <w:ind/>
    </w:pPr>
    <w:rPr>
      <w:sz w:val="20"/>
      <w:szCs w:val="20"/>
    </w:rPr>
  </w:style>
  <w:style w:type="character" w:styleId="989">
    <w:name w:val="endnote reference"/>
    <w:basedOn w:val="1007"/>
    <w:uiPriority w:val="99"/>
    <w:semiHidden/>
    <w:unhideWhenUsed/>
    <w:pPr>
      <w:pBdr/>
      <w:spacing/>
      <w:ind/>
    </w:pPr>
    <w:rPr>
      <w:vertAlign w:val="superscript"/>
    </w:rPr>
  </w:style>
  <w:style w:type="paragraph" w:styleId="990">
    <w:name w:val="toc 1"/>
    <w:basedOn w:val="1002"/>
    <w:next w:val="1002"/>
    <w:uiPriority w:val="39"/>
    <w:unhideWhenUsed/>
    <w:pPr>
      <w:pBdr/>
      <w:spacing w:after="100"/>
      <w:ind/>
    </w:pPr>
  </w:style>
  <w:style w:type="paragraph" w:styleId="991">
    <w:name w:val="toc 2"/>
    <w:basedOn w:val="1002"/>
    <w:next w:val="1002"/>
    <w:uiPriority w:val="39"/>
    <w:unhideWhenUsed/>
    <w:pPr>
      <w:pBdr/>
      <w:spacing w:after="100"/>
      <w:ind w:left="220"/>
    </w:pPr>
  </w:style>
  <w:style w:type="paragraph" w:styleId="992">
    <w:name w:val="toc 3"/>
    <w:basedOn w:val="1002"/>
    <w:next w:val="1002"/>
    <w:uiPriority w:val="39"/>
    <w:unhideWhenUsed/>
    <w:pPr>
      <w:pBdr/>
      <w:spacing w:after="100"/>
      <w:ind w:left="440"/>
    </w:pPr>
  </w:style>
  <w:style w:type="paragraph" w:styleId="993">
    <w:name w:val="toc 4"/>
    <w:basedOn w:val="1002"/>
    <w:next w:val="1002"/>
    <w:uiPriority w:val="39"/>
    <w:unhideWhenUsed/>
    <w:pPr>
      <w:pBdr/>
      <w:spacing w:after="100"/>
      <w:ind w:left="660"/>
    </w:pPr>
  </w:style>
  <w:style w:type="paragraph" w:styleId="994">
    <w:name w:val="toc 5"/>
    <w:basedOn w:val="1002"/>
    <w:next w:val="1002"/>
    <w:uiPriority w:val="39"/>
    <w:unhideWhenUsed/>
    <w:pPr>
      <w:pBdr/>
      <w:spacing w:after="100"/>
      <w:ind w:left="880"/>
    </w:pPr>
  </w:style>
  <w:style w:type="paragraph" w:styleId="995">
    <w:name w:val="toc 6"/>
    <w:basedOn w:val="1002"/>
    <w:next w:val="1002"/>
    <w:uiPriority w:val="39"/>
    <w:unhideWhenUsed/>
    <w:pPr>
      <w:pBdr/>
      <w:spacing w:after="100"/>
      <w:ind w:left="1100"/>
    </w:pPr>
  </w:style>
  <w:style w:type="paragraph" w:styleId="996">
    <w:name w:val="toc 7"/>
    <w:basedOn w:val="1002"/>
    <w:next w:val="1002"/>
    <w:uiPriority w:val="39"/>
    <w:unhideWhenUsed/>
    <w:pPr>
      <w:pBdr/>
      <w:spacing w:after="100"/>
      <w:ind w:left="1320"/>
    </w:pPr>
  </w:style>
  <w:style w:type="paragraph" w:styleId="997">
    <w:name w:val="toc 8"/>
    <w:basedOn w:val="1002"/>
    <w:next w:val="1002"/>
    <w:uiPriority w:val="39"/>
    <w:unhideWhenUsed/>
    <w:pPr>
      <w:pBdr/>
      <w:spacing w:after="100"/>
      <w:ind w:left="1540"/>
    </w:pPr>
  </w:style>
  <w:style w:type="paragraph" w:styleId="998">
    <w:name w:val="toc 9"/>
    <w:basedOn w:val="1002"/>
    <w:next w:val="1002"/>
    <w:uiPriority w:val="39"/>
    <w:unhideWhenUsed/>
    <w:pPr>
      <w:pBdr/>
      <w:spacing w:after="100"/>
      <w:ind w:left="1760"/>
    </w:pPr>
  </w:style>
  <w:style w:type="character" w:styleId="999">
    <w:name w:val="Placeholder Text"/>
    <w:basedOn w:val="1007"/>
    <w:uiPriority w:val="99"/>
    <w:semiHidden/>
    <w:pPr>
      <w:pBdr/>
      <w:spacing/>
      <w:ind/>
    </w:pPr>
    <w:rPr>
      <w:color w:val="666666"/>
    </w:rPr>
  </w:style>
  <w:style w:type="paragraph" w:styleId="1000">
    <w:name w:val="TOC Heading"/>
    <w:uiPriority w:val="39"/>
    <w:unhideWhenUsed/>
    <w:pPr>
      <w:pBdr/>
      <w:spacing/>
      <w:ind/>
    </w:pPr>
  </w:style>
  <w:style w:type="paragraph" w:styleId="1001">
    <w:name w:val="table of figures"/>
    <w:basedOn w:val="1002"/>
    <w:next w:val="1002"/>
    <w:uiPriority w:val="99"/>
    <w:unhideWhenUsed/>
    <w:pPr>
      <w:pBdr/>
      <w:spacing w:after="0" w:afterAutospacing="0"/>
      <w:ind/>
    </w:pPr>
  </w:style>
  <w:style w:type="paragraph" w:styleId="1002" w:default="1">
    <w:name w:val="Normal"/>
    <w:qFormat/>
    <w:pPr>
      <w:pBdr/>
      <w:spacing w:after="0" w:line="240" w:lineRule="auto"/>
      <w:ind/>
    </w:pPr>
    <w:rPr>
      <w:rFonts w:ascii="Times New Roman" w:hAnsi="Times New Roman" w:eastAsia="Times New Roman" w:cs="Times New Roman"/>
      <w:sz w:val="24"/>
      <w:szCs w:val="24"/>
    </w:rPr>
  </w:style>
  <w:style w:type="paragraph" w:styleId="1003">
    <w:name w:val="Heading 1"/>
    <w:basedOn w:val="1002"/>
    <w:next w:val="1002"/>
    <w:link w:val="1010"/>
    <w:qFormat/>
    <w:pPr>
      <w:keepNext w:val="true"/>
      <w:pBdr/>
      <w:spacing w:after="120" w:before="120"/>
      <w:ind/>
      <w:jc w:val="center"/>
      <w:outlineLvl w:val="0"/>
    </w:pPr>
    <w:rPr>
      <w:b/>
      <w:bCs/>
      <w:sz w:val="27"/>
      <w:szCs w:val="27"/>
    </w:rPr>
  </w:style>
  <w:style w:type="paragraph" w:styleId="1004">
    <w:name w:val="Heading 2"/>
    <w:basedOn w:val="1002"/>
    <w:next w:val="1002"/>
    <w:link w:val="1011"/>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5">
    <w:name w:val="Heading 3"/>
    <w:basedOn w:val="1002"/>
    <w:next w:val="1002"/>
    <w:link w:val="1012"/>
    <w:qFormat/>
    <w:pPr>
      <w:keepNext w:val="true"/>
      <w:pBdr/>
      <w:spacing w:before="60"/>
      <w:ind/>
      <w:outlineLvl w:val="2"/>
    </w:pPr>
    <w:rPr>
      <w:sz w:val="28"/>
      <w:szCs w:val="28"/>
    </w:rPr>
  </w:style>
  <w:style w:type="paragraph" w:styleId="1006">
    <w:name w:val="Heading 4"/>
    <w:basedOn w:val="1002"/>
    <w:next w:val="1002"/>
    <w:link w:val="1013"/>
    <w:qFormat/>
    <w:pPr>
      <w:keepNext w:val="true"/>
      <w:pBdr/>
      <w:spacing/>
      <w:ind/>
      <w:jc w:val="center"/>
      <w:outlineLvl w:val="3"/>
    </w:pPr>
    <w:rPr>
      <w:b/>
      <w:bCs/>
    </w:rPr>
  </w:style>
  <w:style w:type="character" w:styleId="1007" w:default="1">
    <w:name w:val="Default Paragraph Font"/>
    <w:uiPriority w:val="1"/>
    <w:semiHidden/>
    <w:unhideWhenUsed/>
    <w:pPr>
      <w:pBdr/>
      <w:spacing/>
      <w:ind/>
    </w:pPr>
  </w:style>
  <w:style w:type="table" w:styleId="1008"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09" w:default="1">
    <w:name w:val="No List"/>
    <w:uiPriority w:val="99"/>
    <w:semiHidden/>
    <w:unhideWhenUsed/>
    <w:pPr>
      <w:pBdr/>
      <w:spacing/>
      <w:ind/>
    </w:pPr>
  </w:style>
  <w:style w:type="character" w:styleId="1010" w:customStyle="1">
    <w:name w:val="Heading 1 Char"/>
    <w:basedOn w:val="1007"/>
    <w:link w:val="1003"/>
    <w:pPr>
      <w:pBdr/>
      <w:spacing/>
      <w:ind/>
    </w:pPr>
    <w:rPr>
      <w:rFonts w:ascii="Times New Roman" w:hAnsi="Times New Roman" w:eastAsia="Times New Roman" w:cs="Times New Roman"/>
      <w:b/>
      <w:bCs/>
      <w:sz w:val="27"/>
      <w:szCs w:val="27"/>
    </w:rPr>
  </w:style>
  <w:style w:type="character" w:styleId="1011" w:customStyle="1">
    <w:name w:val="Heading 2 Char"/>
    <w:basedOn w:val="1007"/>
    <w:link w:val="1004"/>
    <w:uiPriority w:val="9"/>
    <w:pPr>
      <w:pBdr/>
      <w:spacing/>
      <w:ind/>
    </w:pPr>
    <w:rPr>
      <w:rFonts w:asciiTheme="majorHAnsi" w:hAnsiTheme="majorHAnsi" w:eastAsiaTheme="majorEastAsia" w:cstheme="majorBidi"/>
      <w:color w:val="365f91" w:themeColor="accent1" w:themeShade="BF"/>
      <w:sz w:val="26"/>
      <w:szCs w:val="26"/>
    </w:rPr>
  </w:style>
  <w:style w:type="character" w:styleId="1012" w:customStyle="1">
    <w:name w:val="Heading 3 Char"/>
    <w:basedOn w:val="1007"/>
    <w:link w:val="1005"/>
    <w:pPr>
      <w:pBdr/>
      <w:spacing/>
      <w:ind/>
    </w:pPr>
    <w:rPr>
      <w:rFonts w:ascii="Times New Roman" w:hAnsi="Times New Roman" w:eastAsia="Times New Roman" w:cs="Times New Roman"/>
      <w:sz w:val="28"/>
      <w:szCs w:val="28"/>
    </w:rPr>
  </w:style>
  <w:style w:type="character" w:styleId="1013" w:customStyle="1">
    <w:name w:val="Heading 4 Char"/>
    <w:basedOn w:val="1007"/>
    <w:link w:val="1006"/>
    <w:pPr>
      <w:pBdr/>
      <w:spacing/>
      <w:ind/>
    </w:pPr>
    <w:rPr>
      <w:rFonts w:ascii="Times New Roman" w:hAnsi="Times New Roman" w:eastAsia="Times New Roman" w:cs="Times New Roman"/>
      <w:b/>
      <w:bCs/>
      <w:sz w:val="24"/>
      <w:szCs w:val="24"/>
    </w:rPr>
  </w:style>
  <w:style w:type="character" w:styleId="1014">
    <w:name w:val="Hyperlink"/>
    <w:uiPriority w:val="99"/>
    <w:pPr>
      <w:pBdr/>
      <w:spacing/>
      <w:ind/>
    </w:pPr>
    <w:rPr>
      <w:color w:val="000000"/>
      <w:u w:val="single"/>
    </w:rPr>
  </w:style>
  <w:style w:type="character" w:styleId="1015">
    <w:name w:val="Strong"/>
    <w:uiPriority w:val="22"/>
    <w:qFormat/>
    <w:pPr>
      <w:pBdr/>
      <w:spacing/>
      <w:ind/>
    </w:pPr>
    <w:rPr>
      <w:b/>
      <w:bCs/>
    </w:rPr>
  </w:style>
  <w:style w:type="paragraph" w:styleId="1016">
    <w:name w:val="Balloon Text"/>
    <w:basedOn w:val="1002"/>
    <w:link w:val="1017"/>
    <w:uiPriority w:val="99"/>
    <w:semiHidden/>
    <w:unhideWhenUsed/>
    <w:pPr>
      <w:pBdr/>
      <w:spacing/>
      <w:ind/>
    </w:pPr>
    <w:rPr>
      <w:rFonts w:ascii="Tahoma" w:hAnsi="Tahoma" w:cs="Tahoma"/>
      <w:sz w:val="16"/>
      <w:szCs w:val="16"/>
    </w:rPr>
  </w:style>
  <w:style w:type="character" w:styleId="1017" w:customStyle="1">
    <w:name w:val="Balloon Text Char"/>
    <w:basedOn w:val="1007"/>
    <w:link w:val="1016"/>
    <w:uiPriority w:val="99"/>
    <w:semiHidden/>
    <w:pPr>
      <w:pBdr/>
      <w:spacing/>
      <w:ind/>
    </w:pPr>
    <w:rPr>
      <w:rFonts w:ascii="Tahoma" w:hAnsi="Tahoma" w:eastAsia="Times New Roman" w:cs="Tahoma"/>
      <w:sz w:val="16"/>
      <w:szCs w:val="16"/>
    </w:rPr>
  </w:style>
  <w:style w:type="paragraph" w:styleId="1018">
    <w:name w:val="Header"/>
    <w:basedOn w:val="1002"/>
    <w:link w:val="1019"/>
    <w:unhideWhenUsed/>
    <w:pPr>
      <w:pBdr/>
      <w:tabs>
        <w:tab w:val="center" w:leader="none" w:pos="4680"/>
        <w:tab w:val="right" w:leader="none" w:pos="9360"/>
      </w:tabs>
      <w:spacing/>
      <w:ind/>
    </w:pPr>
  </w:style>
  <w:style w:type="character" w:styleId="1019" w:customStyle="1">
    <w:name w:val="Header Char"/>
    <w:basedOn w:val="1007"/>
    <w:link w:val="1018"/>
    <w:pPr>
      <w:pBdr/>
      <w:spacing/>
      <w:ind/>
    </w:pPr>
    <w:rPr>
      <w:rFonts w:ascii="Times New Roman" w:hAnsi="Times New Roman" w:eastAsia="Times New Roman" w:cs="Times New Roman"/>
      <w:sz w:val="24"/>
      <w:szCs w:val="24"/>
    </w:rPr>
  </w:style>
  <w:style w:type="paragraph" w:styleId="1020">
    <w:name w:val="Footer"/>
    <w:basedOn w:val="1002"/>
    <w:link w:val="1021"/>
    <w:uiPriority w:val="99"/>
    <w:unhideWhenUsed/>
    <w:pPr>
      <w:pBdr/>
      <w:tabs>
        <w:tab w:val="center" w:leader="none" w:pos="4680"/>
        <w:tab w:val="right" w:leader="none" w:pos="9360"/>
      </w:tabs>
      <w:spacing/>
      <w:ind/>
    </w:pPr>
  </w:style>
  <w:style w:type="character" w:styleId="1021" w:customStyle="1">
    <w:name w:val="Footer Char"/>
    <w:basedOn w:val="1007"/>
    <w:link w:val="1020"/>
    <w:uiPriority w:val="99"/>
    <w:pPr>
      <w:pBdr/>
      <w:spacing/>
      <w:ind/>
    </w:pPr>
    <w:rPr>
      <w:rFonts w:ascii="Times New Roman" w:hAnsi="Times New Roman" w:eastAsia="Times New Roman" w:cs="Times New Roman"/>
      <w:sz w:val="24"/>
      <w:szCs w:val="24"/>
    </w:rPr>
  </w:style>
  <w:style w:type="character" w:styleId="1022" w:customStyle="1">
    <w:name w:val="normal-h1"/>
    <w:pPr>
      <w:pBdr/>
      <w:spacing/>
      <w:ind/>
    </w:pPr>
    <w:rPr>
      <w:rFonts w:hint="default" w:ascii=".VnTime" w:hAnsi=".VnTime"/>
      <w:color w:val="0000ff"/>
      <w:sz w:val="24"/>
      <w:szCs w:val="24"/>
    </w:rPr>
  </w:style>
  <w:style w:type="paragraph" w:styleId="1023" w:customStyle="1">
    <w:name w:val="normal-p"/>
    <w:basedOn w:val="1002"/>
    <w:pPr>
      <w:pBdr/>
      <w:spacing/>
      <w:ind/>
      <w:jc w:val="both"/>
    </w:pPr>
    <w:rPr>
      <w:sz w:val="20"/>
      <w:szCs w:val="20"/>
    </w:rPr>
  </w:style>
  <w:style w:type="paragraph" w:styleId="1024">
    <w:name w:val="List Paragraph"/>
    <w:basedOn w:val="1002"/>
    <w:link w:val="1111"/>
    <w:uiPriority w:val="34"/>
    <w:qFormat/>
    <w:pPr>
      <w:pBdr/>
      <w:spacing/>
      <w:ind w:left="720"/>
    </w:pPr>
  </w:style>
  <w:style w:type="paragraph" w:styleId="1025">
    <w:name w:val="Normal (Web)"/>
    <w:basedOn w:val="1002"/>
    <w:uiPriority w:val="99"/>
    <w:pPr>
      <w:pBdr/>
      <w:spacing w:after="100" w:afterAutospacing="1" w:before="100" w:beforeAutospacing="1"/>
      <w:ind/>
    </w:pPr>
  </w:style>
  <w:style w:type="paragraph" w:styleId="1026">
    <w:name w:val="Body Text"/>
    <w:basedOn w:val="1002"/>
    <w:link w:val="1027"/>
    <w:pPr>
      <w:pBdr/>
      <w:spacing w:after="120"/>
      <w:ind/>
      <w:jc w:val="both"/>
    </w:pPr>
  </w:style>
  <w:style w:type="character" w:styleId="1027" w:customStyle="1">
    <w:name w:val="Body Text Char"/>
    <w:basedOn w:val="1007"/>
    <w:link w:val="1026"/>
    <w:pPr>
      <w:pBdr/>
      <w:spacing/>
      <w:ind/>
    </w:pPr>
    <w:rPr>
      <w:rFonts w:ascii="Times New Roman" w:hAnsi="Times New Roman" w:eastAsia="Times New Roman" w:cs="Times New Roman"/>
      <w:sz w:val="24"/>
      <w:szCs w:val="24"/>
    </w:rPr>
  </w:style>
  <w:style w:type="table" w:styleId="1028">
    <w:name w:val="Table Grid"/>
    <w:basedOn w:val="1008"/>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29"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0">
    <w:name w:val="annotation reference"/>
    <w:basedOn w:val="1007"/>
    <w:uiPriority w:val="99"/>
    <w:semiHidden/>
    <w:unhideWhenUsed/>
    <w:pPr>
      <w:pBdr/>
      <w:spacing/>
      <w:ind/>
    </w:pPr>
    <w:rPr>
      <w:sz w:val="16"/>
      <w:szCs w:val="16"/>
    </w:rPr>
  </w:style>
  <w:style w:type="paragraph" w:styleId="1031">
    <w:name w:val="annotation text"/>
    <w:basedOn w:val="1002"/>
    <w:link w:val="1032"/>
    <w:uiPriority w:val="99"/>
    <w:unhideWhenUsed/>
    <w:pPr>
      <w:pBdr/>
      <w:spacing/>
      <w:ind/>
    </w:pPr>
    <w:rPr>
      <w:sz w:val="20"/>
      <w:szCs w:val="20"/>
    </w:rPr>
  </w:style>
  <w:style w:type="character" w:styleId="1032" w:customStyle="1">
    <w:name w:val="Comment Text Char"/>
    <w:basedOn w:val="1007"/>
    <w:link w:val="1031"/>
    <w:uiPriority w:val="99"/>
    <w:pPr>
      <w:pBdr/>
      <w:spacing/>
      <w:ind/>
    </w:pPr>
    <w:rPr>
      <w:rFonts w:ascii="Times New Roman" w:hAnsi="Times New Roman" w:eastAsia="Times New Roman" w:cs="Times New Roman"/>
      <w:sz w:val="20"/>
      <w:szCs w:val="20"/>
    </w:rPr>
  </w:style>
  <w:style w:type="paragraph" w:styleId="1033">
    <w:name w:val="annotation subject"/>
    <w:basedOn w:val="1031"/>
    <w:next w:val="1031"/>
    <w:link w:val="1034"/>
    <w:uiPriority w:val="99"/>
    <w:semiHidden/>
    <w:unhideWhenUsed/>
    <w:pPr>
      <w:pBdr/>
      <w:spacing/>
      <w:ind/>
    </w:pPr>
    <w:rPr>
      <w:b/>
      <w:bCs/>
    </w:rPr>
  </w:style>
  <w:style w:type="character" w:styleId="1034" w:customStyle="1">
    <w:name w:val="Comment Subject Char"/>
    <w:basedOn w:val="1032"/>
    <w:link w:val="1033"/>
    <w:uiPriority w:val="99"/>
    <w:semiHidden/>
    <w:pPr>
      <w:pBdr/>
      <w:spacing/>
      <w:ind/>
    </w:pPr>
    <w:rPr>
      <w:rFonts w:ascii="Times New Roman" w:hAnsi="Times New Roman" w:eastAsia="Times New Roman" w:cs="Times New Roman"/>
      <w:b/>
      <w:bCs/>
      <w:sz w:val="20"/>
      <w:szCs w:val="20"/>
    </w:rPr>
  </w:style>
  <w:style w:type="paragraph" w:styleId="1035" w:customStyle="1">
    <w:name w:val="font5"/>
    <w:basedOn w:val="1002"/>
    <w:pPr>
      <w:pBdr/>
      <w:spacing w:after="100" w:afterAutospacing="1" w:before="100" w:beforeAutospacing="1"/>
      <w:ind/>
    </w:pPr>
    <w:rPr>
      <w:rFonts w:ascii="Tahoma" w:hAnsi="Tahoma" w:cs="Tahoma"/>
      <w:color w:val="000000"/>
      <w:sz w:val="18"/>
      <w:szCs w:val="18"/>
    </w:rPr>
  </w:style>
  <w:style w:type="paragraph" w:styleId="1036" w:customStyle="1">
    <w:name w:val="font6"/>
    <w:basedOn w:val="1002"/>
    <w:pPr>
      <w:pBdr/>
      <w:spacing w:after="100" w:afterAutospacing="1" w:before="100" w:beforeAutospacing="1"/>
      <w:ind/>
    </w:pPr>
    <w:rPr>
      <w:rFonts w:ascii="Tahoma" w:hAnsi="Tahoma" w:cs="Tahoma"/>
      <w:b/>
      <w:bCs/>
      <w:color w:val="000000"/>
      <w:sz w:val="18"/>
      <w:szCs w:val="18"/>
    </w:rPr>
  </w:style>
  <w:style w:type="paragraph" w:styleId="1037" w:customStyle="1">
    <w:name w:val="xl233"/>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8" w:customStyle="1">
    <w:name w:val="xl234"/>
    <w:basedOn w:val="1002"/>
    <w:pPr>
      <w:pBdr/>
      <w:spacing w:after="100" w:afterAutospacing="1" w:before="100" w:beforeAutospacing="1"/>
      <w:ind/>
      <w:jc w:val="center"/>
    </w:pPr>
  </w:style>
  <w:style w:type="paragraph" w:styleId="1039" w:customStyle="1">
    <w:name w:val="xl235"/>
    <w:basedOn w:val="1002"/>
    <w:pPr>
      <w:pBdr/>
      <w:spacing w:after="100" w:afterAutospacing="1" w:before="100" w:beforeAutospacing="1"/>
      <w:ind/>
      <w:jc w:val="center"/>
    </w:pPr>
    <w:rPr>
      <w:b/>
      <w:bCs/>
    </w:rPr>
  </w:style>
  <w:style w:type="paragraph" w:styleId="1040" w:customStyle="1">
    <w:name w:val="xl236"/>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1" w:customStyle="1">
    <w:name w:val="xl23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2" w:customStyle="1">
    <w:name w:val="xl238"/>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3" w:customStyle="1">
    <w:name w:val="xl23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4" w:customStyle="1">
    <w:name w:val="xl240"/>
    <w:basedOn w:val="1002"/>
    <w:pPr>
      <w:pBdr/>
      <w:spacing w:after="100" w:afterAutospacing="1" w:before="100" w:beforeAutospacing="1"/>
      <w:ind/>
    </w:pPr>
  </w:style>
  <w:style w:type="paragraph" w:styleId="1045" w:customStyle="1">
    <w:name w:val="xl241"/>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6" w:customStyle="1">
    <w:name w:val="xl242"/>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7" w:customStyle="1">
    <w:name w:val="xl243"/>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8" w:customStyle="1">
    <w:name w:val="xl244"/>
    <w:basedOn w:val="1002"/>
    <w:pPr>
      <w:pBdr/>
      <w:spacing w:after="100" w:afterAutospacing="1" w:before="100" w:beforeAutospacing="1"/>
      <w:ind/>
    </w:pPr>
    <w:rPr>
      <w:b/>
      <w:bCs/>
    </w:rPr>
  </w:style>
  <w:style w:type="paragraph" w:styleId="1049" w:customStyle="1">
    <w:name w:val="xl245"/>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6"/>
    <w:basedOn w:val="100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1" w:customStyle="1">
    <w:name w:val="xl247"/>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2" w:customStyle="1">
    <w:name w:val="xl248"/>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3" w:customStyle="1">
    <w:name w:val="xl24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4" w:customStyle="1">
    <w:name w:val="xl250"/>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5" w:customStyle="1">
    <w:name w:val="xl251"/>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6" w:customStyle="1">
    <w:name w:val="xl25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7" w:customStyle="1">
    <w:name w:val="xl253"/>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4"/>
    <w:basedOn w:val="1002"/>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5"/>
    <w:basedOn w:val="100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0" w:customStyle="1">
    <w:name w:val="xl256"/>
    <w:basedOn w:val="100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2" w:customStyle="1">
    <w:name w:val="xl258"/>
    <w:basedOn w:val="1002"/>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4" w:customStyle="1">
    <w:name w:val="xl260"/>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1"/>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6" w:customStyle="1">
    <w:name w:val="xl262"/>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7" w:customStyle="1">
    <w:name w:val="xl263"/>
    <w:basedOn w:val="1002"/>
    <w:pPr>
      <w:pBdr/>
      <w:shd w:val="clear" w:color="000000" w:fill="ffffff"/>
      <w:spacing w:after="100" w:afterAutospacing="1" w:before="100" w:beforeAutospacing="1"/>
      <w:ind/>
    </w:pPr>
  </w:style>
  <w:style w:type="paragraph" w:styleId="1068" w:customStyle="1">
    <w:name w:val="xl264"/>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5"/>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0" w:customStyle="1">
    <w:name w:val="xl26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1" w:customStyle="1">
    <w:name w:val="xl26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2" w:customStyle="1">
    <w:name w:val="xl268"/>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3" w:customStyle="1">
    <w:name w:val="xl269"/>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70"/>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5" w:customStyle="1">
    <w:name w:val="xl271"/>
    <w:basedOn w:val="1002"/>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6" w:customStyle="1">
    <w:name w:val="xl27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7" w:customStyle="1">
    <w:name w:val="xl273"/>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8" w:customStyle="1">
    <w:name w:val="xl274"/>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9" w:customStyle="1">
    <w:name w:val="xl275"/>
    <w:basedOn w:val="1002"/>
    <w:pPr>
      <w:pBdr/>
      <w:spacing w:after="100" w:afterAutospacing="1" w:before="100" w:beforeAutospacing="1"/>
      <w:ind/>
    </w:pPr>
  </w:style>
  <w:style w:type="paragraph" w:styleId="1080" w:customStyle="1">
    <w:name w:val="xl27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1" w:customStyle="1">
    <w:name w:val="xl277"/>
    <w:basedOn w:val="100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2" w:customStyle="1">
    <w:name w:val="xl278"/>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3" w:customStyle="1">
    <w:name w:val="xl27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80"/>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5" w:customStyle="1">
    <w:name w:val="xl281"/>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6" w:customStyle="1">
    <w:name w:val="xl28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7" w:customStyle="1">
    <w:name w:val="xl283"/>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8" w:customStyle="1">
    <w:name w:val="xl284"/>
    <w:basedOn w:val="1002"/>
    <w:pPr>
      <w:pBdr>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5"/>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87"/>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8"/>
    <w:basedOn w:val="1002"/>
    <w:pPr>
      <w:pBdr>
        <w:top w:val="single" w:color="000000" w:sz="4" w:space="0"/>
        <w:left w:val="single" w:color="000000" w:sz="4" w:space="0"/>
        <w:right w:val="single" w:color="000000" w:sz="4" w:space="0"/>
      </w:pBdr>
      <w:spacing w:after="100" w:afterAutospacing="1" w:before="100" w:beforeAutospacing="1"/>
      <w:ind/>
    </w:pPr>
  </w:style>
  <w:style w:type="paragraph" w:styleId="1093" w:customStyle="1">
    <w:name w:val="xl289"/>
    <w:basedOn w:val="1002"/>
    <w:pPr>
      <w:pBdr>
        <w:left w:val="single" w:color="000000" w:sz="4" w:space="0"/>
        <w:right w:val="single" w:color="000000" w:sz="4" w:space="0"/>
      </w:pBdr>
      <w:spacing w:after="100" w:afterAutospacing="1" w:before="100" w:beforeAutospacing="1"/>
      <w:ind/>
    </w:pPr>
    <w:rPr>
      <w:b/>
      <w:bCs/>
    </w:rPr>
  </w:style>
  <w:style w:type="paragraph" w:styleId="1094" w:customStyle="1">
    <w:name w:val="xl290"/>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5" w:customStyle="1">
    <w:name w:val="xl291"/>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6" w:customStyle="1">
    <w:name w:val="xl292"/>
    <w:basedOn w:val="1002"/>
    <w:pPr>
      <w:pBdr>
        <w:top w:val="single" w:color="000000" w:sz="4" w:space="0"/>
        <w:left w:val="single" w:color="000000" w:sz="4" w:space="0"/>
        <w:right w:val="single" w:color="000000" w:sz="4" w:space="0"/>
      </w:pBdr>
      <w:spacing w:after="100" w:afterAutospacing="1" w:before="100" w:beforeAutospacing="1"/>
      <w:ind/>
    </w:pPr>
  </w:style>
  <w:style w:type="paragraph" w:styleId="1097" w:customStyle="1">
    <w:name w:val="xl293"/>
    <w:basedOn w:val="1002"/>
    <w:pPr>
      <w:pBdr>
        <w:left w:val="single" w:color="000000" w:sz="4" w:space="0"/>
        <w:bottom w:val="single" w:color="000000" w:sz="4" w:space="0"/>
        <w:right w:val="single" w:color="000000" w:sz="4" w:space="0"/>
      </w:pBdr>
      <w:spacing w:after="100" w:afterAutospacing="1" w:before="100" w:beforeAutospacing="1"/>
      <w:ind/>
    </w:pPr>
  </w:style>
  <w:style w:type="paragraph" w:styleId="1098" w:customStyle="1">
    <w:name w:val="xl294"/>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9">
    <w:name w:val="Title"/>
    <w:basedOn w:val="1002"/>
    <w:link w:val="1100"/>
    <w:qFormat/>
    <w:pPr>
      <w:pBdr/>
      <w:spacing/>
      <w:ind/>
      <w:jc w:val="center"/>
    </w:pPr>
    <w:rPr>
      <w:b/>
      <w:bCs/>
      <w:sz w:val="32"/>
      <w:szCs w:val="26"/>
    </w:rPr>
  </w:style>
  <w:style w:type="character" w:styleId="1100" w:customStyle="1">
    <w:name w:val="Title Char"/>
    <w:basedOn w:val="1007"/>
    <w:link w:val="1099"/>
    <w:pPr>
      <w:pBdr/>
      <w:spacing/>
      <w:ind/>
    </w:pPr>
    <w:rPr>
      <w:rFonts w:ascii="Times New Roman" w:hAnsi="Times New Roman" w:eastAsia="Times New Roman" w:cs="Times New Roman"/>
      <w:b/>
      <w:bCs/>
      <w:sz w:val="32"/>
      <w:szCs w:val="26"/>
    </w:rPr>
  </w:style>
  <w:style w:type="character" w:styleId="1101" w:customStyle="1">
    <w:name w:val="Unresolved Mention1"/>
    <w:basedOn w:val="1007"/>
    <w:uiPriority w:val="99"/>
    <w:semiHidden/>
    <w:unhideWhenUsed/>
    <w:pPr>
      <w:pBdr/>
      <w:spacing/>
      <w:ind/>
    </w:pPr>
    <w:rPr>
      <w:color w:val="605e5c"/>
      <w:shd w:val="clear" w:color="auto" w:fill="e1dfdd"/>
    </w:rPr>
  </w:style>
  <w:style w:type="character" w:styleId="1102" w:customStyle="1">
    <w:name w:val="Body text (3)_"/>
    <w:link w:val="1103"/>
    <w:pPr>
      <w:pBdr/>
      <w:spacing/>
      <w:ind/>
    </w:pPr>
    <w:rPr>
      <w:rFonts w:ascii="Times New Roman" w:hAnsi="Times New Roman" w:cs="Times New Roman"/>
      <w:i/>
      <w:iCs/>
      <w:spacing w:val="4"/>
      <w:shd w:val="clear" w:color="auto" w:fill="ffffff"/>
    </w:rPr>
  </w:style>
  <w:style w:type="paragraph" w:styleId="1103" w:customStyle="1">
    <w:name w:val="Body text (3)1"/>
    <w:basedOn w:val="1002"/>
    <w:link w:val="1102"/>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4" w:customStyle="1">
    <w:name w:val="t-j"/>
    <w:basedOn w:val="1002"/>
    <w:pPr>
      <w:pBdr/>
      <w:spacing w:after="100" w:afterAutospacing="1" w:before="100" w:beforeAutospacing="1"/>
      <w:ind/>
    </w:pPr>
  </w:style>
  <w:style w:type="character" w:styleId="1105" w:customStyle="1">
    <w:name w:val="Unresolved Mention2"/>
    <w:basedOn w:val="1007"/>
    <w:uiPriority w:val="99"/>
    <w:semiHidden/>
    <w:unhideWhenUsed/>
    <w:pPr>
      <w:pBdr/>
      <w:spacing/>
      <w:ind/>
    </w:pPr>
    <w:rPr>
      <w:color w:val="605e5c"/>
      <w:shd w:val="clear" w:color="auto" w:fill="e1dfdd"/>
    </w:rPr>
  </w:style>
  <w:style w:type="character" w:styleId="1106">
    <w:name w:val="FollowedHyperlink"/>
    <w:basedOn w:val="1007"/>
    <w:uiPriority w:val="99"/>
    <w:semiHidden/>
    <w:unhideWhenUsed/>
    <w:pPr>
      <w:pBdr/>
      <w:spacing/>
      <w:ind/>
    </w:pPr>
    <w:rPr>
      <w:color w:val="800080" w:themeColor="followedHyperlink"/>
      <w:u w:val="single"/>
    </w:rPr>
  </w:style>
  <w:style w:type="character" w:styleId="1107" w:customStyle="1">
    <w:name w:val="text"/>
    <w:basedOn w:val="1007"/>
    <w:pPr>
      <w:pBdr/>
      <w:spacing/>
      <w:ind/>
    </w:pPr>
  </w:style>
  <w:style w:type="character" w:styleId="1108" w:customStyle="1">
    <w:name w:val="card-send-time__sendtime"/>
    <w:basedOn w:val="1007"/>
    <w:pPr>
      <w:pBdr/>
      <w:spacing/>
      <w:ind/>
    </w:pPr>
  </w:style>
  <w:style w:type="character" w:styleId="1109" w:customStyle="1">
    <w:name w:val="Đề cập Chưa giải quyết1"/>
    <w:basedOn w:val="1007"/>
    <w:uiPriority w:val="99"/>
    <w:semiHidden/>
    <w:unhideWhenUsed/>
    <w:pPr>
      <w:pBdr/>
      <w:spacing/>
      <w:ind/>
    </w:pPr>
    <w:rPr>
      <w:color w:val="605e5c"/>
      <w:shd w:val="clear" w:color="auto" w:fill="e1dfdd"/>
    </w:rPr>
  </w:style>
  <w:style w:type="paragraph" w:styleId="1110" w:customStyle="1">
    <w:name w:val="nqtitle"/>
    <w:basedOn w:val="1002"/>
    <w:pPr>
      <w:pBdr/>
      <w:spacing w:after="100" w:afterAutospacing="1" w:before="100" w:beforeAutospacing="1"/>
      <w:ind/>
    </w:pPr>
    <w:rPr>
      <w:lang w:val="vi-VN" w:eastAsia="vi-VN"/>
    </w:rPr>
  </w:style>
  <w:style w:type="character" w:styleId="1111" w:customStyle="1">
    <w:name w:val="List Paragraph Char"/>
    <w:link w:val="1024"/>
    <w:uiPriority w:val="34"/>
    <w:qFormat/>
    <w:pPr>
      <w:pBdr/>
      <w:spacing/>
      <w:ind/>
    </w:pPr>
    <w:rPr>
      <w:rFonts w:ascii="Times New Roman" w:hAnsi="Times New Roman" w:eastAsia="Times New Roman" w:cs="Times New Roman"/>
      <w:sz w:val="24"/>
      <w:szCs w:val="24"/>
    </w:rPr>
  </w:style>
  <w:style w:type="character" w:styleId="1112" w:customStyle="1">
    <w:name w:val="Đề cập Chưa giải quyết2"/>
    <w:basedOn w:val="1007"/>
    <w:uiPriority w:val="99"/>
    <w:semiHidden/>
    <w:unhideWhenUsed/>
    <w:pPr>
      <w:pBdr/>
      <w:spacing/>
      <w:ind/>
    </w:pPr>
    <w:rPr>
      <w:color w:val="605e5c"/>
      <w:shd w:val="clear" w:color="auto" w:fill="e1dfdd"/>
    </w:rPr>
  </w:style>
  <w:style w:type="character" w:styleId="1113" w:customStyle="1">
    <w:name w:val="Unresolved Mention3"/>
    <w:basedOn w:val="1007"/>
    <w:uiPriority w:val="99"/>
    <w:semiHidden/>
    <w:unhideWhenUsed/>
    <w:pPr>
      <w:pBdr/>
      <w:spacing/>
      <w:ind/>
    </w:pPr>
    <w:rPr>
      <w:color w:val="605e5c"/>
      <w:shd w:val="clear" w:color="auto" w:fill="e1dfdd"/>
    </w:rPr>
  </w:style>
  <w:style w:type="character" w:styleId="1114" w:customStyle="1">
    <w:name w:val="copy"/>
    <w:basedOn w:val="1007"/>
    <w:pPr>
      <w:pBdr/>
      <w:spacing/>
      <w:ind/>
    </w:pPr>
  </w:style>
  <w:style w:type="paragraph" w:styleId="1115" w:customStyle="1">
    <w:name w:val="align-justify"/>
    <w:basedOn w:val="1002"/>
    <w:pPr>
      <w:pBdr/>
      <w:spacing w:after="100" w:afterAutospacing="1" w:before="100" w:beforeAutospacing="1"/>
      <w:ind/>
    </w:pPr>
  </w:style>
  <w:style w:type="character" w:styleId="1116" w:customStyle="1">
    <w:name w:val="btn"/>
    <w:basedOn w:val="1007"/>
    <w:pPr>
      <w:pBdr/>
      <w:spacing/>
      <w:ind/>
    </w:pPr>
  </w:style>
  <w:style w:type="character" w:styleId="1117" w:customStyle="1">
    <w:name w:val="hide_mobile"/>
    <w:basedOn w:val="1007"/>
    <w:pPr>
      <w:pBdr/>
      <w:spacing/>
      <w:ind/>
    </w:pPr>
  </w:style>
  <w:style w:type="character" w:styleId="1118">
    <w:name w:val="Emphasis"/>
    <w:basedOn w:val="1007"/>
    <w:uiPriority w:val="20"/>
    <w:qFormat/>
    <w:pPr>
      <w:pBdr/>
      <w:spacing/>
      <w:ind/>
    </w:pPr>
    <w:rPr>
      <w:i/>
      <w:iCs/>
    </w:rPr>
  </w:style>
  <w:style w:type="character" w:styleId="1119" w:customStyle="1">
    <w:name w:val="t1"/>
    <w:basedOn w:val="1007"/>
    <w:pPr>
      <w:pBdr/>
      <w:spacing/>
      <w:ind/>
    </w:pPr>
  </w:style>
  <w:style w:type="character" w:styleId="1120" w:customStyle="1">
    <w:name w:val="Unresolved Mention4"/>
    <w:basedOn w:val="1007"/>
    <w:uiPriority w:val="99"/>
    <w:semiHidden/>
    <w:unhideWhenUsed/>
    <w:pPr>
      <w:pBdr/>
      <w:spacing/>
      <w:ind/>
    </w:pPr>
    <w:rPr>
      <w:color w:val="605e5c"/>
      <w:shd w:val="clear" w:color="auto" w:fill="e1dfdd"/>
    </w:rPr>
  </w:style>
  <w:style w:type="character" w:styleId="1121">
    <w:name w:val="Unresolved Mention"/>
    <w:basedOn w:val="1007"/>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Đinh Thị Lan Hương</cp:lastModifiedBy>
  <cp:revision>280</cp:revision>
  <dcterms:created xsi:type="dcterms:W3CDTF">2025-09-15T09:58:00Z</dcterms:created>
  <dcterms:modified xsi:type="dcterms:W3CDTF">2026-07-20T11:04:13Z</dcterms:modified>
</cp:coreProperties>
</file>