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footer2.xml" ContentType="application/vnd.openxmlformats-officedocument.wordprocessingml.foot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left"/>
        <w:rPr>
          <w:b/>
          <w:sz w:val="28"/>
          <w:lang w:val="vi-VN"/>
        </w:rPr>
      </w:pPr>
      <w:r>
        <w:rPr>
          <w:b/>
          <w:sz w:val="28"/>
          <w:lang w:val="vi-VN"/>
        </w:rPr>
      </w:r>
      <w:r>
        <w:rPr>
          <w:b/>
          <w:sz w:val="28"/>
          <w:lang w:val="vi-VN"/>
        </w:rPr>
      </w:r>
      <w:r>
        <w:rPr>
          <w:b/>
          <w:sz w:val="28"/>
          <w:lang w:val="vi-VN"/>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3134949"/>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3134949"/>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000000" w:themeColor="text1"/>
                                <w:sz w:val="30"/>
                                <w:szCs w:val="30"/>
                              </w:rPr>
                            </w:pPr>
                            <w:r>
                              <w:rPr>
                                <w:b/>
                                <w:color w:val="000000" w:themeColor="text1"/>
                                <w:sz w:val="30"/>
                                <w:szCs w:val="30"/>
                              </w:rPr>
                              <w:t xml:space="preserve">CHỨNG THƯ</w:t>
                            </w:r>
                            <w:r>
                              <w:rPr>
                                <w:b/>
                                <w:color w:val="000000" w:themeColor="text1"/>
                                <w:sz w:val="30"/>
                                <w:szCs w:val="30"/>
                              </w:rPr>
                              <w:t xml:space="preserve">,</w:t>
                            </w:r>
                            <w:r>
                              <w:rPr>
                                <w:b/>
                                <w:color w:val="000000" w:themeColor="text1"/>
                                <w:sz w:val="30"/>
                                <w:szCs w:val="30"/>
                              </w:rPr>
                              <w:t xml:space="preserve"> BÁO CÁO THẨM ĐỊNH GIÁ</w:t>
                            </w:r>
                            <w:r>
                              <w:rPr>
                                <w:b/>
                                <w:color w:val="000000" w:themeColor="text1"/>
                                <w:sz w:val="30"/>
                                <w:szCs w:val="30"/>
                              </w:rPr>
                            </w:r>
                            <w:r>
                              <w:rPr>
                                <w:b/>
                                <w:color w:val="000000" w:themeColor="text1"/>
                                <w:sz w:val="30"/>
                                <w:szCs w:val="30"/>
                              </w:rPr>
                            </w:r>
                          </w:p>
                          <w:p>
                            <w:pPr>
                              <w:pBdr/>
                              <w:spacing w:after="120" w:before="120" w:line="276" w:lineRule="auto"/>
                              <w:ind/>
                              <w:jc w:val="center"/>
                              <w:rPr>
                                <w:b/>
                                <w:color w:val="000000" w:themeColor="text1"/>
                              </w:rPr>
                            </w:pPr>
                            <w:r>
                              <w:rPr>
                                <w:b/>
                                <w:color w:val="000000" w:themeColor="text1"/>
                              </w:rPr>
                              <w:t xml:space="preserve">Số: </w:t>
                            </w:r>
                            <w:r>
                              <w:rPr>
                                <w:b/>
                                <w:color w:val="000000" w:themeColor="text1"/>
                              </w:rPr>
                              <w:t xml:space="preserve">275/2026/1043/VFI-CT.36.A</w:t>
                            </w:r>
                            <w:r>
                              <w:rPr>
                                <w:b/>
                                <w:color w:val="000000" w:themeColor="text1"/>
                              </w:rPr>
                            </w:r>
                            <w:r>
                              <w:rPr>
                                <w:b/>
                                <w:color w:val="000000" w:themeColor="text1"/>
                              </w:rPr>
                            </w:r>
                          </w:p>
                          <w:p>
                            <w:pPr>
                              <w:pBdr/>
                              <w:tabs>
                                <w:tab w:val="left" w:leader="none" w:pos="3002"/>
                              </w:tabs>
                              <w:spacing w:after="120" w:before="120" w:line="276" w:lineRule="auto"/>
                              <w:ind/>
                              <w:jc w:val="center"/>
                              <w:rPr>
                                <w:rFonts w:ascii="Times New Roman Bold" w:hAnsi="Times New Roman Bold"/>
                                <w:b/>
                                <w:color w:val="000000" w:themeColor="text1"/>
                              </w:rPr>
                            </w:pPr>
                            <w:r>
                              <w:rPr>
                                <w:rFonts w:ascii="Times New Roman Bold" w:hAnsi="Times New Roman Bold"/>
                                <w:b/>
                                <w:color w:val="000000" w:themeColor="text1"/>
                                <w:lang w:val="pt-BR"/>
                              </w:rPr>
                              <w:t xml:space="preserve">Khách hàng yêu cầu: </w:t>
                            </w:r>
                            <w:r>
                              <w:rPr>
                                <w:rFonts w:ascii="Times New Roman Bold" w:hAnsi="Times New Roman Bold"/>
                                <w:b/>
                                <w:color w:val="000000" w:themeColor="text1"/>
                                <w:lang w:val="pt-BR"/>
                              </w:rPr>
                              <w:t xml:space="preserve">ÔNG NGUYỄN VĂN LỊCH</w:t>
                            </w:r>
                            <w:r>
                              <w:rPr>
                                <w:rFonts w:ascii="Times New Roman Bold" w:hAnsi="Times New Roman Bold"/>
                                <w:b/>
                                <w:color w:val="000000" w:themeColor="text1"/>
                                <w:lang w:val="pt-BR"/>
                              </w:rPr>
                            </w:r>
                            <w:r>
                              <w:rPr>
                                <w:rFonts w:ascii="Times New Roman Bold" w:hAnsi="Times New Roman Bold"/>
                                <w:b/>
                                <w:color w:val="000000" w:themeColor="text1"/>
                                <w:lang w:val="pt-BR"/>
                              </w:rPr>
                            </w:r>
                          </w:p>
                          <w:p>
                            <w:pPr>
                              <w:pBdr>
                                <w:top w:val="none" w:color="000000" w:sz="4" w:space="0"/>
                                <w:left w:val="none" w:color="000000" w:sz="4" w:space="0"/>
                                <w:bottom w:val="none" w:color="000000" w:sz="4" w:space="0"/>
                                <w:right w:val="none" w:color="000000" w:sz="4" w:space="0"/>
                              </w:pBdr>
                              <w:spacing w:after="120" w:before="119" w:beforeAutospacing="0" w:line="312" w:lineRule="auto"/>
                              <w:ind w:firstLine="0"/>
                              <w:jc w:val="both"/>
                              <w:rPr>
                                <w:spacing w:val="-2"/>
                                <w:lang w:val="pt-BR"/>
                                <w14:ligatures w14:val="none"/>
                              </w:rPr>
                            </w:pPr>
                            <w:r>
                              <w:rPr>
                                <w:b/>
                                <w:color w:val="000000" w:themeColor="text1"/>
                              </w:rPr>
                              <w:t xml:space="preserve">Tài sản thẩm </w:t>
                            </w:r>
                            <w:r>
                              <w:rPr>
                                <w:b/>
                                <w:color w:val="000000" w:themeColor="text1"/>
                              </w:rPr>
                              <w:t xml:space="preserve">định:</w:t>
                            </w:r>
                            <w:r>
                              <w:rPr>
                                <w:rFonts w:ascii="Times New Roman" w:hAnsi="Times New Roman" w:eastAsia="Times New Roman" w:cs="Times New Roman"/>
                                <w:color w:val="000000" w:themeColor="text1"/>
                                <w:sz w:val="24"/>
                              </w:rPr>
                              <w:t xml:space="preserve"> </w:t>
                            </w:r>
                            <w:r>
                              <w:rPr>
                                <w:color w:val="000000" w:themeColor="text1"/>
                                <w:spacing w:val="-2"/>
                                <w:lang w:val="pt-BR"/>
                              </w:rPr>
                              <w:t xml:space="preserve">Quyền sử dụng đất </w:t>
                            </w:r>
                            <w:r>
                              <w:rPr>
                                <w:color w:val="000000" w:themeColor="text1"/>
                                <w:spacing w:val="-2"/>
                                <w:lang w:val="pt-BR"/>
                              </w:rPr>
                              <w:t xml:space="preserve"> tại thửa đất số: 26, tờ bản đồ số: 23, có địa chỉ: Thôn 4, xã </w:t>
                            </w:r>
                            <w:r>
                              <w:rPr>
                                <w:spacing w:val="-2"/>
                                <w:lang w:val="pt-BR"/>
                              </w:rPr>
                              <w:t xml:space="preserve">Trung Châu, huyện Đan Phượng, thành phố Hà Nội (Nay là: Xã Liê</w:t>
                            </w:r>
                            <w:r>
                              <w:rPr>
                                <w:spacing w:val="-2"/>
                                <w:lang w:val="pt-BR"/>
                              </w:rPr>
                              <w:t xml:space="preserve">n Minh, thành phố Hà Nội) theo Giấy chứng nhận quyền sử dụng đất quyền sở hữu nhà ở và tài sản khác gắn liền với đất số: CH 670784, số vào sổ cấp GCN: CH-03178 do Ủy ban nhân dân huyện Đan Phượng cấp ngày 14/07/2017; Chủ sử dụng đất là Ông Nguyễn Văn Lịch.</w:t>
                            </w:r>
                            <w:r>
                              <w:rPr>
                                <w:spacing w:val="-2"/>
                                <w:lang w:val="pt-BR"/>
                                <w14:ligatures w14:val="none"/>
                              </w:rPr>
                            </w:r>
                            <w:r>
                              <w:rPr>
                                <w:spacing w:val="-2"/>
                                <w:lang w:val="pt-BR"/>
                                <w14:ligatures w14:val="none"/>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07/2026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246.85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000000" w:themeColor="text1"/>
                          <w:sz w:val="30"/>
                          <w:szCs w:val="30"/>
                        </w:rPr>
                      </w:pPr>
                      <w:r>
                        <w:rPr>
                          <w:b/>
                          <w:color w:val="000000" w:themeColor="text1"/>
                          <w:sz w:val="30"/>
                          <w:szCs w:val="30"/>
                        </w:rPr>
                        <w:t xml:space="preserve">CHỨNG THƯ</w:t>
                      </w:r>
                      <w:r>
                        <w:rPr>
                          <w:b/>
                          <w:color w:val="000000" w:themeColor="text1"/>
                          <w:sz w:val="30"/>
                          <w:szCs w:val="30"/>
                        </w:rPr>
                        <w:t xml:space="preserve">,</w:t>
                      </w:r>
                      <w:r>
                        <w:rPr>
                          <w:b/>
                          <w:color w:val="000000" w:themeColor="text1"/>
                          <w:sz w:val="30"/>
                          <w:szCs w:val="30"/>
                        </w:rPr>
                        <w:t xml:space="preserve"> BÁO CÁO THẨM ĐỊNH GIÁ</w:t>
                      </w:r>
                      <w:r>
                        <w:rPr>
                          <w:b/>
                          <w:color w:val="000000" w:themeColor="text1"/>
                          <w:sz w:val="30"/>
                          <w:szCs w:val="30"/>
                        </w:rPr>
                      </w:r>
                      <w:r>
                        <w:rPr>
                          <w:b/>
                          <w:color w:val="000000" w:themeColor="text1"/>
                          <w:sz w:val="30"/>
                          <w:szCs w:val="30"/>
                        </w:rPr>
                      </w:r>
                    </w:p>
                    <w:p>
                      <w:pPr>
                        <w:pBdr/>
                        <w:spacing w:after="120" w:before="120" w:line="276" w:lineRule="auto"/>
                        <w:ind/>
                        <w:jc w:val="center"/>
                        <w:rPr>
                          <w:b/>
                          <w:color w:val="000000" w:themeColor="text1"/>
                        </w:rPr>
                      </w:pPr>
                      <w:r>
                        <w:rPr>
                          <w:b/>
                          <w:color w:val="000000" w:themeColor="text1"/>
                        </w:rPr>
                        <w:t xml:space="preserve">Số: </w:t>
                      </w:r>
                      <w:r>
                        <w:rPr>
                          <w:b/>
                          <w:color w:val="000000" w:themeColor="text1"/>
                        </w:rPr>
                        <w:t xml:space="preserve">275/2026/1043/VFI-CT.36.A</w:t>
                      </w:r>
                      <w:r>
                        <w:rPr>
                          <w:b/>
                          <w:color w:val="000000" w:themeColor="text1"/>
                        </w:rPr>
                      </w:r>
                      <w:r>
                        <w:rPr>
                          <w:b/>
                          <w:color w:val="000000" w:themeColor="text1"/>
                        </w:rPr>
                      </w:r>
                    </w:p>
                    <w:p>
                      <w:pPr>
                        <w:pBdr/>
                        <w:tabs>
                          <w:tab w:val="left" w:leader="none" w:pos="3002"/>
                        </w:tabs>
                        <w:spacing w:after="120" w:before="120" w:line="276" w:lineRule="auto"/>
                        <w:ind/>
                        <w:jc w:val="center"/>
                        <w:rPr>
                          <w:rFonts w:ascii="Times New Roman Bold" w:hAnsi="Times New Roman Bold"/>
                          <w:b/>
                          <w:color w:val="000000" w:themeColor="text1"/>
                        </w:rPr>
                      </w:pPr>
                      <w:r>
                        <w:rPr>
                          <w:rFonts w:ascii="Times New Roman Bold" w:hAnsi="Times New Roman Bold"/>
                          <w:b/>
                          <w:color w:val="000000" w:themeColor="text1"/>
                          <w:lang w:val="pt-BR"/>
                        </w:rPr>
                        <w:t xml:space="preserve">Khách hàng yêu cầu: </w:t>
                      </w:r>
                      <w:r>
                        <w:rPr>
                          <w:rFonts w:ascii="Times New Roman Bold" w:hAnsi="Times New Roman Bold"/>
                          <w:b/>
                          <w:color w:val="000000" w:themeColor="text1"/>
                          <w:lang w:val="pt-BR"/>
                        </w:rPr>
                        <w:t xml:space="preserve">ÔNG NGUYỄN VĂN LỊCH</w:t>
                      </w:r>
                      <w:r>
                        <w:rPr>
                          <w:rFonts w:ascii="Times New Roman Bold" w:hAnsi="Times New Roman Bold"/>
                          <w:b/>
                          <w:color w:val="000000" w:themeColor="text1"/>
                          <w:lang w:val="pt-BR"/>
                        </w:rPr>
                      </w:r>
                      <w:r>
                        <w:rPr>
                          <w:rFonts w:ascii="Times New Roman Bold" w:hAnsi="Times New Roman Bold"/>
                          <w:b/>
                          <w:color w:val="000000" w:themeColor="text1"/>
                          <w:lang w:val="pt-BR"/>
                        </w:rPr>
                      </w:r>
                    </w:p>
                    <w:p>
                      <w:pPr>
                        <w:pBdr>
                          <w:top w:val="none" w:color="000000" w:sz="4" w:space="0"/>
                          <w:left w:val="none" w:color="000000" w:sz="4" w:space="0"/>
                          <w:bottom w:val="none" w:color="000000" w:sz="4" w:space="0"/>
                          <w:right w:val="none" w:color="000000" w:sz="4" w:space="0"/>
                        </w:pBdr>
                        <w:spacing w:after="120" w:before="119" w:beforeAutospacing="0" w:line="312" w:lineRule="auto"/>
                        <w:ind w:firstLine="0"/>
                        <w:jc w:val="both"/>
                        <w:rPr>
                          <w:spacing w:val="-2"/>
                          <w:lang w:val="pt-BR"/>
                          <w14:ligatures w14:val="none"/>
                        </w:rPr>
                      </w:pPr>
                      <w:r>
                        <w:rPr>
                          <w:b/>
                          <w:color w:val="000000" w:themeColor="text1"/>
                        </w:rPr>
                        <w:t xml:space="preserve">Tài sản thẩm </w:t>
                      </w:r>
                      <w:r>
                        <w:rPr>
                          <w:b/>
                          <w:color w:val="000000" w:themeColor="text1"/>
                        </w:rPr>
                        <w:t xml:space="preserve">định:</w:t>
                      </w:r>
                      <w:r>
                        <w:rPr>
                          <w:rFonts w:ascii="Times New Roman" w:hAnsi="Times New Roman" w:eastAsia="Times New Roman" w:cs="Times New Roman"/>
                          <w:color w:val="000000" w:themeColor="text1"/>
                          <w:sz w:val="24"/>
                        </w:rPr>
                        <w:t xml:space="preserve"> </w:t>
                      </w:r>
                      <w:r>
                        <w:rPr>
                          <w:color w:val="000000" w:themeColor="text1"/>
                          <w:spacing w:val="-2"/>
                          <w:lang w:val="pt-BR"/>
                        </w:rPr>
                        <w:t xml:space="preserve">Quyền sử dụng đất </w:t>
                      </w:r>
                      <w:r>
                        <w:rPr>
                          <w:color w:val="000000" w:themeColor="text1"/>
                          <w:spacing w:val="-2"/>
                          <w:lang w:val="pt-BR"/>
                        </w:rPr>
                        <w:t xml:space="preserve"> tại thửa đất số: 26, tờ bản đồ số: 23, có địa chỉ: Thôn 4, xã </w:t>
                      </w:r>
                      <w:r>
                        <w:rPr>
                          <w:spacing w:val="-2"/>
                          <w:lang w:val="pt-BR"/>
                        </w:rPr>
                        <w:t xml:space="preserve">Trung Châu, huyện Đan Phượng, thành phố Hà Nội (Nay là: Xã Liê</w:t>
                      </w:r>
                      <w:r>
                        <w:rPr>
                          <w:spacing w:val="-2"/>
                          <w:lang w:val="pt-BR"/>
                        </w:rPr>
                        <w:t xml:space="preserve">n Minh, thành phố Hà Nội) theo Giấy chứng nhận quyền sử dụng đất quyền sở hữu nhà ở và tài sản khác gắn liền với đất số: CH 670784, số vào sổ cấp GCN: CH-03178 do Ủy ban nhân dân huyện Đan Phượng cấp ngày 14/07/2017; Chủ sử dụng đất là Ông Nguyễn Văn Lịch.</w:t>
                      </w:r>
                      <w:r>
                        <w:rPr>
                          <w:spacing w:val="-2"/>
                          <w:lang w:val="pt-BR"/>
                          <w14:ligatures w14:val="none"/>
                        </w:rPr>
                      </w:r>
                      <w:r>
                        <w:rPr>
                          <w:spacing w:val="-2"/>
                          <w:lang w:val="pt-BR"/>
                          <w14:ligatures w14:val="none"/>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07/2026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pPr>
        <w:pBdr/>
        <w:spacing/>
        <w:ind w:right="-1"/>
        <w:jc w:val="center"/>
        <w:rPr>
          <w:sz w:val="28"/>
        </w:rPr>
      </w:pPr>
      <w:r>
        <w:rPr>
          <w:b/>
          <w:sz w:val="28"/>
        </w:rPr>
        <w:t xml:space="preserve">MỤC LỤC</w:t>
      </w:r>
      <w:r>
        <w:rPr>
          <w:sz w:val="28"/>
        </w:rPr>
      </w:r>
      <w:r>
        <w:rPr>
          <w:sz w:val="28"/>
        </w:rPr>
      </w:r>
    </w:p>
    <w:p>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right w:w="108" w:type="dxa"/>
            </w:tcMar>
            <w:tcW w:w="1520" w:type="dxa"/>
            <w:vAlign w:val="center"/>
            <w:textDirection w:val="lrTb"/>
            <w:noWrap w:val="false"/>
          </w:tcPr>
          <w:p>
            <w:pPr>
              <w:pBdr/>
              <w:spacing w:after="120" w:before="100" w:beforeAutospacing="1"/>
              <w:ind/>
              <w:jc w:val="right"/>
              <w:rPr>
                <w:b/>
                <w:u w:val="single"/>
              </w:rPr>
            </w:pPr>
            <w:r>
              <w:rPr>
                <w:b/>
                <w:u w:val="single"/>
              </w:rPr>
              <w:t xml:space="preserve">TRANG</w:t>
            </w:r>
            <w:r>
              <w:rPr>
                <w:b/>
                <w:u w:val="single"/>
              </w:rPr>
            </w:r>
            <w:r>
              <w:rPr>
                <w:b/>
                <w:u w:val="single"/>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rPr>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Chứng thư thẩm định 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highlight w:val="yellow"/>
              </w:rPr>
            </w:pPr>
            <w:r>
              <w:rPr>
                <w:b/>
                <w:color w:val="000000" w:themeColor="text1"/>
                <w:highlight w:val="yellow"/>
              </w:rPr>
              <w:t xml:space="preserve">1-3</w:t>
            </w:r>
            <w:r>
              <w:rPr>
                <w:b/>
                <w:highlight w:val="yellow"/>
              </w:rPr>
            </w:r>
            <w:r>
              <w:rPr>
                <w:b/>
                <w:highlight w:val="yellow"/>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Báo cáo thẩm định 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highlight w:val="yellow"/>
              </w:rPr>
            </w:pPr>
            <w:r>
              <w:rPr>
                <w:b/>
                <w:color w:val="000000" w:themeColor="text1"/>
                <w:highlight w:val="yellow"/>
              </w:rPr>
              <w:t xml:space="preserve">4-17</w:t>
            </w:r>
            <w:r>
              <w:rPr>
                <w:b/>
                <w:highlight w:val="yellow"/>
                <w:lang w:val="vi-VN"/>
              </w:rPr>
            </w:r>
            <w:r>
              <w:rPr>
                <w:b/>
                <w:highlight w:val="yellow"/>
                <w:lang w:val="vi-VN"/>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Các phụ lục chi tiết kèm theo</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center"/>
              <w:rPr>
                <w:b/>
                <w:bCs/>
                <w:highlight w:val="yellow"/>
              </w:rPr>
            </w:pPr>
            <w:r>
              <w:rPr>
                <w:b/>
                <w:bCs/>
                <w:highlight w:val="yellow"/>
              </w:rPr>
            </w:r>
            <w:r>
              <w:rPr>
                <w:b/>
                <w:bCs/>
                <w:highlight w:val="yellow"/>
              </w:rPr>
            </w:r>
            <w:r>
              <w:rPr>
                <w:b/>
                <w:bCs/>
                <w:highlight w:val="yellow"/>
              </w:rPr>
            </w:r>
          </w:p>
        </w:tc>
      </w:tr>
      <w:tr>
        <w:trPr/>
        <w:tc>
          <w:tcPr>
            <w:tcBorders/>
            <w:tcMar>
              <w:left w:w="108" w:type="dxa"/>
              <w:right w:w="108" w:type="dxa"/>
            </w:tcMar>
            <w:tcW w:w="7280" w:type="dxa"/>
            <w:vAlign w:val="center"/>
            <w:textDirection w:val="lrTb"/>
            <w:noWrap w:val="false"/>
          </w:tcPr>
          <w:p>
            <w:pPr>
              <w:pStyle w:val="1039"/>
              <w:pBdr/>
              <w:tabs>
                <w:tab w:val="left" w:leader="none" w:pos="993"/>
              </w:tabs>
              <w:spacing w:after="120" w:before="120" w:line="288" w:lineRule="auto"/>
              <w:ind w:left="0"/>
              <w:jc w:val="both"/>
              <w:rPr>
                <w:bCs/>
                <w:lang w:val="pt-BR"/>
              </w:rPr>
            </w:pPr>
            <w:r>
              <w:rPr>
                <w:bCs/>
                <w:lang w:val="pt-BR"/>
              </w:rPr>
              <w:t xml:space="preserve">Phụ lục 1: Thông tin hiện trạng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highlight w:val="yellow"/>
              </w:rPr>
            </w:pPr>
            <w:r>
              <w:rPr>
                <w:b/>
                <w:bCs/>
                <w:highlight w:val="yellow"/>
              </w:rPr>
              <w:t xml:space="preserve">18</w:t>
            </w:r>
            <w:r>
              <w:rPr>
                <w:b/>
                <w:bCs/>
                <w:highlight w:val="yellow"/>
              </w:rPr>
            </w:r>
            <w:r>
              <w:rPr>
                <w:b/>
                <w:bCs/>
                <w:highlight w:val="yellow"/>
              </w:rPr>
            </w:r>
          </w:p>
        </w:tc>
      </w:tr>
      <w:tr>
        <w:trPr/>
        <w:tc>
          <w:tcPr>
            <w:tcBorders/>
            <w:tcMar>
              <w:left w:w="108" w:type="dxa"/>
              <w:right w:w="108" w:type="dxa"/>
            </w:tcMar>
            <w:tcW w:w="7280" w:type="dxa"/>
            <w:vAlign w:val="center"/>
            <w:textDirection w:val="lrTb"/>
            <w:noWrap w:val="false"/>
          </w:tcPr>
          <w:p>
            <w:pPr>
              <w:pStyle w:val="1039"/>
              <w:pBdr/>
              <w:tabs>
                <w:tab w:val="left" w:leader="none" w:pos="993"/>
              </w:tabs>
              <w:spacing w:after="120" w:before="120" w:line="288" w:lineRule="auto"/>
              <w:ind w:left="0"/>
              <w:jc w:val="both"/>
              <w:rPr>
                <w:bCs/>
                <w:lang w:val="pt-BR"/>
              </w:rPr>
            </w:pPr>
            <w:r>
              <w:rPr>
                <w:bCs/>
                <w:lang w:val="pt-BR"/>
              </w:rPr>
              <w:t xml:space="preserve">Phụ lục 2: Thông tin thu thập thị trường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highlight w:val="yellow"/>
              </w:rPr>
            </w:pPr>
            <w:r>
              <w:rPr>
                <w:b/>
                <w:bCs/>
                <w:highlight w:val="yellow"/>
              </w:rPr>
              <w:t xml:space="preserve">19-22</w:t>
            </w:r>
            <w:r>
              <w:rPr>
                <w:b/>
                <w:bCs/>
                <w:highlight w:val="yellow"/>
              </w:rPr>
            </w:r>
            <w:r>
              <w:rPr>
                <w:b/>
                <w:bCs/>
                <w:highlight w:val="yellow"/>
              </w:rPr>
            </w:r>
          </w:p>
        </w:tc>
      </w:tr>
    </w:tbl>
    <w:p>
      <w:pPr>
        <w:pStyle w:val="103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8"/>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284" w:type="dxa"/>
        <w:tblW w:w="10233" w:type="dxa"/>
        <w:tblBorders/>
        <w:tblLayout w:type="fixed"/>
        <w:tblLook w:val="04A0" w:firstRow="1" w:lastRow="0" w:firstColumn="1" w:lastColumn="0" w:noHBand="0" w:noVBand="1"/>
      </w:tblPr>
      <w:tblGrid>
        <w:gridCol w:w="1588"/>
        <w:gridCol w:w="3515"/>
        <w:gridCol w:w="5102"/>
        <w:gridCol w:w="29"/>
      </w:tblGrid>
      <w:tr>
        <w:trPr>
          <w:trHeight w:val="1152"/>
        </w:trPr>
        <w:tc>
          <w:tcPr>
            <w:tcBorders/>
            <w:tcW w:w="1588"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3"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3"/>
            <w:tcBorders/>
            <w:tcW w:w="8646"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pPr>
              <w:pBdr/>
              <w:spacing w:line="312"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5" w:tooltip="mailto:ilotus.contact@gmail.com" w:history="1">
              <w:r>
                <w:rPr>
                  <w:rStyle w:val="1029"/>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After w:val="1"/>
          <w:trHeight w:val="482"/>
        </w:trPr>
        <w:tc>
          <w:tcPr>
            <w:gridSpan w:val="2"/>
            <w:shd w:val="clear" w:color="auto" w:fill="auto"/>
            <w:tcBorders/>
            <w:tcMar>
              <w:left w:w="108" w:type="dxa"/>
              <w:top w:w="0" w:type="dxa"/>
              <w:right w:w="108" w:type="dxa"/>
              <w:bottom w:w="0" w:type="dxa"/>
            </w:tcMar>
            <w:tcW w:w="5102" w:type="dxa"/>
            <w:textDirection w:val="lrTb"/>
            <w:noWrap w:val="false"/>
          </w:tcPr>
          <w:p>
            <w:pPr>
              <w:pStyle w:val="1038"/>
              <w:pBdr/>
              <w:spacing w:after="60"/>
              <w:ind/>
              <w:rPr>
                <w:color w:val="000000" w:themeColor="text1"/>
                <w:sz w:val="24"/>
                <w:szCs w:val="24"/>
              </w:rPr>
            </w:pPr>
            <w:r>
              <w:rPr>
                <w:rStyle w:val="1037"/>
                <w:rFonts w:ascii="Times New Roman" w:hAnsi="Times New Roman"/>
                <w:color w:val="000000" w:themeColor="text1"/>
                <w:lang w:val="pt-BR"/>
              </w:rPr>
              <w:t xml:space="preserve">Số: </w:t>
            </w:r>
            <w:r>
              <w:rPr>
                <w:rStyle w:val="1037"/>
                <w:rFonts w:ascii="Times New Roman" w:hAnsi="Times New Roman"/>
                <w:color w:val="000000" w:themeColor="text1"/>
                <w:lang w:val="pt-BR"/>
              </w:rPr>
              <w:t xml:space="preserve">275/2026/1043/VFI-CT.36.A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5102" w:type="dxa"/>
            <w:textDirection w:val="lrTb"/>
            <w:noWrap w:val="false"/>
          </w:tcPr>
          <w:p>
            <w:pPr>
              <w:pStyle w:val="1038"/>
              <w:pBdr/>
              <w:spacing w:after="60"/>
              <w:ind w:right="-56"/>
              <w:jc w:val="right"/>
              <w:rPr>
                <w:color w:val="000000" w:themeColor="text1"/>
                <w:sz w:val="24"/>
                <w:szCs w:val="24"/>
                <w:lang w:val="vi-VN"/>
              </w:rPr>
            </w:pPr>
            <w:r>
              <w:rPr>
                <w:rStyle w:val="1037"/>
                <w:rFonts w:ascii="Times New Roman" w:hAnsi="Times New Roman"/>
                <w:i/>
                <w:color w:val="auto"/>
              </w:rPr>
              <w:t xml:space="preserve">TP. Hà Nội</w:t>
            </w:r>
            <w:r>
              <w:rPr>
                <w:rStyle w:val="1037"/>
                <w:rFonts w:ascii="Times New Roman" w:hAnsi="Times New Roman"/>
                <w:i/>
                <w:color w:val="auto"/>
                <w:lang w:val="vi-VN"/>
              </w:rPr>
              <w:t xml:space="preserve">, </w:t>
            </w:r>
            <w:r>
              <w:rPr>
                <w:rStyle w:val="1037"/>
                <w:rFonts w:ascii="Times New Roman" w:hAnsi="Times New Roman"/>
                <w:i/>
                <w:color w:val="000000" w:themeColor="text1"/>
                <w:lang w:val="vi-VN"/>
              </w:rPr>
              <w:t xml:space="preserve">ngày 10 tháng 7 năm 2026</w:t>
            </w:r>
            <w:r>
              <w:rPr>
                <w:color w:val="000000" w:themeColor="text1"/>
                <w:sz w:val="24"/>
                <w:szCs w:val="24"/>
                <w:lang w:val="vi-VN"/>
              </w:rPr>
            </w:r>
            <w:r>
              <w:rPr>
                <w:color w:val="000000" w:themeColor="text1"/>
                <w:sz w:val="24"/>
                <w:szCs w:val="24"/>
                <w:lang w:val="vi-VN"/>
              </w:rPr>
            </w:r>
          </w:p>
        </w:tc>
      </w:tr>
    </w:tbl>
    <w:p>
      <w:pPr>
        <w:pStyle w:val="1038"/>
        <w:pBdr/>
        <w:spacing w:after="120" w:before="200" w:line="288" w:lineRule="auto"/>
        <w:ind/>
        <w:jc w:val="center"/>
        <w:rPr>
          <w:rStyle w:val="1037"/>
          <w:rFonts w:ascii="Times New Roman" w:hAnsi="Times New Roman"/>
          <w:b/>
          <w:bCs/>
          <w:color w:val="auto"/>
          <w:sz w:val="30"/>
          <w:szCs w:val="30"/>
          <w:lang w:val="vi-VN"/>
        </w:rPr>
      </w:pPr>
      <w:r>
        <w:rPr>
          <w:rStyle w:val="1037"/>
          <w:rFonts w:ascii="Times New Roman" w:hAnsi="Times New Roman"/>
          <w:b/>
          <w:bCs/>
          <w:color w:val="auto"/>
          <w:sz w:val="30"/>
          <w:szCs w:val="30"/>
          <w:lang w:val="vi-VN"/>
        </w:rPr>
        <w:t xml:space="preserve">CHỨNG THƯ THẨM ĐỊNH GIÁ</w:t>
      </w:r>
      <w:r>
        <w:rPr>
          <w:rStyle w:val="1037"/>
          <w:rFonts w:ascii="Times New Roman" w:hAnsi="Times New Roman"/>
          <w:b/>
          <w:bCs/>
          <w:color w:val="auto"/>
          <w:sz w:val="30"/>
          <w:szCs w:val="30"/>
          <w:lang w:val="vi-VN"/>
        </w:rPr>
      </w:r>
      <w:r>
        <w:rPr>
          <w:rStyle w:val="1037"/>
          <w:rFonts w:ascii="Times New Roman" w:hAnsi="Times New Roman"/>
          <w:b/>
          <w:bCs/>
          <w:color w:val="auto"/>
          <w:sz w:val="30"/>
          <w:szCs w:val="30"/>
          <w:lang w:val="vi-VN"/>
        </w:rPr>
      </w:r>
    </w:p>
    <w:p>
      <w:pPr>
        <w:pBdr/>
        <w:spacing w:line="276" w:lineRule="auto"/>
        <w:ind/>
        <w:jc w:val="center"/>
        <w:rPr>
          <w:rFonts w:ascii="Times New Roman Bold" w:hAnsi="Times New Roman Bold"/>
          <w:b/>
          <w:lang w:val="pt-BR"/>
        </w:rPr>
      </w:pPr>
      <w:r>
        <w:rPr>
          <w:b/>
          <w:u w:val="single"/>
          <w:lang w:val="pt-BR"/>
        </w:rPr>
        <w:t xml:space="preserve">Kính gửi</w:t>
      </w:r>
      <w:r>
        <w:rPr>
          <w:b/>
          <w:lang w:val="pt-BR"/>
        </w:rPr>
        <w:t xml:space="preserve">:</w:t>
      </w:r>
      <w:r>
        <w:rPr>
          <w:b/>
          <w:lang w:val="pt-BR"/>
        </w:rPr>
        <w:t xml:space="preserve"> </w:t>
      </w:r>
      <w:r>
        <w:rPr>
          <w:rFonts w:ascii="Times New Roman Bold" w:hAnsi="Times New Roman Bold"/>
          <w:b/>
          <w:color w:val="000000" w:themeColor="text1"/>
          <w:lang w:val="pt-BR"/>
        </w:rPr>
        <w:t xml:space="preserve">ÔNG NGUYỄN VĂN LỊCH</w:t>
      </w:r>
      <w:r>
        <w:rPr>
          <w:rFonts w:ascii="Times New Roman Bold" w:hAnsi="Times New Roman Bold"/>
          <w:b/>
          <w:lang w:val="pt-BR"/>
        </w:rPr>
      </w:r>
      <w:r>
        <w:rPr>
          <w:rFonts w:ascii="Times New Roman Bold" w:hAnsi="Times New Roman Bold"/>
          <w:b/>
          <w:lang w:val="pt-BR"/>
        </w:rPr>
      </w:r>
    </w:p>
    <w:p>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dịch 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275/2026/1043/VFI-HĐTĐ.36.A</w:t>
      </w:r>
      <w:r>
        <w:rPr>
          <w:spacing w:val="-4"/>
          <w:lang w:val="vi-VN"/>
        </w:rPr>
        <w:t xml:space="preserve"> ký ngày </w:t>
      </w:r>
      <w:r>
        <w:rPr>
          <w:color w:val="000000" w:themeColor="text1"/>
          <w:spacing w:val="-4"/>
        </w:rPr>
        <w:t xml:space="preserve">16 tháng 6 năm 2026</w:t>
      </w:r>
      <w:r>
        <w:rPr>
          <w:spacing w:val="-4"/>
          <w:lang w:val="vi-VN"/>
        </w:rPr>
        <w:t xml:space="preserve"> </w:t>
      </w:r>
      <w:r>
        <w:rPr>
          <w:spacing w:val="-4"/>
          <w:lang w:val="vi-VN"/>
        </w:rPr>
        <w:t xml:space="preserve">giữa </w:t>
      </w:r>
      <w:r>
        <w:rPr>
          <w:color w:val="000000" w:themeColor="text1"/>
          <w:spacing w:val="-4"/>
        </w:rPr>
        <w:t xml:space="preserve">Ông Nguyễn Văn Lịch</w:t>
      </w:r>
      <w:r>
        <w:rPr>
          <w:bCs/>
        </w:rPr>
        <w:t xml:space="preserve">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r>
        <w:rPr>
          <w:spacing w:val="-4"/>
        </w:rPr>
      </w:r>
    </w:p>
    <w:p>
      <w:pPr>
        <w:pBdr/>
        <w:spacing w:after="120" w:before="120" w:line="288" w:lineRule="auto"/>
        <w:ind w:firstLine="432"/>
        <w:jc w:val="both"/>
        <w:rPr>
          <w:spacing w:val="-2"/>
        </w:rPr>
      </w:pPr>
      <w:r>
        <w:rPr>
          <w:spacing w:val="-2"/>
          <w:lang w:val="pt-BR"/>
        </w:rPr>
        <w:t xml:space="preserve">Căn cứ Báo cáo thẩm định giá số</w:t>
      </w:r>
      <w:r>
        <w:rPr>
          <w:spacing w:val="-2"/>
          <w:lang w:val="vi-VN"/>
        </w:rPr>
        <w:t xml:space="preserve"> </w:t>
      </w:r>
      <w:r>
        <w:rPr>
          <w:color w:val="000000" w:themeColor="text1"/>
          <w:spacing w:val="-2"/>
          <w:lang w:val="pt-BR"/>
        </w:rPr>
        <w:t xml:space="preserve">275/2026/1043/VFI-BC.36.A</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10 tháng 7 năm 2026</w:t>
      </w:r>
      <w:r>
        <w:rPr>
          <w:spacing w:val="-2"/>
          <w:lang w:val="vi-VN"/>
        </w:rPr>
        <w:t xml:space="preserve"> </w:t>
      </w:r>
      <w:r>
        <w:rPr>
          <w:spacing w:val="-2"/>
          <w:lang w:val="pt-BR"/>
        </w:rPr>
        <w:t xml:space="preserve">của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 cấp Chứng thư thẩm định giá tài sản với nội dung sau:</w:t>
      </w:r>
      <w:r/>
    </w:p>
    <w:p>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r>
        <w:rPr>
          <w:b/>
          <w:bCs/>
        </w:rPr>
      </w:r>
    </w:p>
    <w:tbl>
      <w:tblPr>
        <w:tblW w:w="5000" w:type="pct"/>
        <w:tblBorders/>
        <w:tblLook w:val="04A0" w:firstRow="1" w:lastRow="0" w:firstColumn="1" w:lastColumn="0" w:noHBand="0" w:noVBand="1"/>
      </w:tblPr>
      <w:tblGrid>
        <w:gridCol w:w="2113"/>
        <w:gridCol w:w="472"/>
        <w:gridCol w:w="6940"/>
      </w:tblGrid>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ind/>
              <w:rPr>
                <w:b/>
                <w:bCs/>
              </w:rPr>
            </w:pPr>
            <w:r>
              <w:rPr>
                <w:b/>
                <w:bCs/>
              </w:rPr>
            </w:r>
            <w:r>
              <w:rPr>
                <w:b/>
                <w:bCs/>
                <w:color w:val="000000" w:themeColor="text1"/>
                <w:spacing w:val="-4"/>
              </w:rPr>
              <w:t xml:space="preserve">ÔNG NGUYỄN VĂN LỊCH</w:t>
            </w:r>
            <w:r>
              <w:rPr>
                <w:b/>
                <w:bCs/>
              </w:rPr>
            </w:r>
            <w:r>
              <w:rPr>
                <w:b/>
                <w:bCs/>
              </w:rP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CCCD</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001077031378</w:t>
            </w:r>
            <w:r>
              <w:rPr>
                <w:color w:val="ff0000"/>
                <w:lang w:val="pt-BR"/>
              </w:rPr>
            </w:r>
            <w:r>
              <w:rPr>
                <w:color w:val="ff0000"/>
                <w:lang w:val="pt-BR"/>
              </w:rPr>
            </w:r>
          </w:p>
        </w:tc>
      </w:tr>
    </w:tbl>
    <w:p>
      <w:pPr>
        <w:pBdr/>
        <w:spacing w:after="120" w:before="120" w:line="276" w:lineRule="auto"/>
        <w:ind/>
        <w:jc w:val="both"/>
        <w:rPr>
          <w:b/>
          <w:bCs/>
        </w:rPr>
      </w:pPr>
      <w:r>
        <w:rPr>
          <w:b/>
          <w:bCs/>
        </w:rPr>
        <w:t xml:space="preserve">2. </w:t>
      </w:r>
      <w:r>
        <w:rPr>
          <w:b/>
          <w:bCs/>
        </w:rPr>
        <w:t xml:space="preserve">Thông tin về doanh nghiệp thẩm định giá:</w:t>
      </w:r>
      <w:r>
        <w:rPr>
          <w:b/>
          <w:bCs/>
        </w:rPr>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pPr>
              <w:pBdr/>
              <w:spacing w:after="40" w:before="4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2269" w:type="dxa"/>
            <w:vAlign w:val="center"/>
            <w:textDirection w:val="lrTb"/>
            <w:noWrap w:val="false"/>
          </w:tcPr>
          <w:p>
            <w:pPr>
              <w:pBdr/>
              <w:spacing w:after="40" w:before="40" w:line="276" w:lineRule="auto"/>
              <w:ind/>
              <w:rPr>
                <w:bCs/>
              </w:rPr>
            </w:pPr>
            <w:r>
              <w:t xml:space="preserve">Mã số thuế</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GCN</w:t>
            </w:r>
            <w:r>
              <w:t xml:space="preserve"> đủ điều kiện hành nghề</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rPr>
              <w:t xml:space="preserve">275/TĐG</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Thông báo</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jc w:val="both"/>
              <w:rPr>
                <w:bCs/>
              </w:rPr>
            </w:pPr>
            <w:r>
              <w:rPr>
                <w:color w:val="292a2e"/>
              </w:rPr>
              <w:t xml:space="preserve">Số 1294/TB-BTC ngày 25/12/2025</w:t>
            </w:r>
            <w:r>
              <w:rPr>
                <w:rFonts w:ascii="Segoe UI" w:hAnsi="Segoe UI" w:cs="Segoe UI"/>
                <w:color w:val="292a2e"/>
                <w:sz w:val="21"/>
                <w:szCs w:val="21"/>
              </w:rPr>
              <w:t xml:space="preserve"> </w:t>
            </w:r>
            <w:r>
              <w:rPr>
                <w:bCs/>
              </w:rPr>
              <w:t xml:space="preserve">về việc doanh nghiệp đủ điều kiện kinh doanh Dịch vụ thẩm định giá.</w:t>
            </w:r>
            <w:r>
              <w:rPr>
                <w:bCs/>
              </w:rPr>
            </w:r>
            <w:r>
              <w:rPr>
                <w:bCs/>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Tài khoản số</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Đại diện</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b/>
                <w:bCs/>
                <w:lang w:val="vi-VN"/>
              </w:rPr>
            </w:pPr>
            <w:r>
              <w:rPr>
                <w:b/>
                <w:bCs/>
                <w:lang w:val="vi-VN"/>
              </w:rPr>
              <w:t xml:space="preserve">Ông</w:t>
            </w:r>
            <w:r>
              <w:rPr>
                <w:b/>
                <w:bCs/>
              </w:rPr>
              <w:t xml:space="preserve"> Vũ Văn Quân</w:t>
            </w:r>
            <w:r>
              <w:rPr>
                <w:b/>
                <w:bCs/>
                <w:lang w:val="vi-VN"/>
              </w:rPr>
              <w:tab/>
            </w:r>
            <w:r>
              <w:rPr>
                <w:b/>
                <w:bCs/>
              </w:rPr>
              <w:t xml:space="preserve">        </w:t>
            </w:r>
            <w:r>
              <w:rPr>
                <w:b/>
                <w:bCs/>
                <w:lang w:val="vi-VN"/>
              </w:rPr>
              <w:t xml:space="preserve">Chức vụ: </w:t>
            </w:r>
            <w:r>
              <w:rPr>
                <w:b/>
                <w:bCs/>
              </w:rPr>
              <w:t xml:space="preserve">Chủ tịch HĐQT kiêm Tổng Giám Đốc</w:t>
            </w:r>
            <w:r>
              <w:rPr>
                <w:b/>
                <w:bCs/>
                <w:lang w:val="vi-VN"/>
              </w:rPr>
            </w:r>
            <w:r>
              <w:rPr>
                <w:b/>
                <w:bCs/>
                <w:lang w:val="vi-VN"/>
              </w:rPr>
            </w:r>
          </w:p>
        </w:tc>
      </w:tr>
    </w:tbl>
    <w:p>
      <w:pPr>
        <w:pBdr/>
        <w:spacing w:after="120" w:before="120" w:line="312" w:lineRule="auto"/>
        <w:ind/>
        <w:jc w:val="both"/>
        <w:rPr>
          <w:b/>
          <w:bCs/>
        </w:rPr>
      </w:pPr>
      <w:r>
        <w:rPr>
          <w:b/>
          <w:bCs/>
        </w:rPr>
        <w:t xml:space="preserve">3</w:t>
      </w:r>
      <w:r>
        <w:rPr>
          <w:b/>
          <w:bCs/>
          <w:lang w:val="vi-VN"/>
        </w:rPr>
        <w:t xml:space="preserve">. </w:t>
      </w:r>
      <w:r>
        <w:rPr>
          <w:b/>
          <w:bCs/>
        </w:rPr>
        <w:t xml:space="preserve">Tài sản thẩm định</w:t>
      </w:r>
      <w:r>
        <w:rPr>
          <w:b/>
          <w:bCs/>
          <w:lang w:val="vi-VN"/>
        </w:rPr>
        <w:t xml:space="preserve">:</w:t>
      </w:r>
      <w:r>
        <w:rPr>
          <w:color w:val="000000" w:themeColor="text1"/>
        </w:rPr>
        <w:t xml:space="preserve"> </w:t>
      </w:r>
      <w:r>
        <w:rPr>
          <w:color w:val="000000" w:themeColor="text1"/>
        </w:rPr>
        <w:t xml:space="preserve">Quyền sử dụng đất tại thửa đất số: 26, tờ bản đồ số: 23, có địa chỉ: Thôn 4, xã Trung Châu, huyện Đan Phượng, thành phố Hà Nội (Nay là: Xã Liê</w:t>
      </w:r>
      <w:r>
        <w:rPr>
          <w:color w:val="000000" w:themeColor="text1"/>
        </w:rPr>
        <w:t xml:space="preserve">n Minh, thành phố Hà Nội) theo Giấy chứng nhận quyền sử dụng đất quyền sở hữu nhà ở và tài sản khác gắn liền với đất số: CH 670784, số vào sổ cấp GCN: CH-03178 do Ủy ban nhân dân huyện Đan Phượng cấp ngày 14/07/2017; Chủ sử dụng đất là Ông Nguyễn Văn Lịch.</w:t>
      </w:r>
      <w:r>
        <w:rPr>
          <w:b/>
          <w:bCs/>
        </w:rPr>
      </w:r>
      <w:r>
        <w:rPr>
          <w:b/>
          <w:bCs/>
        </w:rPr>
      </w:r>
    </w:p>
    <w:p>
      <w:pPr>
        <w:pBdr/>
        <w:spacing w:after="120" w:before="120" w:line="312" w:lineRule="auto"/>
        <w:ind/>
        <w:jc w:val="both"/>
        <w:rPr>
          <w:b/>
          <w:bCs/>
        </w:rPr>
      </w:pPr>
      <w:r>
        <w:rPr>
          <w:b/>
          <w:bCs/>
          <w:lang w:val="nl-NL"/>
        </w:rPr>
        <w:t xml:space="preserve">4</w:t>
      </w:r>
      <w:r>
        <w:rPr>
          <w:b/>
          <w:bCs/>
          <w:lang w:val="nl-NL"/>
        </w:rPr>
        <w:t xml:space="preserve">. Thời điểm thẩm định giá:</w:t>
      </w:r>
      <w:r>
        <w:rPr>
          <w:bCs/>
          <w:color w:val="000000" w:themeColor="text1"/>
          <w:lang w:val="nl-NL"/>
        </w:rPr>
        <w:t xml:space="preserve"> </w:t>
      </w:r>
      <w:r>
        <w:rPr>
          <w:bCs/>
          <w:color w:val="000000" w:themeColor="text1"/>
          <w:lang w:val="nl-NL"/>
        </w:rPr>
        <w:t xml:space="preserve">Tháng 07/2026</w:t>
      </w:r>
      <w:r>
        <w:rPr>
          <w:bCs/>
          <w:lang w:val="nl-NL"/>
        </w:rPr>
        <w:t xml:space="preserve">.</w:t>
      </w:r>
      <w:r>
        <w:rPr>
          <w:b/>
          <w:bCs/>
        </w:rPr>
      </w:r>
      <w:r>
        <w:rPr>
          <w:b/>
          <w:bCs/>
        </w:rPr>
      </w:r>
    </w:p>
    <w:p>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 sở giá trị của tài sản thẩm định giá</w:t>
      </w:r>
      <w:r>
        <w:rPr>
          <w:b/>
          <w:lang w:val="pt-BR"/>
        </w:rPr>
        <w:t xml:space="preserve">:</w:t>
      </w:r>
      <w:r>
        <w:rPr>
          <w:b/>
          <w:lang w:val="vi-VN"/>
        </w:rPr>
      </w:r>
      <w:r>
        <w:rPr>
          <w:b/>
          <w:lang w:val="vi-VN"/>
        </w:rPr>
      </w:r>
    </w:p>
    <w:p>
      <w:pPr>
        <w:pBdr/>
        <w:tabs>
          <w:tab w:val="left" w:leader="none" w:pos="5202"/>
        </w:tabs>
        <w:spacing w:after="120" w:before="120" w:line="312" w:lineRule="auto"/>
        <w:ind w:firstLine="432"/>
        <w:jc w:val="both"/>
        <w:rPr>
          <w:lang w:val="pt-BR"/>
        </w:rPr>
      </w:pPr>
      <w:r>
        <w:rPr>
          <w:bCs/>
          <w:i/>
          <w:lang w:val="pt-BR"/>
        </w:rPr>
        <w:t xml:space="preserve">Chi tiết như Báo cáo kèm theo</w:t>
      </w:r>
      <w:r>
        <w:rPr>
          <w:bCs/>
          <w:i/>
          <w:lang w:val="pt-BR"/>
        </w:rPr>
        <w:t xml:space="preserve"> </w:t>
      </w:r>
      <w:r>
        <w:rPr>
          <w:lang w:val="pt-BR"/>
        </w:rPr>
      </w:r>
      <w:r>
        <w:rPr>
          <w:lang w:val="pt-BR"/>
        </w:rPr>
      </w:r>
    </w:p>
    <w:p>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 thiết và giả thiết đặc biệt</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 tiếp cận và phương pháp thẩm định giá</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 trị tài sản thẩm định giá</w:t>
      </w:r>
      <w:r>
        <w:rPr>
          <w:b/>
          <w:bCs/>
          <w:lang w:val="pt-BR"/>
        </w:rPr>
        <w:t xml:space="preserve">:</w:t>
      </w:r>
      <w:bookmarkEnd w:id="0"/>
      <w:r/>
      <w:bookmarkEnd w:id="1"/>
      <w:r/>
      <w:bookmarkEnd w:id="2"/>
      <w:r>
        <w:rPr>
          <w:b/>
          <w:bCs/>
          <w:lang w:val="pt-BR"/>
        </w:rPr>
      </w:r>
      <w:r>
        <w:rPr>
          <w:b/>
          <w:bCs/>
          <w:lang w:val="pt-BR"/>
        </w:rPr>
      </w:r>
    </w:p>
    <w:p>
      <w:pPr>
        <w:pBdr/>
        <w:spacing w:after="120" w:before="120" w:line="312"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 trị </w:t>
      </w:r>
      <w:r>
        <w:rPr>
          <w:lang w:val="de-DE"/>
        </w:rPr>
        <w:t xml:space="preserve">tài sản chưa bao gồm các loại thuế, phí và lệ phí liên quan đến việc chuyển nhượng tài sản của </w:t>
      </w:r>
      <w:r>
        <w:rPr>
          <w:lang w:val="vi-VN"/>
        </w:rPr>
        <w:t xml:space="preserve">Quý</w:t>
      </w:r>
      <w:r>
        <w:rPr>
          <w:lang w:val="vi-VN"/>
        </w:rPr>
        <w:t xml:space="preserve"> khách hàng tại thời điểm </w:t>
      </w:r>
      <w:r>
        <w:rPr>
          <w:bCs/>
          <w:color w:val="000000" w:themeColor="text1"/>
          <w:lang w:val="nl-NL"/>
        </w:rPr>
        <w:t xml:space="preserve">tháng 07/2026</w:t>
      </w:r>
      <w:r>
        <w:rPr>
          <w:lang w:val="vi-VN"/>
        </w:rPr>
        <w:t xml:space="preserve"> ước tính</w:t>
      </w:r>
      <w:r>
        <w:t xml:space="preserve"> </w:t>
      </w:r>
      <w:r>
        <w:rPr>
          <w:lang w:val="vi-VN"/>
        </w:rPr>
        <w:t xml:space="preserve">như sau:</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7"/>
        <w:gridCol w:w="2241"/>
        <w:gridCol w:w="1802"/>
        <w:gridCol w:w="2581"/>
        <w:gridCol w:w="2164"/>
      </w:tblGrid>
      <w:tr>
        <w:trPr>
          <w:trHeight w:val="20"/>
        </w:trPr>
        <w:tc>
          <w:tcPr>
            <w:shd w:val="clear" w:color="000000" w:fill="ffffff"/>
            <w:tcBorders/>
            <w:tcW w:w="737" w:type="dxa"/>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2241" w:type="dxa"/>
            <w:vAlign w:val="center"/>
            <w:textDirection w:val="lrTb"/>
            <w:noWrap w:val="false"/>
          </w:tcPr>
          <w:p>
            <w:pPr>
              <w:pBdr/>
              <w:spacing w:after="40" w:before="40" w:line="288" w:lineRule="auto"/>
              <w:ind/>
              <w:jc w:val="center"/>
              <w:rPr>
                <w:b/>
                <w:bCs/>
              </w:rPr>
            </w:pPr>
            <w:r>
              <w:rPr>
                <w:b/>
                <w:bCs/>
              </w:rPr>
              <w:t xml:space="preserve">Tài sản</w:t>
            </w:r>
            <w:r>
              <w:rPr>
                <w:b/>
                <w:bCs/>
              </w:rPr>
            </w:r>
            <w:r>
              <w:rPr>
                <w:b/>
                <w:bCs/>
              </w:rPr>
            </w:r>
          </w:p>
        </w:tc>
        <w:tc>
          <w:tcPr>
            <w:shd w:val="clear" w:color="000000" w:fill="ffffff"/>
            <w:tcBorders/>
            <w:tcW w:w="1802" w:type="dxa"/>
            <w:vAlign w:val="center"/>
            <w:textDirection w:val="lrTb"/>
            <w:noWrap w:val="false"/>
          </w:tcPr>
          <w:p>
            <w:pPr>
              <w:pBdr/>
              <w:spacing w:after="40" w:before="40" w:line="288" w:lineRule="auto"/>
              <w:ind/>
              <w:jc w:val="center"/>
              <w:rPr>
                <w:b/>
                <w:bCs/>
              </w:rPr>
            </w:pPr>
            <w:r>
              <w:rPr>
                <w:b/>
                <w:bCs/>
              </w:rPr>
              <w:t xml:space="preserve">Diện tích (m²)</w:t>
            </w:r>
            <w:r>
              <w:rPr>
                <w:b/>
                <w:bCs/>
              </w:rPr>
            </w:r>
            <w:r>
              <w:rPr>
                <w:b/>
                <w:bCs/>
              </w:rPr>
            </w:r>
          </w:p>
        </w:tc>
        <w:tc>
          <w:tcPr>
            <w:shd w:val="clear" w:color="000000" w:fill="ffffff"/>
            <w:tcBorders/>
            <w:tcW w:w="2581" w:type="dxa"/>
            <w:vAlign w:val="center"/>
            <w:textDirection w:val="lrTb"/>
            <w:noWrap w:val="false"/>
          </w:tcPr>
          <w:p>
            <w:pPr>
              <w:pBdr/>
              <w:spacing w:after="40" w:before="40" w:line="288" w:lineRule="auto"/>
              <w:ind/>
              <w:jc w:val="center"/>
              <w:rPr>
                <w:b/>
                <w:bCs/>
              </w:rPr>
            </w:pPr>
            <w:r>
              <w:rPr>
                <w:b/>
                <w:bCs/>
              </w:rPr>
              <w:t xml:space="preserve">Đơn giá (đồng/m²)</w:t>
            </w:r>
            <w:r>
              <w:rPr>
                <w:b/>
                <w:bCs/>
              </w:rPr>
            </w:r>
            <w:r>
              <w:rPr>
                <w:b/>
                <w:bCs/>
              </w:rPr>
            </w:r>
          </w:p>
        </w:tc>
        <w:tc>
          <w:tcPr>
            <w:shd w:val="clear" w:color="000000" w:fill="ffffff"/>
            <w:tcBorders/>
            <w:tcW w:w="2164" w:type="dxa"/>
            <w:vAlign w:val="center"/>
            <w:textDirection w:val="lrTb"/>
            <w:noWrap w:val="false"/>
          </w:tcPr>
          <w:p>
            <w:pPr>
              <w:pBdr/>
              <w:spacing w:after="40" w:before="40" w:line="288" w:lineRule="auto"/>
              <w:ind/>
              <w:jc w:val="center"/>
              <w:rPr>
                <w:b/>
                <w:bCs/>
              </w:rPr>
            </w:pPr>
            <w:r>
              <w:rPr>
                <w:b/>
                <w:bCs/>
              </w:rPr>
              <w:t xml:space="preserve">Thành tiền (đồng)</w:t>
            </w:r>
            <w:r>
              <w:rPr>
                <w:b/>
                <w:bCs/>
              </w:rPr>
            </w:r>
            <w:r>
              <w:rPr>
                <w:b/>
                <w:bCs/>
              </w:rPr>
            </w:r>
          </w:p>
        </w:tc>
      </w:tr>
      <w:tr>
        <w:trPr>
          <w:trHeight w:val="20"/>
        </w:trPr>
        <w:tc>
          <w:tcPr>
            <w:shd w:val="clear" w:color="000000" w:fill="ffffff"/>
            <w:tcBorders/>
            <w:tcW w:w="737" w:type="dxa"/>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6624" w:type="dxa"/>
            <w:vAlign w:val="center"/>
            <w:textDirection w:val="lrTb"/>
            <w:noWrap w:val="false"/>
          </w:tcPr>
          <w:p>
            <w:pPr>
              <w:pBdr/>
              <w:spacing w:after="40" w:before="40" w:line="288" w:lineRule="auto"/>
              <w:ind/>
              <w:jc w:val="both"/>
              <w:rPr>
                <w:b/>
                <w:bCs/>
              </w:rPr>
            </w:pPr>
            <w:r>
              <w:rPr>
                <w:b/>
                <w:bCs/>
                <w:color w:val="000000"/>
              </w:rPr>
              <w:t xml:space="preserve">Quyền sử dụng đất tại thửa đất số: 26, tờ bản đồ số: 23, có địa chỉ: Thôn 4, xã Trung Châu, huyện Đan Phượng, thành phố Hà Nội ( Nay là: Xã Liê</w:t>
            </w:r>
            <w:r>
              <w:rPr>
                <w:b/>
                <w:bCs/>
                <w:color w:val="000000"/>
              </w:rPr>
              <w:t xml:space="preserve">n Minh, thành phố Hà Nội) theo Giấy chứng nhận quyền sử dụng đất quyền sở hữu nhà ở và tài sản khác gắn liền với đất số: CH 670784, số vào sổ cấp GCN: CH-03178 do Ủy ban nhân dân huyện Đan Phượng cấp ngày 14/07/2017; Chủ sử dụng đất là Ông Nguyễn Văn Lịch.</w:t>
            </w:r>
            <w:r>
              <w:rPr>
                <w:b/>
                <w:bCs/>
              </w:rPr>
            </w:r>
            <w:r>
              <w:rPr>
                <w:b/>
                <w:bCs/>
              </w:rPr>
            </w:r>
          </w:p>
        </w:tc>
        <w:tc>
          <w:tcPr>
            <w:shd w:val="clear" w:color="000000" w:fill="ffffff"/>
            <w:tcBorders/>
            <w:tcW w:w="2164" w:type="dxa"/>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737" w:type="dxa"/>
            <w:vAlign w:val="center"/>
            <w:textDirection w:val="lrTb"/>
            <w:noWrap w:val="false"/>
          </w:tcPr>
          <w:p>
            <w:pPr>
              <w:pBdr/>
              <w:spacing w:after="40" w:before="40" w:line="288" w:lineRule="auto"/>
              <w:ind/>
              <w:jc w:val="center"/>
              <w:rPr>
                <w:b w:val="0"/>
                <w:bCs w:val="0"/>
              </w:rPr>
            </w:pPr>
            <w:r>
              <w:rPr>
                <w:b w:val="0"/>
                <w:bCs w:val="0"/>
              </w:rPr>
              <w:t xml:space="preserve">-</w:t>
            </w:r>
            <w:r>
              <w:rPr>
                <w:b w:val="0"/>
                <w:bCs w:val="0"/>
              </w:rPr>
            </w:r>
          </w:p>
        </w:tc>
        <w:tc>
          <w:tcPr>
            <w:shd w:val="clear" w:color="000000" w:fill="ffffff"/>
            <w:tcBorders/>
            <w:tcW w:w="2241" w:type="dxa"/>
            <w:vAlign w:val="center"/>
            <w:textDirection w:val="lrTb"/>
            <w:noWrap w:val="false"/>
          </w:tcPr>
          <w:p>
            <w:pPr>
              <w:pBdr/>
              <w:spacing w:after="40" w:before="40" w:line="288" w:lineRule="auto"/>
              <w:ind/>
              <w:rPr>
                <w:b w:val="0"/>
                <w:bCs w:val="0"/>
              </w:rPr>
            </w:pPr>
            <w:r>
              <w:rPr>
                <w:b w:val="0"/>
                <w:bCs w:val="0"/>
              </w:rPr>
              <w:t xml:space="preserve">Đất ở nông thôn</w:t>
            </w:r>
            <w:r>
              <w:rPr>
                <w:b w:val="0"/>
                <w:bCs w:val="0"/>
              </w:rPr>
            </w:r>
          </w:p>
        </w:tc>
        <w:tc>
          <w:tcPr>
            <w:tcBorders/>
            <w:tcW w:w="1802" w:type="dxa"/>
            <w:vAlign w:val="center"/>
            <w:textDirection w:val="lrTb"/>
            <w:noWrap/>
          </w:tcPr>
          <w:p>
            <w:pPr>
              <w:pBdr/>
              <w:spacing w:after="40" w:before="40" w:line="288" w:lineRule="auto"/>
              <w:ind/>
              <w:jc w:val="center"/>
              <w:rPr>
                <w:color w:val="000000"/>
              </w:rPr>
            </w:pPr>
            <w:r>
              <w:rPr>
                <w:color w:val="000000" w:themeColor="text1"/>
              </w:rPr>
              <w:t xml:space="preserve">180</w:t>
            </w:r>
            <w:r>
              <w:rPr>
                <w:color w:val="000000"/>
              </w:rPr>
            </w:r>
            <w:r>
              <w:rPr>
                <w:color w:val="000000"/>
              </w:rPr>
            </w:r>
          </w:p>
        </w:tc>
        <w:tc>
          <w:tcPr>
            <w:shd w:val="clear" w:color="000000" w:fill="ffffff"/>
            <w:tcBorders/>
            <w:tcW w:w="2581" w:type="dxa"/>
            <w:vAlign w:val="center"/>
            <w:textDirection w:val="lrTb"/>
            <w:noWrap w:val="false"/>
          </w:tcPr>
          <w:p>
            <w:pPr>
              <w:pBdr/>
              <w:spacing w:after="40" w:before="40" w:line="288" w:lineRule="auto"/>
              <w:ind/>
              <w:jc w:val="center"/>
              <w:rPr/>
            </w:pPr>
            <w:r>
              <w:rPr>
                <w:color w:val="000000" w:themeColor="text1"/>
              </w:rPr>
              <w:t xml:space="preserve">27.080.315</w:t>
            </w:r>
            <w:r/>
          </w:p>
        </w:tc>
        <w:tc>
          <w:tcPr>
            <w:shd w:val="clear" w:color="000000" w:fill="ffffff"/>
            <w:tcBorders/>
            <w:tcW w:w="2164" w:type="dxa"/>
            <w:vAlign w:val="center"/>
            <w:textDirection w:val="lrTb"/>
            <w:noWrap w:val="false"/>
          </w:tcPr>
          <w:p>
            <w:pPr>
              <w:pBdr/>
              <w:spacing w:after="40" w:before="40" w:line="288" w:lineRule="auto"/>
              <w:ind/>
              <w:jc w:val="center"/>
              <w:rPr/>
            </w:pPr>
            <w:r>
              <w:rPr>
                <w:color w:val="000000" w:themeColor="text1"/>
              </w:rPr>
              <w:t xml:space="preserve">4.874.456.727</w:t>
            </w:r>
            <w:r/>
          </w:p>
        </w:tc>
      </w:tr>
      <w:tr>
        <w:trPr>
          <w:trHeight w:val="20"/>
        </w:trPr>
        <w:tc>
          <w:tcPr>
            <w:shd w:val="clear" w:color="000000" w:fill="ffffff"/>
            <w:tcBorders/>
            <w:tcW w:w="737" w:type="dxa"/>
            <w:vAlign w:val="center"/>
            <w:textDirection w:val="lrTb"/>
            <w:noWrap w:val="false"/>
          </w:tcPr>
          <w:p>
            <w:pPr>
              <w:pBdr/>
              <w:spacing w:after="40" w:before="40" w:line="288" w:lineRule="auto"/>
              <w:ind/>
              <w:jc w:val="center"/>
              <w:rPr>
                <w:b w:val="0"/>
                <w:bCs w:val="0"/>
              </w:rPr>
            </w:pPr>
            <w:r>
              <w:rPr>
                <w:b w:val="0"/>
                <w:bCs w:val="0"/>
              </w:rPr>
              <w:t xml:space="preserve">-</w:t>
            </w:r>
            <w:r>
              <w:rPr>
                <w:b w:val="0"/>
                <w:bCs w:val="0"/>
              </w:rPr>
            </w:r>
          </w:p>
        </w:tc>
        <w:tc>
          <w:tcPr>
            <w:shd w:val="clear" w:color="000000" w:fill="ffffff"/>
            <w:tcBorders/>
            <w:tcW w:w="2241" w:type="dxa"/>
            <w:vAlign w:val="center"/>
            <w:textDirection w:val="lrTb"/>
            <w:noWrap w:val="false"/>
          </w:tcPr>
          <w:p>
            <w:pPr>
              <w:pBdr/>
              <w:spacing w:after="40" w:before="40" w:line="288" w:lineRule="auto"/>
              <w:ind/>
              <w:rPr>
                <w:b w:val="0"/>
                <w:bCs w:val="0"/>
              </w:rPr>
            </w:pPr>
            <w:r>
              <w:rPr>
                <w:b w:val="0"/>
                <w:bCs w:val="0"/>
              </w:rPr>
              <w:t xml:space="preserve">Đất trồng cây hàng năm khác</w:t>
            </w:r>
            <w:r>
              <w:rPr>
                <w:b w:val="0"/>
                <w:bCs w:val="0"/>
              </w:rPr>
            </w:r>
          </w:p>
        </w:tc>
        <w:tc>
          <w:tcPr>
            <w:tcBorders/>
            <w:tcW w:w="1802" w:type="dxa"/>
            <w:vAlign w:val="center"/>
            <w:textDirection w:val="lrTb"/>
            <w:noWrap/>
          </w:tcPr>
          <w:p>
            <w:pPr>
              <w:pBdr/>
              <w:spacing w:after="40" w:before="40" w:line="288" w:lineRule="auto"/>
              <w:ind/>
              <w:jc w:val="center"/>
              <w:rPr>
                <w:color w:val="000000"/>
              </w:rPr>
            </w:pPr>
            <w:r>
              <w:rPr>
                <w:color w:val="000000" w:themeColor="text1"/>
              </w:rPr>
              <w:t xml:space="preserve">280,1</w:t>
            </w:r>
            <w:r>
              <w:rPr>
                <w:color w:val="000000"/>
              </w:rPr>
            </w:r>
            <w:r>
              <w:rPr>
                <w:color w:val="000000"/>
              </w:rPr>
            </w:r>
          </w:p>
        </w:tc>
        <w:tc>
          <w:tcPr>
            <w:shd w:val="clear" w:color="000000" w:fill="ffffff"/>
            <w:tcBorders/>
            <w:tcW w:w="2581" w:type="dxa"/>
            <w:vAlign w:val="center"/>
            <w:textDirection w:val="lrTb"/>
            <w:noWrap w:val="false"/>
          </w:tcPr>
          <w:p>
            <w:pPr>
              <w:pBdr/>
              <w:spacing w:after="40" w:before="40" w:line="288" w:lineRule="auto"/>
              <w:ind/>
              <w:jc w:val="center"/>
              <w:rPr/>
            </w:pPr>
            <w:r>
              <w:rPr>
                <w:color w:val="000000" w:themeColor="text1"/>
              </w:rPr>
              <w:t xml:space="preserve">13.150.315</w:t>
            </w:r>
            <w:r/>
          </w:p>
        </w:tc>
        <w:tc>
          <w:tcPr>
            <w:shd w:val="clear" w:color="000000" w:fill="ffffff"/>
            <w:tcBorders/>
            <w:tcW w:w="2164" w:type="dxa"/>
            <w:vAlign w:val="center"/>
            <w:textDirection w:val="lrTb"/>
            <w:noWrap w:val="false"/>
          </w:tcPr>
          <w:p>
            <w:pPr>
              <w:pBdr/>
              <w:spacing w:after="40" w:before="40" w:line="288" w:lineRule="auto"/>
              <w:ind/>
              <w:jc w:val="center"/>
              <w:rPr/>
            </w:pPr>
            <w:r>
              <w:rPr>
                <w:color w:val="000000" w:themeColor="text1"/>
              </w:rPr>
              <w:t xml:space="preserve">3.683.403.273</w:t>
            </w:r>
            <w:r/>
          </w:p>
        </w:tc>
      </w:tr>
      <w:tr>
        <w:trPr>
          <w:trHeight w:val="20"/>
        </w:trPr>
        <w:tc>
          <w:tcPr>
            <w:gridSpan w:val="4"/>
            <w:tcBorders/>
            <w:tcW w:w="7361" w:type="dxa"/>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2164" w:type="dxa"/>
            <w:vAlign w:val="center"/>
            <w:textDirection w:val="lrTb"/>
            <w:noWrap/>
          </w:tcPr>
          <w:p>
            <w:pPr>
              <w:pBdr/>
              <w:spacing w:after="40" w:before="40" w:line="288" w:lineRule="auto"/>
              <w:ind/>
              <w:jc w:val="center"/>
              <w:rPr>
                <w:b/>
                <w:bCs/>
                <w:color w:val="000000"/>
              </w:rPr>
            </w:pPr>
            <w:r>
              <w:rPr>
                <w:b/>
                <w:bCs/>
              </w:rPr>
              <w:t xml:space="preserve">8.557.860.000</w:t>
            </w:r>
            <w:r>
              <w:rPr>
                <w:b/>
                <w:bCs/>
                <w:color w:val="000000"/>
              </w:rPr>
            </w:r>
            <w:r>
              <w:rPr>
                <w:b/>
                <w:bCs/>
                <w:color w:val="000000"/>
              </w:rPr>
            </w:r>
          </w:p>
        </w:tc>
      </w:tr>
      <w:tr>
        <w:trPr>
          <w:trHeight w:val="20"/>
        </w:trPr>
        <w:tc>
          <w:tcPr>
            <w:gridSpan w:val="4"/>
            <w:tcBorders/>
            <w:tcW w:w="7361" w:type="dxa"/>
            <w:vAlign w:val="center"/>
            <w:textDirection w:val="lrTb"/>
            <w:noWrap/>
          </w:tcPr>
          <w:p>
            <w:pPr>
              <w:pBdr/>
              <w:spacing w:after="40" w:before="40" w:line="288" w:lineRule="auto"/>
              <w:ind/>
              <w:jc w:val="center"/>
              <w:rPr>
                <w:b/>
                <w:bCs/>
                <w:color w:val="000000"/>
              </w:rPr>
            </w:pPr>
            <w:r>
              <w:rPr>
                <w:b/>
                <w:bCs/>
                <w:color w:val="000000"/>
              </w:rPr>
              <w:t xml:space="preserve">LÀM TRÒN</w:t>
            </w:r>
            <w:r>
              <w:rPr>
                <w:b/>
                <w:bCs/>
                <w:color w:val="000000"/>
              </w:rPr>
            </w:r>
            <w:r>
              <w:rPr>
                <w:b/>
                <w:bCs/>
                <w:color w:val="000000"/>
              </w:rPr>
            </w:r>
          </w:p>
        </w:tc>
        <w:tc>
          <w:tcPr>
            <w:tcBorders/>
            <w:tcW w:w="2164" w:type="dxa"/>
            <w:vAlign w:val="center"/>
            <w:textDirection w:val="lrTb"/>
            <w:noWrap/>
          </w:tcPr>
          <w:p>
            <w:pPr>
              <w:pBdr/>
              <w:spacing w:after="40" w:before="40" w:line="288" w:lineRule="auto"/>
              <w:ind/>
              <w:jc w:val="center"/>
              <w:rPr>
                <w:b/>
                <w:bCs/>
                <w:color w:val="000000"/>
              </w:rPr>
            </w:pPr>
            <w:r>
              <w:rPr>
                <w:b/>
                <w:bCs/>
                <w:color w:val="000000"/>
              </w:rPr>
              <w:t xml:space="preserve">8.557.900.000</w:t>
            </w:r>
            <w:r>
              <w:rPr>
                <w:b/>
                <w:bCs/>
                <w:color w:val="000000"/>
              </w:rPr>
            </w:r>
            <w:r>
              <w:rPr>
                <w:b/>
                <w:bCs/>
                <w:color w:val="000000"/>
              </w:rPr>
            </w:r>
          </w:p>
        </w:tc>
      </w:tr>
      <w:tr>
        <w:trPr>
          <w:trHeight w:val="20"/>
        </w:trPr>
        <w:tc>
          <w:tcPr>
            <w:gridSpan w:val="5"/>
            <w:tcBorders/>
            <w:tcW w:w="9525" w:type="dxa"/>
            <w:vAlign w:val="center"/>
            <w:textDirection w:val="lrTb"/>
            <w:noWrap w:val="false"/>
          </w:tcPr>
          <w:p>
            <w:pPr>
              <w:pBdr/>
              <w:spacing w:after="40" w:before="40" w:line="288" w:lineRule="auto"/>
              <w:ind/>
              <w:jc w:val="center"/>
              <w:rPr>
                <w:b/>
                <w:bCs/>
                <w:i/>
                <w:iCs/>
                <w:color w:val="000000"/>
              </w:rPr>
            </w:pPr>
            <w:r>
              <w:rPr>
                <w:b/>
                <w:bCs/>
                <w:i/>
                <w:iCs/>
                <w:color w:val="000000"/>
              </w:rPr>
              <w:t xml:space="preserve">(Bằng chữ: </w:t>
            </w:r>
            <w:r>
              <w:rPr>
                <w:b/>
                <w:bCs/>
                <w:i/>
                <w:iCs/>
                <w:color w:val="000000"/>
              </w:rPr>
              <w:t xml:space="preserve">Tám tỷ năm trăm năm mươi bảy triệu chín trăm nghìn </w:t>
            </w:r>
            <w:r>
              <w:rPr>
                <w:b/>
                <w:bCs/>
                <w:i/>
                <w:iCs/>
                <w:color w:val="000000"/>
              </w:rPr>
              <w:t xml:space="preserve">đồng</w:t>
            </w:r>
            <w:r>
              <w:rPr>
                <w:b/>
                <w:bCs/>
                <w:i/>
                <w:iCs/>
                <w:color w:val="000000"/>
              </w:rPr>
              <w:t xml:space="preserve">./.)</w:t>
            </w:r>
            <w:r>
              <w:rPr>
                <w:b/>
                <w:bCs/>
                <w:i/>
                <w:iCs/>
                <w:color w:val="000000"/>
              </w:rPr>
            </w:r>
            <w:r>
              <w:rPr>
                <w:b/>
                <w:bCs/>
                <w:i/>
                <w:iCs/>
                <w:color w:val="000000"/>
              </w:rPr>
            </w:r>
          </w:p>
        </w:tc>
      </w:tr>
    </w:tbl>
    <w:p>
      <w:pPr>
        <w:pBdr/>
        <w:spacing w:after="120" w:before="120" w:line="312" w:lineRule="auto"/>
        <w:ind/>
        <w:jc w:val="both"/>
        <w:rPr>
          <w:b/>
          <w:bCs/>
        </w:rPr>
      </w:pPr>
      <w:r>
        <w:rPr>
          <w:b/>
          <w:bCs/>
          <w:lang w:val="vi-VN"/>
        </w:rPr>
        <w:t xml:space="preserve">10. Thời hạn hiệu lực của kết quả thẩm định giá:</w:t>
      </w:r>
      <w:r>
        <w:rPr>
          <w:b/>
          <w:bCs/>
        </w:rPr>
      </w:r>
      <w:r>
        <w:rPr>
          <w:b/>
          <w:bCs/>
        </w:rPr>
      </w:r>
    </w:p>
    <w:p>
      <w:pPr>
        <w:pBdr/>
        <w:spacing w:after="120" w:before="120" w:line="312" w:lineRule="auto"/>
        <w:ind w:firstLine="360"/>
        <w:jc w:val="both"/>
        <w:rPr>
          <w:lang w:val="pt-BR"/>
        </w:rPr>
      </w:pPr>
      <w:r>
        <w:rPr>
          <w:lang w:val="pt-BR"/>
        </w:rPr>
        <w:t xml:space="preserve">- Tối đa 06 (sáu) tháng tính từ ngày ký đối với tài sản là Bất động sản.</w:t>
      </w:r>
      <w:r>
        <w:rPr>
          <w:lang w:val="pt-BR"/>
        </w:rPr>
      </w:r>
      <w:r>
        <w:rPr>
          <w:lang w:val="pt-BR"/>
        </w:rPr>
      </w:r>
    </w:p>
    <w:p>
      <w:pPr>
        <w:pBdr/>
        <w:spacing w:after="120" w:before="120" w:line="312" w:lineRule="auto"/>
        <w:ind/>
        <w:rPr/>
      </w:pPr>
      <w:r>
        <w:rPr>
          <w:b/>
          <w:bCs/>
          <w:lang w:val="vi-VN"/>
        </w:rPr>
        <w:t xml:space="preserve">11. Những điều khoản loại trừ và hạn chế của kết quả thẩm định giá:</w:t>
      </w:r>
      <w:r/>
    </w:p>
    <w:p>
      <w:pPr>
        <w:pBdr/>
        <w:spacing w:after="120" w:before="120" w:line="312" w:lineRule="auto"/>
        <w:ind w:firstLine="360"/>
        <w:rPr>
          <w:lang w:val="pt-BR"/>
        </w:rPr>
      </w:pPr>
      <w:r>
        <w:rPr>
          <w:lang w:val="pt-BR"/>
        </w:rPr>
        <w:t xml:space="preserve">- </w:t>
      </w:r>
      <w:r>
        <w:rPr>
          <w:lang w:val="pt-BR"/>
        </w:rPr>
        <w:t xml:space="preserve">Chi tiết như Báo cáo kèm theo.</w:t>
      </w:r>
      <w:r>
        <w:rPr>
          <w:rFonts w:eastAsia="Calibri"/>
          <w:b/>
          <w:spacing w:val="-4"/>
          <w:lang w:val="pt-BR"/>
        </w:rPr>
        <w:br w:type="page" w:clear="all"/>
      </w:r>
      <w:r>
        <w:rPr>
          <w:rFonts w:eastAsia="Calibri"/>
          <w:b/>
          <w:spacing w:val="-4"/>
          <w:lang w:val="pt-BR"/>
        </w:rPr>
        <w:t xml:space="preserve">12</w:t>
      </w:r>
      <w:r>
        <w:rPr>
          <w:rFonts w:eastAsia="Calibri"/>
          <w:b/>
          <w:spacing w:val="-4"/>
          <w:lang w:val="vi-VN"/>
        </w:rPr>
        <w:t xml:space="preserve">. Các tài liệu kèm theo:</w:t>
      </w:r>
      <w:r>
        <w:rPr>
          <w:lang w:val="pt-BR"/>
        </w:rPr>
      </w:r>
      <w:r>
        <w:rPr>
          <w:lang w:val="pt-BR"/>
        </w:rPr>
      </w:r>
    </w:p>
    <w:p>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bCs/>
                <w:lang w:val="vi-VN"/>
              </w:rPr>
            </w:pPr>
            <w:r>
              <w:rPr>
                <w:rFonts w:eastAsia="Calibri"/>
                <w:b/>
                <w:bCs/>
                <w:color w:val="000000" w:themeColor="text1"/>
                <w:lang w:val="pt-BR"/>
              </w:rPr>
              <w:t xml:space="preserve">Nguyễn Thị Thùy Dương</w:t>
            </w:r>
            <w:r>
              <w:rPr>
                <w:rFonts w:eastAsia="Calibri"/>
                <w:b/>
                <w:bCs/>
                <w:lang w:val="vi-VN"/>
              </w:rPr>
            </w:r>
            <w:r>
              <w:rPr>
                <w:rFonts w:eastAsia="Calibri"/>
                <w:b/>
                <w:bCs/>
                <w:lang w:val="vi-VN"/>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 thẻ thẩm định viên về giá:</w:t>
            </w:r>
            <w:r>
              <w:rPr>
                <w:rFonts w:eastAsia="Calibri"/>
                <w:lang w:val="pt-BR"/>
              </w:rPr>
              <w:t xml:space="preserve"> XII17.1825</w:t>
            </w:r>
            <w:r>
              <w:rPr>
                <w:rFonts w:eastAsia="Calibri"/>
                <w:b/>
                <w:lang w:val="pt-BR"/>
              </w:rPr>
            </w:r>
            <w:r>
              <w:rPr>
                <w:rFonts w:eastAsia="Calibri"/>
                <w:b/>
                <w:lang w:val="pt-BR"/>
              </w:rPr>
            </w:r>
          </w:p>
        </w:tc>
      </w:tr>
    </w:tbl>
    <w:p>
      <w:pPr>
        <w:pBdr/>
        <w:spacing w:after="200" w:line="276" w:lineRule="auto"/>
        <w:ind/>
        <w:rPr/>
      </w:pPr>
      <w:r>
        <w:br w:type="page" w:clear="all"/>
      </w:r>
      <w:r/>
    </w:p>
    <w:tbl>
      <w:tblPr>
        <w:tblInd w:w="-284" w:type="dxa"/>
        <w:tblW w:w="10092" w:type="dxa"/>
        <w:tblBorders/>
        <w:tblLayout w:type="fixed"/>
        <w:tblLook w:val="04A0" w:firstRow="1" w:lastRow="0" w:firstColumn="1" w:lastColumn="0" w:noHBand="0" w:noVBand="1"/>
      </w:tblPr>
      <w:tblGrid>
        <w:gridCol w:w="1701"/>
        <w:gridCol w:w="29"/>
        <w:gridCol w:w="3302"/>
        <w:gridCol w:w="5031"/>
        <w:gridCol w:w="29"/>
      </w:tblGrid>
      <w:tr>
        <w:trPr>
          <w:trHeight w:val="1843"/>
        </w:trPr>
        <w:tc>
          <w:tcPr>
            <w:gridSpan w:val="2"/>
            <w:tcBorders/>
            <w:tcW w:w="1729"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3"/>
            <w:tcBorders/>
            <w:tcW w:w="8362"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pPr>
              <w:pBdr/>
              <w:spacing w:line="312"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6" w:tooltip="mailto:ilotus.contact@gmail.com" w:history="1">
              <w:r>
                <w:rPr>
                  <w:rStyle w:val="1029"/>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After w:val="1"/>
          <w:trHeight w:val="84"/>
        </w:trPr>
        <w:tc>
          <w:tcPr>
            <w:gridSpan w:val="3"/>
            <w:shd w:val="clear" w:color="auto" w:fill="auto"/>
            <w:tcBorders/>
            <w:tcMar>
              <w:left w:w="108" w:type="dxa"/>
              <w:top w:w="0" w:type="dxa"/>
              <w:right w:w="108" w:type="dxa"/>
              <w:bottom w:w="0" w:type="dxa"/>
            </w:tcMar>
            <w:tcW w:w="5031" w:type="dxa"/>
            <w:textDirection w:val="lrTb"/>
            <w:noWrap w:val="false"/>
          </w:tcPr>
          <w:p>
            <w:pPr>
              <w:pStyle w:val="1038"/>
              <w:pBdr/>
              <w:spacing w:after="60"/>
              <w:ind/>
              <w:rPr>
                <w:color w:val="000000" w:themeColor="text1"/>
                <w:sz w:val="24"/>
                <w:szCs w:val="24"/>
              </w:rPr>
            </w:pPr>
            <w:r>
              <w:rPr>
                <w:rStyle w:val="1037"/>
                <w:rFonts w:ascii="Times New Roman" w:hAnsi="Times New Roman"/>
                <w:color w:val="000000" w:themeColor="text1"/>
                <w:lang w:val="pt-BR"/>
              </w:rPr>
              <w:t xml:space="preserve">Số: </w:t>
            </w:r>
            <w:r>
              <w:rPr>
                <w:rStyle w:val="1037"/>
                <w:rFonts w:ascii="Times New Roman" w:hAnsi="Times New Roman"/>
                <w:color w:val="000000" w:themeColor="text1"/>
                <w:lang w:val="pt-BR"/>
              </w:rPr>
              <w:t xml:space="preserve">275/2026/1043/VFI-</w:t>
            </w:r>
            <w:r>
              <w:rPr>
                <w:rStyle w:val="1037"/>
                <w:rFonts w:ascii="Times New Roman" w:hAnsi="Times New Roman"/>
                <w:color w:val="000000" w:themeColor="text1"/>
                <w:lang w:val="pt-BR"/>
              </w:rPr>
              <w:t xml:space="preserve">B</w:t>
            </w:r>
            <w:r>
              <w:rPr>
                <w:rStyle w:val="1037"/>
                <w:rFonts w:ascii="Times New Roman" w:hAnsi="Times New Roman"/>
                <w:color w:val="000000" w:themeColor="text1"/>
                <w:lang w:val="pt-BR"/>
              </w:rPr>
              <w:t xml:space="preserve">C.36.A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5031" w:type="dxa"/>
            <w:textDirection w:val="lrTb"/>
            <w:noWrap w:val="false"/>
          </w:tcPr>
          <w:p>
            <w:pPr>
              <w:pStyle w:val="1038"/>
              <w:pBdr/>
              <w:spacing w:after="60"/>
              <w:ind w:right="-56"/>
              <w:jc w:val="right"/>
              <w:rPr>
                <w:color w:val="000000" w:themeColor="text1"/>
                <w:sz w:val="24"/>
                <w:szCs w:val="24"/>
                <w:lang w:val="vi-VN"/>
              </w:rPr>
            </w:pPr>
            <w:r>
              <w:rPr>
                <w:rStyle w:val="1037"/>
                <w:rFonts w:ascii="Times New Roman" w:hAnsi="Times New Roman"/>
                <w:i/>
                <w:color w:val="auto"/>
              </w:rPr>
              <w:t xml:space="preserve">TP. Hà Nội</w:t>
            </w:r>
            <w:r>
              <w:rPr>
                <w:rStyle w:val="1037"/>
                <w:rFonts w:ascii="Times New Roman" w:hAnsi="Times New Roman"/>
                <w:i/>
                <w:color w:val="auto"/>
                <w:lang w:val="vi-VN"/>
              </w:rPr>
              <w:t xml:space="preserve">, </w:t>
            </w:r>
            <w:r>
              <w:rPr>
                <w:rStyle w:val="1037"/>
                <w:rFonts w:ascii="Times New Roman" w:hAnsi="Times New Roman"/>
                <w:i/>
                <w:color w:val="000000" w:themeColor="text1"/>
                <w:lang w:val="vi-VN"/>
              </w:rPr>
              <w:t xml:space="preserve">ngày 10 tháng 7 năm 2026</w:t>
            </w:r>
            <w:r>
              <w:rPr>
                <w:color w:val="000000" w:themeColor="text1"/>
                <w:sz w:val="24"/>
                <w:szCs w:val="24"/>
                <w:lang w:val="vi-VN"/>
              </w:rPr>
            </w:r>
            <w:r>
              <w:rPr>
                <w:color w:val="000000" w:themeColor="text1"/>
                <w:sz w:val="24"/>
                <w:szCs w:val="24"/>
                <w:lang w:val="vi-VN"/>
              </w:rPr>
            </w:r>
          </w:p>
        </w:tc>
      </w:tr>
    </w:tbl>
    <w:p>
      <w:pPr>
        <w:pStyle w:val="1038"/>
        <w:pBdr/>
        <w:tabs>
          <w:tab w:val="left" w:leader="none" w:pos="5103"/>
        </w:tabs>
        <w:spacing w:before="200" w:line="340" w:lineRule="atLeast"/>
        <w:ind/>
        <w:jc w:val="center"/>
        <w:rPr>
          <w:i/>
          <w:iCs/>
          <w:sz w:val="30"/>
          <w:szCs w:val="30"/>
          <w:lang w:val="pt-BR"/>
        </w:rPr>
      </w:pPr>
      <w:r>
        <w:rPr>
          <w:b/>
          <w:sz w:val="30"/>
          <w:szCs w:val="30"/>
          <w:lang w:val="pt-BR"/>
        </w:rPr>
        <w:t xml:space="preserve">BÁO CÁO KẾT QUẢ THẨM ĐỊNH GIÁ</w:t>
      </w:r>
      <w:r>
        <w:rPr>
          <w:i/>
          <w:iCs/>
          <w:sz w:val="30"/>
          <w:szCs w:val="30"/>
          <w:lang w:val="pt-BR"/>
        </w:rPr>
      </w:r>
      <w:r>
        <w:rPr>
          <w:i/>
          <w:iCs/>
          <w:sz w:val="30"/>
          <w:szCs w:val="30"/>
          <w:lang w:val="pt-BR"/>
        </w:rPr>
      </w:r>
    </w:p>
    <w:p>
      <w:pPr>
        <w:pStyle w:val="1018"/>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(Kèm t</w:t>
      </w:r>
      <w:r>
        <w:rPr>
          <w:b w:val="0"/>
          <w:i/>
          <w:spacing w:val="-6"/>
          <w:sz w:val="24"/>
          <w:szCs w:val="24"/>
          <w:lang w:val="pt-BR"/>
        </w:rPr>
        <w:t xml:space="preserve">heo Chứng thư thẩm định giá số:</w:t>
      </w:r>
      <w:r>
        <w:rPr>
          <w:b w:val="0"/>
          <w:i/>
          <w:spacing w:val="-6"/>
          <w:sz w:val="24"/>
          <w:szCs w:val="24"/>
          <w:lang w:val="pt-BR"/>
        </w:rPr>
        <w:t xml:space="preserve"> </w:t>
      </w:r>
      <w:r>
        <w:rPr>
          <w:b w:val="0"/>
          <w:i/>
          <w:color w:val="000000" w:themeColor="text1"/>
          <w:spacing w:val="-6"/>
          <w:sz w:val="24"/>
          <w:szCs w:val="24"/>
          <w:lang w:val="pt-BR"/>
        </w:rPr>
        <w:t xml:space="preserve">275/2026/1043/VFI-CT.36.A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10 tháng 7 năm 2026</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pPr>
        <w:pStyle w:val="1018"/>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pPr>
              <w:pBdr/>
              <w:spacing w:after="60" w:before="6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2552" w:type="dxa"/>
            <w:vAlign w:val="center"/>
            <w:textDirection w:val="lrTb"/>
            <w:noWrap w:val="false"/>
          </w:tcPr>
          <w:p>
            <w:pPr>
              <w:pBdr/>
              <w:spacing w:after="60" w:before="60" w:line="276" w:lineRule="auto"/>
              <w:ind/>
              <w:rPr>
                <w:bCs/>
              </w:rPr>
            </w:pPr>
            <w:r>
              <w:t xml:space="preserve">Mã số thuế</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2552" w:type="dxa"/>
            <w:vAlign w:val="center"/>
            <w:textDirection w:val="lrTb"/>
            <w:noWrap w:val="false"/>
          </w:tcPr>
          <w:p>
            <w:pPr>
              <w:pBdr/>
              <w:spacing w:after="60" w:before="60" w:line="276" w:lineRule="auto"/>
              <w:ind/>
              <w:rPr/>
            </w:pPr>
            <w:r>
              <w:t xml:space="preserve">GCN</w:t>
            </w:r>
            <w:r>
              <w:t xml:space="preserve"> đủ điều kiện hành nghề</w:t>
            </w: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rPr>
              <w:t xml:space="preserve">275/TĐG</w:t>
            </w:r>
            <w:r>
              <w:rPr>
                <w:bCs/>
              </w:rPr>
            </w:r>
            <w:r>
              <w:rPr>
                <w:bCs/>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Tài khoản số</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Đại diện</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b/>
                <w:bCs/>
                <w:lang w:val="vi-VN"/>
              </w:rPr>
            </w:pPr>
            <w:r>
              <w:rPr>
                <w:b/>
                <w:bCs/>
                <w:lang w:val="vi-VN"/>
              </w:rPr>
              <w:t xml:space="preserve">Ông</w:t>
            </w:r>
            <w:r>
              <w:rPr>
                <w:b/>
                <w:bCs/>
              </w:rPr>
              <w:t xml:space="preserve"> Vũ Văn Quân </w:t>
            </w:r>
            <w:r>
              <w:rPr>
                <w:b/>
                <w:bCs/>
                <w:lang w:val="vi-VN"/>
              </w:rPr>
              <w:tab/>
              <w:t xml:space="preserve">Chức vụ: </w:t>
            </w:r>
            <w:r>
              <w:rPr>
                <w:b/>
                <w:bCs/>
              </w:rPr>
              <w:t xml:space="preserve">Chủ tịch HĐQT kiêm Tổng Giám Đốc</w:t>
            </w:r>
            <w:r>
              <w:rPr>
                <w:b/>
                <w:bCs/>
                <w:lang w:val="vi-VN"/>
              </w:rPr>
            </w:r>
            <w:r>
              <w:rPr>
                <w:b/>
                <w:bCs/>
                <w:lang w:val="vi-VN"/>
              </w:rPr>
            </w:r>
          </w:p>
        </w:tc>
      </w:tr>
    </w:tbl>
    <w:p>
      <w:pPr>
        <w:pStyle w:val="1039"/>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Thông tin cơ bản về cuộc thẩm định giá:</w:t>
      </w:r>
      <w:r>
        <w:rPr>
          <w:b/>
          <w:bCs/>
          <w:lang w:val="pt-BR"/>
        </w:rPr>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tcBorders/>
            <w:tcW w:w="284"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5" w:type="dxa"/>
            <w:vAlign w:val="center"/>
            <w:textDirection w:val="lrTb"/>
            <w:noWrap w:val="false"/>
          </w:tcPr>
          <w:p>
            <w:pPr>
              <w:pBdr/>
              <w:spacing/>
              <w:ind/>
              <w:rPr>
                <w:b/>
                <w:bCs/>
              </w:rPr>
            </w:pPr>
            <w:r>
              <w:rPr>
                <w:b/>
                <w:bCs/>
              </w:rPr>
            </w:r>
            <w:r>
              <w:rPr>
                <w:b/>
                <w:bCs/>
                <w:color w:val="000000" w:themeColor="text1"/>
                <w:spacing w:val="-4"/>
              </w:rPr>
              <w:t xml:space="preserve">ÔNG NGUYỄN VĂN LỊCH</w:t>
            </w:r>
            <w:r>
              <w:rPr>
                <w:b/>
                <w:bCs/>
              </w:rPr>
            </w:r>
            <w:r>
              <w:rPr>
                <w:b/>
                <w:bCs/>
              </w:rPr>
            </w:r>
          </w:p>
        </w:tc>
      </w:tr>
      <w:tr>
        <w:trPr>
          <w:trHeight w:val="20"/>
        </w:trPr>
        <w:tc>
          <w:tcPr>
            <w:tcBorders/>
            <w:tcW w:w="2518"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CCCD:</w:t>
            </w:r>
            <w:r>
              <w:rPr>
                <w:bCs/>
                <w:color w:val="000000" w:themeColor="text1"/>
                <w:lang w:val="pt-BR"/>
              </w:rPr>
            </w:r>
            <w:r>
              <w:rPr>
                <w:bCs/>
                <w:color w:val="000000" w:themeColor="text1"/>
                <w:lang w:val="pt-BR"/>
              </w:rPr>
            </w:r>
          </w:p>
        </w:tc>
        <w:tc>
          <w:tcPr>
            <w:tcBorders/>
            <w:tcW w:w="284"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5" w:type="dxa"/>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001077031378</w:t>
            </w:r>
            <w:r>
              <w:rPr>
                <w:color w:val="ff0000"/>
                <w:lang w:val="pt-BR"/>
              </w:rPr>
            </w:r>
            <w:r>
              <w:rPr>
                <w:color w:val="ff0000"/>
                <w:lang w:val="pt-BR"/>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Tài sản thẩm định giá</w:t>
            </w:r>
            <w:r>
              <w:rPr>
                <w:bCs/>
                <w:lang w:val="pt-BR"/>
              </w:rPr>
            </w:r>
            <w:r>
              <w:rPr>
                <w:bCs/>
                <w:lang w:val="pt-BR"/>
              </w:rPr>
            </w:r>
          </w:p>
        </w:tc>
        <w:tc>
          <w:tcPr>
            <w:tcBorders/>
            <w:tcW w:w="284" w:type="dxa"/>
            <w:vAlign w:val="center"/>
            <w:textDirection w:val="lrTb"/>
            <w:noWrap w:val="false"/>
          </w:tcPr>
          <w:p>
            <w:pPr>
              <w:pStyle w:val="103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
                <w:bCs/>
                <w:spacing w:val="2"/>
                <w:lang w:val="vi-VN"/>
              </w:rPr>
            </w:pPr>
            <w:r>
              <w:rPr>
                <w:bCs/>
                <w:color w:val="000000" w:themeColor="text1"/>
                <w:lang w:val="pt-BR"/>
              </w:rPr>
              <w:t xml:space="preserve">Quyền sử dụng đất và tài sản gắn liền với đất tại thửa đất số: 26, tờ bản đồ số: 23, có địa chỉ: Thôn 4, xã Trung Châu, huyện Đan Phượng, thành phố Hà Nội (Nay là: Xã Liê</w:t>
            </w:r>
            <w:r>
              <w:rPr>
                <w:bCs/>
                <w:color w:val="000000" w:themeColor="text1"/>
                <w:lang w:val="pt-BR"/>
              </w:rPr>
              <w:t xml:space="preserve">n Minh, thành phố Hà Nội) theo Giấy chứng nhận quyền sử dụng đất quyền sở hữu nhà ở và tài sản khác gắn liền với đất số: CH 670784, số vào sổ cấp GCN: CH-03178 do Ủy ban nhân dân huyện Đan Phượng cấp ngày 14/07/2017; Chủ sử dụng đất là Ông Nguyễn Văn Lịch.</w:t>
            </w:r>
            <w:r>
              <w:rPr>
                <w:b/>
                <w:bCs/>
                <w:spacing w:val="2"/>
                <w:lang w:val="vi-VN"/>
              </w:rPr>
            </w:r>
            <w:r>
              <w:rPr>
                <w:b/>
                <w:bCs/>
                <w:spacing w:val="2"/>
                <w:lang w:val="vi-VN"/>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Mục đích thẩm định giá</w:t>
            </w:r>
            <w:r>
              <w:rPr>
                <w:bCs/>
                <w:lang w:val="pt-BR"/>
              </w:rPr>
            </w:r>
            <w:r>
              <w:rPr>
                <w:bCs/>
                <w:lang w:val="pt-BR"/>
              </w:rPr>
            </w:r>
          </w:p>
        </w:tc>
        <w:tc>
          <w:tcPr>
            <w:tcBorders/>
            <w:tcW w:w="284" w:type="dxa"/>
            <w:vAlign w:val="center"/>
            <w:textDirection w:val="lrTb"/>
            <w:noWrap w:val="false"/>
          </w:tcPr>
          <w:p>
            <w:pPr>
              <w:pStyle w:val="103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12"/>
                <w:lang w:val="pt-BR"/>
              </w:rPr>
            </w:pPr>
            <w:r>
              <w:rPr>
                <w:bCs/>
                <w:spacing w:val="-12"/>
                <w:lang w:val="pt-BR"/>
              </w:rPr>
              <w:t xml:space="preserve">Cơ sở giá trị thẩm định giá</w:t>
            </w:r>
            <w:r>
              <w:rPr>
                <w:bCs/>
                <w:spacing w:val="-12"/>
                <w:lang w:val="pt-BR"/>
              </w:rPr>
            </w:r>
            <w:r>
              <w:rPr>
                <w:bCs/>
                <w:spacing w:val="-12"/>
                <w:lang w:val="pt-BR"/>
              </w:rPr>
            </w:r>
          </w:p>
        </w:tc>
        <w:tc>
          <w:tcPr>
            <w:tcBorders/>
            <w:tcW w:w="284" w:type="dxa"/>
            <w:vAlign w:val="center"/>
            <w:textDirection w:val="lrTb"/>
            <w:noWrap w:val="false"/>
          </w:tcPr>
          <w:p>
            <w:pPr>
              <w:pStyle w:val="103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thẩm định giá</w:t>
            </w:r>
            <w:r>
              <w:rPr>
                <w:bCs/>
                <w:spacing w:val="-6"/>
                <w:lang w:val="pt-BR"/>
              </w:rPr>
            </w:r>
            <w:r>
              <w:rPr>
                <w:bCs/>
                <w:spacing w:val="-6"/>
                <w:lang w:val="pt-BR"/>
              </w:rPr>
            </w:r>
          </w:p>
        </w:tc>
        <w:tc>
          <w:tcPr>
            <w:tcBorders/>
            <w:tcW w:w="284" w:type="dxa"/>
            <w:vAlign w:val="center"/>
            <w:textDirection w:val="lrTb"/>
            <w:noWrap w:val="false"/>
          </w:tcPr>
          <w:p>
            <w:pPr>
              <w:pStyle w:val="103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Cs/>
                <w:spacing w:val="-4"/>
                <w:lang w:val="pt-BR"/>
              </w:rPr>
            </w:pPr>
            <w:r>
              <w:rPr>
                <w:color w:val="000000" w:themeColor="text1"/>
                <w:lang w:val="pt-BR"/>
              </w:rPr>
              <w:t xml:space="preserve">Tháng 07/2026</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Địa điểm thẩm định giá</w:t>
            </w:r>
            <w:r>
              <w:rPr>
                <w:bCs/>
                <w:spacing w:val="-6"/>
                <w:lang w:val="pt-BR"/>
              </w:rPr>
            </w:r>
            <w:r>
              <w:rPr>
                <w:bCs/>
                <w:spacing w:val="-6"/>
                <w:lang w:val="pt-BR"/>
              </w:rPr>
            </w:r>
          </w:p>
        </w:tc>
        <w:tc>
          <w:tcPr>
            <w:tcBorders/>
            <w:tcW w:w="284" w:type="dxa"/>
            <w:vAlign w:val="center"/>
            <w:textDirection w:val="lrTb"/>
            <w:noWrap w:val="false"/>
          </w:tcPr>
          <w:p>
            <w:pPr>
              <w:pStyle w:val="103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color w:val="ee0000"/>
                <w:lang w:val="pt-BR"/>
              </w:rPr>
            </w:pPr>
            <w:r>
              <w:rPr>
                <w:bCs/>
                <w:color w:val="000000" w:themeColor="text1"/>
                <w:lang w:val="pt-BR"/>
              </w:rPr>
              <w:t xml:space="preserve">Xã Liê</w:t>
            </w:r>
            <w:r>
              <w:rPr>
                <w:bCs/>
                <w:color w:val="000000" w:themeColor="text1"/>
                <w:lang w:val="pt-BR"/>
              </w:rPr>
              <w:t xml:space="preserve">n Minh, thành phố Hà Nội</w:t>
            </w:r>
            <w:r>
              <w:rPr>
                <w:color w:val="ee0000"/>
                <w:lang w:val="pt-BR"/>
              </w:rPr>
            </w:r>
            <w:r>
              <w:rPr>
                <w:color w:val="ee0000"/>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Vị trí tài sản thẩm định </w:t>
            </w:r>
            <w:r>
              <w:rPr>
                <w:bCs/>
                <w:spacing w:val="-6"/>
                <w:lang w:val="pt-BR"/>
              </w:rPr>
            </w:r>
            <w:r>
              <w:rPr>
                <w:bCs/>
                <w:spacing w:val="-6"/>
                <w:lang w:val="pt-BR"/>
              </w:rPr>
            </w:r>
          </w:p>
        </w:tc>
        <w:tc>
          <w:tcPr>
            <w:tcBorders/>
            <w:tcW w:w="284" w:type="dxa"/>
            <w:vAlign w:val="center"/>
            <w:textDirection w:val="lrTb"/>
            <w:noWrap w:val="false"/>
          </w:tcPr>
          <w:p>
            <w:pPr>
              <w:pStyle w:val="103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Style w:val="1019"/>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w:t>
            </w:r>
            <w:r>
              <w:rPr>
                <w:rFonts w:ascii="Times New Roman" w:hAnsi="Times New Roman" w:cs="Times New Roman"/>
                <w:color w:val="000000"/>
                <w:sz w:val="24"/>
                <w:szCs w:val="24"/>
              </w:rPr>
              <w:t xml:space="preserve">21.1425, 105.63383333333</w:t>
            </w:r>
            <w:r>
              <w:rPr>
                <w:rFonts w:ascii="Times New Roman" w:hAnsi="Times New Roman" w:cs="Times New Roman"/>
                <w:color w:val="auto"/>
                <w:sz w:val="24"/>
                <w:szCs w:val="24"/>
              </w:rPr>
              <w:t xml:space="preserve">)</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khảo sát</w:t>
            </w:r>
            <w:r>
              <w:rPr>
                <w:bCs/>
                <w:spacing w:val="-6"/>
                <w:lang w:val="pt-BR"/>
              </w:rPr>
            </w:r>
            <w:r>
              <w:rPr>
                <w:bCs/>
                <w:spacing w:val="-6"/>
                <w:lang w:val="pt-BR"/>
              </w:rPr>
            </w:r>
          </w:p>
        </w:tc>
        <w:tc>
          <w:tcPr>
            <w:tcBorders/>
            <w:tcW w:w="284" w:type="dxa"/>
            <w:vAlign w:val="center"/>
            <w:textDirection w:val="lrTb"/>
            <w:noWrap w:val="false"/>
          </w:tcPr>
          <w:p>
            <w:pPr>
              <w:pStyle w:val="103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lang w:val="pt-BR"/>
              </w:rPr>
            </w:pPr>
            <w:r>
              <w:rPr>
                <w:lang w:val="pt-BR"/>
              </w:rPr>
              <w:t xml:space="preserve">16/</w:t>
            </w:r>
            <w:r>
              <w:rPr>
                <w:lang w:val="pt-BR"/>
              </w:rPr>
              <w:t xml:space="preserve">0</w:t>
            </w:r>
            <w:r>
              <w:rPr>
                <w:lang w:val="pt-BR"/>
              </w:rPr>
              <w:t xml:space="preserve">6</w:t>
            </w:r>
            <w:r>
              <w:rPr>
                <w:lang w:val="pt-BR"/>
              </w:rPr>
              <w:t xml:space="preserve">/2026</w:t>
            </w:r>
            <w:r>
              <w:rPr>
                <w:lang w:val="pt-BR"/>
              </w:rPr>
              <w:t xml:space="preserve">.</w:t>
            </w:r>
            <w:r>
              <w:rPr>
                <w:lang w:val="pt-BR"/>
              </w:rPr>
            </w:r>
            <w:r>
              <w:rPr>
                <w:lang w:val="pt-BR"/>
              </w:rPr>
            </w:r>
          </w:p>
        </w:tc>
      </w:tr>
    </w:tbl>
    <w:p>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 nguồn thông tin được sử dụng trong quá trình thẩm định giá</w:t>
      </w:r>
      <w:r>
        <w:rPr>
          <w:b/>
          <w:bCs/>
          <w:spacing w:val="-6"/>
          <w:lang w:val="pt-BR"/>
        </w:rPr>
        <w:t xml:space="preserve"> và xem xét đánh giá</w:t>
      </w:r>
      <w:r>
        <w:rPr>
          <w:b/>
          <w:bCs/>
          <w:spacing w:val="-6"/>
          <w:lang w:val="pt-BR"/>
        </w:rPr>
        <w:t xml:space="preserve"> các thông tin thu thập</w:t>
      </w:r>
      <w:r>
        <w:rPr>
          <w:b/>
          <w:bCs/>
          <w:spacing w:val="-6"/>
          <w:lang w:val="pt-BR"/>
        </w:rPr>
      </w:r>
      <w:r>
        <w:rPr>
          <w:b/>
          <w:bCs/>
          <w:spacing w:val="-6"/>
          <w:lang w:val="pt-BR"/>
        </w:rPr>
      </w:r>
    </w:p>
    <w:p>
      <w:pPr>
        <w:pStyle w:val="1039"/>
        <w:numPr>
          <w:ilvl w:val="0"/>
          <w:numId w:val="1"/>
        </w:numPr>
        <w:pBdr/>
        <w:tabs>
          <w:tab w:val="left" w:leader="none" w:pos="993"/>
        </w:tabs>
        <w:spacing w:after="120" w:before="120" w:line="276" w:lineRule="auto"/>
        <w:ind/>
        <w:jc w:val="both"/>
        <w:rPr>
          <w:lang w:val="pt-BR"/>
        </w:rPr>
      </w:pPr>
      <w:r>
        <w:rPr>
          <w:spacing w:val="-6"/>
          <w:lang w:val="pt-BR"/>
        </w:rPr>
        <w:t xml:space="preserve">Tham khảo nguồn thông tin từ các trang giao bán bất động sản qua mạng Internet</w:t>
      </w:r>
      <w:r>
        <w:rPr>
          <w:spacing w:val="-6"/>
          <w:lang w:val="pt-BR"/>
        </w:rPr>
        <w:t xml:space="preserve">, gọi điện trực tiếp</w:t>
      </w:r>
      <w:r>
        <w:rPr>
          <w:lang w:val="pt-BR"/>
        </w:rPr>
        <w:t xml:space="preserve">.</w:t>
      </w:r>
      <w:r>
        <w:rPr>
          <w:lang w:val="pt-BR"/>
        </w:rPr>
      </w:r>
      <w:r>
        <w:rPr>
          <w:lang w:val="pt-BR"/>
        </w:rPr>
      </w:r>
    </w:p>
    <w:p>
      <w:pPr>
        <w:pStyle w:val="1039"/>
        <w:numPr>
          <w:ilvl w:val="0"/>
          <w:numId w:val="1"/>
        </w:numPr>
        <w:pBdr/>
        <w:tabs>
          <w:tab w:val="left" w:leader="none" w:pos="993"/>
        </w:tabs>
        <w:spacing w:after="120" w:before="120" w:line="276" w:lineRule="auto"/>
        <w:ind/>
        <w:jc w:val="both"/>
        <w:rPr>
          <w:lang w:val="pt-BR"/>
        </w:rPr>
      </w:pPr>
      <w:r>
        <w:rPr>
          <w:lang w:val="pt-BR"/>
        </w:rPr>
        <w:t xml:space="preserve">Tham khảo nguồn thông tin trực tiếp từ </w:t>
      </w:r>
      <w:r>
        <w:rPr>
          <w:lang w:val="pt-BR"/>
        </w:rPr>
        <w:t xml:space="preserve">những</w:t>
      </w:r>
      <w:r>
        <w:rPr>
          <w:lang w:val="vi-VN"/>
        </w:rPr>
        <w:t xml:space="preserve"> người </w:t>
      </w:r>
      <w:r>
        <w:rPr>
          <w:lang w:val="pt-BR"/>
        </w:rPr>
        <w:t xml:space="preserve">dân </w:t>
      </w:r>
      <w:r>
        <w:rPr>
          <w:lang w:val="pt-BR"/>
        </w:rPr>
        <w:t xml:space="preserve">sinh</w:t>
      </w:r>
      <w:r>
        <w:rPr>
          <w:lang w:val="vi-VN"/>
        </w:rPr>
        <w:t xml:space="preserve"> s</w:t>
      </w:r>
      <w:r>
        <w:rPr>
          <w:lang w:val="pt-BR"/>
        </w:rPr>
        <w:t xml:space="preserve">ống </w:t>
      </w:r>
      <w:r>
        <w:rPr>
          <w:lang w:val="pt-BR"/>
        </w:rPr>
        <w:t xml:space="preserve">xung quanh </w:t>
      </w:r>
      <w:r>
        <w:rPr>
          <w:lang w:val="pt-BR"/>
        </w:rPr>
        <w:t xml:space="preserve">trên địa bàn.</w:t>
      </w:r>
      <w:r>
        <w:rPr>
          <w:lang w:val="pt-BR"/>
        </w:rPr>
      </w:r>
      <w:r>
        <w:rPr>
          <w:lang w:val="pt-BR"/>
        </w:rPr>
      </w:r>
    </w:p>
    <w:p>
      <w:pPr>
        <w:pStyle w:val="1039"/>
        <w:numPr>
          <w:ilvl w:val="0"/>
          <w:numId w:val="1"/>
        </w:numPr>
        <w:pBdr/>
        <w:tabs>
          <w:tab w:val="left" w:leader="none" w:pos="993"/>
        </w:tabs>
        <w:spacing w:after="120" w:before="120" w:line="276" w:lineRule="auto"/>
        <w:ind/>
        <w:jc w:val="both"/>
        <w:rPr>
          <w:lang w:val="pt-BR"/>
        </w:rPr>
      </w:pPr>
      <w:r>
        <w:rPr>
          <w:lang w:val="pt-BR"/>
        </w:rPr>
        <w:t xml:space="preserve">Đánh giá nguồn thông tin thu thập: Nguồn thông tin thu thập khách quan</w:t>
      </w:r>
      <w:r>
        <w:rPr>
          <w:lang w:val="pt-BR"/>
        </w:rPr>
        <w:t xml:space="preserve"> và phổ biến trên thị trường.</w:t>
      </w:r>
      <w:r>
        <w:rPr>
          <w:lang w:val="pt-BR"/>
        </w:rPr>
      </w:r>
      <w:r>
        <w:rPr>
          <w:lang w:val="pt-BR"/>
        </w:rPr>
      </w:r>
    </w:p>
    <w:p>
      <w:pPr>
        <w:pStyle w:val="1039"/>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 cứ pháp lý</w:t>
      </w:r>
      <w:r>
        <w:rPr>
          <w:b/>
          <w:bCs/>
          <w:lang w:val="vi-VN"/>
        </w:rPr>
      </w:r>
      <w:r>
        <w:rPr>
          <w:b/>
          <w:bCs/>
          <w:lang w:val="vi-VN"/>
        </w:rPr>
      </w:r>
    </w:p>
    <w:p>
      <w:pPr>
        <w:pStyle w:val="1039"/>
        <w:pBdr/>
        <w:tabs>
          <w:tab w:val="left" w:leader="none" w:pos="993"/>
        </w:tabs>
        <w:spacing w:after="120" w:before="120" w:line="276" w:lineRule="auto"/>
        <w:ind w:left="0"/>
        <w:jc w:val="both"/>
        <w:rPr>
          <w:b/>
          <w:lang w:val="pt-BR"/>
        </w:rPr>
      </w:pPr>
      <w:r>
        <w:rPr>
          <w:b/>
          <w:lang w:val="pt-BR"/>
        </w:rPr>
        <w:t xml:space="preserve">3.1</w:t>
      </w:r>
      <w:r>
        <w:rPr>
          <w:b/>
          <w:lang w:val="pt-BR"/>
        </w:rPr>
        <w:t xml:space="preserve">. Văn bản </w:t>
      </w:r>
      <w:r>
        <w:rPr>
          <w:b/>
          <w:lang w:val="pt-BR"/>
        </w:rPr>
        <w:t xml:space="preserve">quy phạm pháp luật</w:t>
      </w:r>
      <w:r>
        <w:rPr>
          <w:b/>
          <w:lang w:val="pt-BR"/>
        </w:rPr>
        <w:t xml:space="preserve">:</w:t>
      </w:r>
      <w:r>
        <w:rPr>
          <w:b/>
          <w:lang w:val="pt-BR"/>
        </w:rPr>
      </w:r>
      <w:r>
        <w:rPr>
          <w:b/>
          <w:lang w:val="pt-BR"/>
        </w:rPr>
      </w:r>
    </w:p>
    <w:p>
      <w:pPr>
        <w:pStyle w:val="1039"/>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 Giá số 16/2023/QH15 ngày 19/6/2023;</w:t>
      </w:r>
      <w:r>
        <w:rPr>
          <w:lang w:val="pt-BR"/>
        </w:rPr>
      </w:r>
      <w:r>
        <w:rPr>
          <w:lang w:val="pt-BR"/>
        </w:rPr>
      </w:r>
    </w:p>
    <w:p>
      <w:pPr>
        <w:pStyle w:val="1039"/>
        <w:numPr>
          <w:ilvl w:val="0"/>
          <w:numId w:val="1"/>
        </w:numPr>
        <w:pBdr/>
        <w:tabs>
          <w:tab w:val="left" w:leader="none" w:pos="993"/>
        </w:tabs>
        <w:spacing w:after="120" w:before="120" w:line="276" w:lineRule="auto"/>
        <w:ind/>
        <w:jc w:val="both"/>
        <w:rPr>
          <w:lang w:val="pt-BR"/>
        </w:rPr>
      </w:pPr>
      <w:r>
        <w:rPr>
          <w:lang w:val="pt-BR"/>
        </w:rPr>
        <w:t xml:space="preserve">Luật Đất đai số 31/2024/QH15 đã được Quốc hội nước Cộng hòa xã hội chủ nghĩa Việt Nam khóa XV, kỳ họp bất thường lần thứ 5 thông qua ngày 18 tháng 01 năm 2024;</w:t>
      </w:r>
      <w:r>
        <w:rPr>
          <w:lang w:val="pt-BR"/>
        </w:rPr>
      </w:r>
      <w:r>
        <w:rPr>
          <w:lang w:val="pt-BR"/>
        </w:rPr>
      </w:r>
    </w:p>
    <w:p>
      <w:pPr>
        <w:pStyle w:val="1039"/>
        <w:numPr>
          <w:ilvl w:val="0"/>
          <w:numId w:val="1"/>
        </w:numPr>
        <w:pBdr/>
        <w:tabs>
          <w:tab w:val="left" w:leader="none" w:pos="993"/>
        </w:tabs>
        <w:spacing w:after="120" w:before="120" w:line="276" w:lineRule="auto"/>
        <w:ind/>
        <w:jc w:val="both"/>
        <w:rPr>
          <w:lang w:val="pt-BR"/>
        </w:rPr>
      </w:pPr>
      <w:r>
        <w:rPr>
          <w:lang w:val="pt-BR"/>
        </w:rPr>
        <w:t xml:space="preserve">Luật Xây dựng số 50/2014/QH13 đã được Quốc hội nước Cộng hòa xã hội chủ nghĩa Việt Nam khóa XIII, kỳ họp thứ 7 thông qua ngày 18 tháng 6 năm 2014;</w:t>
      </w:r>
      <w:r>
        <w:rPr>
          <w:lang w:val="pt-BR"/>
        </w:rPr>
      </w:r>
      <w:r>
        <w:rPr>
          <w:lang w:val="pt-BR"/>
        </w:rPr>
      </w:r>
    </w:p>
    <w:p>
      <w:pPr>
        <w:pStyle w:val="1039"/>
        <w:numPr>
          <w:ilvl w:val="0"/>
          <w:numId w:val="1"/>
        </w:numPr>
        <w:pBdr/>
        <w:tabs>
          <w:tab w:val="left" w:leader="none" w:pos="993"/>
        </w:tabs>
        <w:spacing w:after="120" w:before="120" w:line="276" w:lineRule="auto"/>
        <w:ind/>
        <w:jc w:val="both"/>
        <w:rPr>
          <w:lang w:val="pt-BR"/>
        </w:rPr>
      </w:pPr>
      <w:r>
        <w:rPr>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Pr>
          <w:lang w:val="pt-BR"/>
        </w:rPr>
        <w:t xml:space="preserve">d</w:t>
      </w:r>
      <w:r>
        <w:rPr>
          <w:lang w:val="pt-BR"/>
        </w:rPr>
        <w:t xml:space="preserve">ựng;</w:t>
      </w:r>
      <w:r>
        <w:rPr>
          <w:lang w:val="pt-BR"/>
        </w:rPr>
      </w:r>
      <w:r>
        <w:rPr>
          <w:lang w:val="pt-BR"/>
        </w:rPr>
      </w:r>
    </w:p>
    <w:p>
      <w:pPr>
        <w:pStyle w:val="1039"/>
        <w:numPr>
          <w:ilvl w:val="0"/>
          <w:numId w:val="1"/>
        </w:numPr>
        <w:pBdr/>
        <w:tabs>
          <w:tab w:val="left" w:leader="none" w:pos="993"/>
        </w:tabs>
        <w:spacing w:after="120" w:before="120" w:line="276" w:lineRule="auto"/>
        <w:ind/>
        <w:jc w:val="both"/>
        <w:rPr>
          <w:lang w:val="pt-BR"/>
        </w:rPr>
      </w:pPr>
      <w:r>
        <w:rPr>
          <w:lang w:val="pt-BR"/>
        </w:rPr>
        <w:t xml:space="preserve">Luật Nhà ở số 27/2023/QH15 đã được Quốc hội nước Cộng hòa xã hội chủ nghĩa Việt Nam khóa XV, kỳ họp thứ 6 thông qua ngày 27 tháng 11 năm 2023;</w:t>
      </w:r>
      <w:r>
        <w:rPr>
          <w:lang w:val="pt-BR"/>
        </w:rPr>
      </w:r>
      <w:r>
        <w:rPr>
          <w:lang w:val="pt-BR"/>
        </w:rPr>
      </w:r>
    </w:p>
    <w:p>
      <w:pPr>
        <w:pStyle w:val="1039"/>
        <w:numPr>
          <w:ilvl w:val="0"/>
          <w:numId w:val="1"/>
        </w:numPr>
        <w:pBdr/>
        <w:spacing w:after="120" w:before="120" w:line="276" w:lineRule="auto"/>
        <w:ind/>
        <w:rPr>
          <w:lang w:val="pt-BR"/>
        </w:rPr>
      </w:pPr>
      <w:r>
        <w:rPr>
          <w:lang w:val="pt-BR"/>
        </w:rPr>
        <w:t xml:space="preserve">Nghị định số 71/2024/NĐ-CP ngày 27/6/2024 của Chính phủ Quy định về giá đất.</w:t>
      </w:r>
      <w:r>
        <w:rPr>
          <w:lang w:val="pt-BR"/>
        </w:rPr>
      </w:r>
      <w:r>
        <w:rPr>
          <w:lang w:val="pt-BR"/>
        </w:rPr>
      </w:r>
    </w:p>
    <w:p>
      <w:pPr>
        <w:pStyle w:val="1039"/>
        <w:numPr>
          <w:ilvl w:val="0"/>
          <w:numId w:val="1"/>
        </w:numPr>
        <w:pBdr/>
        <w:tabs>
          <w:tab w:val="left" w:leader="none" w:pos="993"/>
        </w:tabs>
        <w:spacing w:after="120" w:before="120" w:line="276" w:lineRule="auto"/>
        <w:ind/>
        <w:jc w:val="both"/>
        <w:rPr>
          <w:lang w:val="pt-BR"/>
        </w:rPr>
      </w:pPr>
      <w:r>
        <w:rPr>
          <w:lang w:val="pt-BR"/>
        </w:rPr>
        <w:t xml:space="preserve">Nghị định số 103/2024/NĐ-CP ngày 30/7/2024 của Chính phủ quy định về thu tiền sử dụng đất, tiền thuê đất;</w:t>
      </w:r>
      <w:r>
        <w:rPr>
          <w:lang w:val="pt-BR"/>
        </w:rPr>
      </w:r>
      <w:r>
        <w:rPr>
          <w:lang w:val="pt-BR"/>
        </w:rPr>
      </w:r>
    </w:p>
    <w:p>
      <w:pPr>
        <w:pStyle w:val="1039"/>
        <w:numPr>
          <w:ilvl w:val="0"/>
          <w:numId w:val="1"/>
        </w:numPr>
        <w:pBdr/>
        <w:tabs>
          <w:tab w:val="left" w:leader="none" w:pos="993"/>
        </w:tabs>
        <w:spacing w:after="120" w:before="120" w:line="276" w:lineRule="auto"/>
        <w:ind/>
        <w:jc w:val="both"/>
        <w:rPr>
          <w:lang w:val="pt-BR"/>
        </w:rPr>
      </w:pPr>
      <w:r>
        <w:rPr>
          <w:lang w:val="pt-BR"/>
        </w:rPr>
        <w:t xml:space="preserve">Thông tư số 28/2024/TT-BTC ngày 16/5/2024 của Bộ Tài </w:t>
      </w:r>
      <w:r>
        <w:rPr>
          <w:lang w:val="pt-BR"/>
        </w:rPr>
        <w:t xml:space="preserve">c</w:t>
      </w:r>
      <w:r>
        <w:rPr>
          <w:lang w:val="pt-BR"/>
        </w:rPr>
        <w:t xml:space="preserve">hính Quy định về trình tự, thủ tục kiểm tra việc chấp hành pháp luật về giá, thẩm định giá do Bộ trưởng Bộ Tài chính ban hành;</w:t>
      </w:r>
      <w:r>
        <w:rPr>
          <w:lang w:val="pt-BR"/>
        </w:rPr>
      </w:r>
      <w:r>
        <w:rPr>
          <w:lang w:val="pt-BR"/>
        </w:rPr>
      </w:r>
    </w:p>
    <w:p>
      <w:pPr>
        <w:pStyle w:val="1039"/>
        <w:numPr>
          <w:ilvl w:val="0"/>
          <w:numId w:val="1"/>
        </w:numPr>
        <w:pBdr/>
        <w:tabs>
          <w:tab w:val="left" w:leader="none" w:pos="993"/>
        </w:tabs>
        <w:spacing w:after="120" w:before="120" w:line="276" w:lineRule="auto"/>
        <w:ind/>
        <w:jc w:val="both"/>
        <w:rPr>
          <w:lang w:val="pt-BR"/>
        </w:rPr>
      </w:pPr>
      <w:r>
        <w:rPr>
          <w:lang w:val="pt-BR"/>
        </w:rPr>
        <w:t xml:space="preserve">Thông tư số 30/2024/TT-BTC ngày 16/5/2024 </w:t>
      </w:r>
      <w:r>
        <w:rPr>
          <w:lang w:val="pt-BR"/>
        </w:rPr>
        <w:t xml:space="preserve">của Bộ Tài chính </w:t>
      </w:r>
      <w:r>
        <w:rPr>
          <w:lang w:val="pt-BR"/>
        </w:rPr>
        <w:t xml:space="preserve">ban hành các chuẩn mực thẩm định giá Việt Nam về quy tắc đạo đức nghề nghiệp thẩm định giá, phạm vi công việc thẩm định giá, cơ sở giá trị thẩm định giá, hồ sơ thẩm định giá;</w:t>
      </w:r>
      <w:r>
        <w:rPr>
          <w:lang w:val="pt-BR"/>
        </w:rPr>
      </w:r>
      <w:r>
        <w:rPr>
          <w:lang w:val="pt-BR"/>
        </w:rPr>
      </w:r>
    </w:p>
    <w:p>
      <w:pPr>
        <w:pStyle w:val="1039"/>
        <w:numPr>
          <w:ilvl w:val="0"/>
          <w:numId w:val="1"/>
        </w:numPr>
        <w:pBdr/>
        <w:tabs>
          <w:tab w:val="left" w:leader="none" w:pos="993"/>
        </w:tabs>
        <w:spacing w:after="120" w:before="120" w:line="276" w:lineRule="auto"/>
        <w:ind/>
        <w:jc w:val="both"/>
        <w:rPr>
          <w:lang w:val="pt-BR"/>
        </w:rPr>
      </w:pPr>
      <w:r>
        <w:rPr>
          <w:lang w:val="pt-BR"/>
        </w:rPr>
        <w:t xml:space="preserve">Thông tư số 31/2024/TT-BTC ngày 16/5/2024 </w:t>
      </w:r>
      <w:r>
        <w:rPr>
          <w:lang w:val="pt-BR"/>
        </w:rPr>
        <w:t xml:space="preserve">của Bộ Tài chính </w:t>
      </w:r>
      <w:r>
        <w:rPr>
          <w:lang w:val="pt-BR"/>
        </w:rPr>
        <w:t xml:space="preserve">ban hành chuẩn mực thẩm định giá Việt Nam về thu thập và phân tích thông tin về tài sản thẩm định giá;</w:t>
      </w:r>
      <w:r>
        <w:rPr>
          <w:lang w:val="pt-BR"/>
        </w:rPr>
      </w:r>
      <w:r>
        <w:rPr>
          <w:lang w:val="pt-BR"/>
        </w:rPr>
      </w:r>
    </w:p>
    <w:p>
      <w:pPr>
        <w:pStyle w:val="1039"/>
        <w:numPr>
          <w:ilvl w:val="0"/>
          <w:numId w:val="1"/>
        </w:numPr>
        <w:pBdr/>
        <w:tabs>
          <w:tab w:val="left" w:leader="none" w:pos="993"/>
        </w:tabs>
        <w:spacing w:after="120" w:before="120" w:line="276" w:lineRule="auto"/>
        <w:ind/>
        <w:jc w:val="both"/>
        <w:rPr>
          <w:lang w:val="pt-BR"/>
        </w:rPr>
      </w:pPr>
      <w:r>
        <w:rPr>
          <w:lang w:val="pt-BR"/>
        </w:rPr>
        <w:t xml:space="preserve">Thông tư số 32/2024/TT-BTC ngày 16/5/2024 </w:t>
      </w:r>
      <w:r>
        <w:rPr>
          <w:lang w:val="pt-BR"/>
        </w:rPr>
        <w:t xml:space="preserve">của Bộ Tài chính </w:t>
      </w:r>
      <w:r>
        <w:rPr>
          <w:lang w:val="pt-BR"/>
        </w:rPr>
        <w:t xml:space="preserve">ban hành</w:t>
      </w:r>
      <w:r>
        <w:t xml:space="preserve"> </w:t>
      </w:r>
      <w:r>
        <w:rPr>
          <w:lang w:val="pt-BR"/>
        </w:rPr>
        <w:t xml:space="preserve">các chuẩn mực thẩm định giá Việt Nam về cách tiếp cận từ thị trường, cách tiếp cận từ chi phí, cách tiếp cận từ thu nhập;</w:t>
      </w:r>
      <w:r>
        <w:rPr>
          <w:lang w:val="pt-BR"/>
        </w:rPr>
      </w:r>
      <w:r>
        <w:rPr>
          <w:lang w:val="pt-BR"/>
        </w:rPr>
      </w:r>
    </w:p>
    <w:p>
      <w:pPr>
        <w:pStyle w:val="1039"/>
        <w:numPr>
          <w:ilvl w:val="0"/>
          <w:numId w:val="1"/>
        </w:numPr>
        <w:pBdr/>
        <w:tabs>
          <w:tab w:val="left" w:leader="none" w:pos="993"/>
        </w:tabs>
        <w:spacing w:after="120" w:before="120" w:line="276" w:lineRule="auto"/>
        <w:ind/>
        <w:jc w:val="both"/>
        <w:rPr>
          <w:lang w:val="pt-BR"/>
        </w:rPr>
      </w:pPr>
      <w:r>
        <w:rPr>
          <w:lang w:val="pt-BR"/>
        </w:rPr>
        <w:t xml:space="preserve">Thông tư số 36/2024/TT-BTC ngày 16/5/2024</w:t>
      </w:r>
      <w:r>
        <w:rPr>
          <w:lang w:val="pt-BR"/>
        </w:rPr>
        <w:t xml:space="preserve"> của Bộ Tài chính</w:t>
      </w:r>
      <w:r>
        <w:rPr>
          <w:lang w:val="pt-BR"/>
        </w:rPr>
        <w:t xml:space="preserve"> ban hành chuẩn mực thẩm định giá Việt Nam về thẩm định giá doanh nghiệp;</w:t>
      </w:r>
      <w:r>
        <w:rPr>
          <w:lang w:val="pt-BR"/>
        </w:rPr>
      </w:r>
      <w:r>
        <w:rPr>
          <w:lang w:val="pt-BR"/>
        </w:rPr>
      </w:r>
    </w:p>
    <w:p>
      <w:pPr>
        <w:pStyle w:val="1039"/>
        <w:numPr>
          <w:ilvl w:val="0"/>
          <w:numId w:val="1"/>
        </w:numPr>
        <w:pBdr/>
        <w:tabs>
          <w:tab w:val="left" w:leader="none" w:pos="993"/>
        </w:tabs>
        <w:spacing w:after="120" w:before="120" w:line="276" w:lineRule="auto"/>
        <w:ind/>
        <w:jc w:val="both"/>
        <w:rPr>
          <w:lang w:val="pt-BR"/>
        </w:rPr>
      </w:pPr>
      <w:r>
        <w:rPr>
          <w:lang w:val="pt-BR"/>
        </w:rPr>
        <w:t xml:space="preserve">Thông tư số 37/2024/TT-BTC ngày 16/5/2024 </w:t>
      </w:r>
      <w:r>
        <w:rPr>
          <w:lang w:val="pt-BR"/>
        </w:rPr>
        <w:t xml:space="preserve">của Bộ Tài chính </w:t>
      </w:r>
      <w:r>
        <w:rPr>
          <w:lang w:val="pt-BR"/>
        </w:rPr>
        <w:t xml:space="preserve">ban hành chuẩn mực thẩm định giá Việt Nam về thẩm định giá tài sản vô hình;</w:t>
      </w:r>
      <w:r>
        <w:rPr>
          <w:lang w:val="pt-BR"/>
        </w:rPr>
      </w:r>
      <w:r>
        <w:rPr>
          <w:lang w:val="pt-BR"/>
        </w:rPr>
      </w:r>
    </w:p>
    <w:p>
      <w:pPr>
        <w:pStyle w:val="1039"/>
        <w:numPr>
          <w:ilvl w:val="0"/>
          <w:numId w:val="1"/>
        </w:numPr>
        <w:pBdr/>
        <w:tabs>
          <w:tab w:val="left" w:leader="none" w:pos="993"/>
        </w:tabs>
        <w:spacing w:after="120" w:before="120" w:line="276" w:lineRule="auto"/>
        <w:ind/>
        <w:jc w:val="both"/>
        <w:rPr>
          <w:lang w:val="pt-BR"/>
        </w:rPr>
      </w:pPr>
      <w:r>
        <w:rPr>
          <w:lang w:val="pt-BR"/>
        </w:rPr>
        <w:t xml:space="preserve">Thông tư số 42/2024/TT-BTC ngày 20/6/2024 </w:t>
      </w:r>
      <w:r>
        <w:rPr>
          <w:lang w:val="pt-BR"/>
        </w:rPr>
        <w:t xml:space="preserve">của Bộ Tài chính </w:t>
      </w:r>
      <w:r>
        <w:rPr>
          <w:lang w:val="pt-BR"/>
        </w:rPr>
        <w:t xml:space="preserve">ban hành chuẩn mực thẩm định giá Việt Nam về thẩm định giá bất động sản</w:t>
      </w:r>
      <w:r>
        <w:rPr>
          <w:lang w:val="pt-BR"/>
        </w:rPr>
        <w:t xml:space="preserve">;</w:t>
      </w:r>
      <w:r>
        <w:rPr>
          <w:lang w:val="pt-BR"/>
        </w:rPr>
      </w:r>
      <w:r>
        <w:rPr>
          <w:lang w:val="pt-BR"/>
        </w:rPr>
      </w:r>
    </w:p>
    <w:p>
      <w:pPr>
        <w:pStyle w:val="1039"/>
        <w:numPr>
          <w:ilvl w:val="0"/>
          <w:numId w:val="1"/>
        </w:numPr>
        <w:pBdr/>
        <w:tabs>
          <w:tab w:val="left" w:leader="none" w:pos="993"/>
        </w:tabs>
        <w:spacing w:after="120" w:before="120" w:line="276" w:lineRule="auto"/>
        <w:ind/>
        <w:jc w:val="both"/>
        <w:rPr>
          <w:b/>
          <w:lang w:val="pt-BR"/>
        </w:rPr>
      </w:pPr>
      <w:r>
        <w:rPr>
          <w:lang w:val="pt-BR"/>
        </w:rPr>
        <w:t xml:space="preserve">Thông tư số 45/2013/TT-BTC ngày 24/5/2013 của Bộ Tài chính về việc hướng dẫn chế độ quản lý, sử dụng và trích khấu hao tài sản cố định;</w:t>
      </w:r>
      <w:r>
        <w:rPr>
          <w:b/>
          <w:lang w:val="pt-BR"/>
        </w:rPr>
      </w:r>
      <w:r>
        <w:rPr>
          <w:b/>
          <w:lang w:val="pt-BR"/>
        </w:rPr>
      </w:r>
    </w:p>
    <w:p>
      <w:pPr>
        <w:pStyle w:val="1039"/>
        <w:numPr>
          <w:ilvl w:val="0"/>
          <w:numId w:val="1"/>
        </w:numPr>
        <w:pBdr/>
        <w:tabs>
          <w:tab w:val="left" w:leader="none" w:pos="993"/>
        </w:tabs>
        <w:spacing w:after="120" w:before="120" w:line="276" w:lineRule="auto"/>
        <w:ind/>
        <w:jc w:val="both"/>
        <w:rPr>
          <w:b/>
          <w:lang w:val="pt-BR"/>
        </w:rPr>
      </w:pPr>
      <w:r>
        <w:rPr>
          <w:lang w:val="pt-BR"/>
        </w:rPr>
        <w:t xml:space="preserve">Thông tư 147/2016/TT-BTC ngày 13 tháng 10 năm 2016 sửa đổi bổ sung một số điều của Thông tư số 45/2013/TT-BTC ngày 25/4/2013 của Bộ Tài chính hướng dẫn chế độ quản lý, sử dụng và trích khấu hao tài sản cố định;</w:t>
      </w:r>
      <w:r>
        <w:rPr>
          <w:b/>
          <w:lang w:val="pt-BR"/>
        </w:rPr>
      </w:r>
      <w:r>
        <w:rPr>
          <w:b/>
          <w:lang w:val="pt-BR"/>
        </w:rPr>
      </w:r>
    </w:p>
    <w:p>
      <w:pPr>
        <w:pStyle w:val="1039"/>
        <w:numPr>
          <w:ilvl w:val="0"/>
          <w:numId w:val="1"/>
        </w:numPr>
        <w:pBdr/>
        <w:tabs>
          <w:tab w:val="left" w:leader="none" w:pos="993"/>
        </w:tabs>
        <w:spacing w:after="120" w:before="120" w:line="276" w:lineRule="auto"/>
        <w:ind/>
        <w:jc w:val="both"/>
        <w:rPr>
          <w:spacing w:val="-4"/>
          <w:lang w:val="pt-BR"/>
        </w:rPr>
      </w:pPr>
      <w:r>
        <w:rPr>
          <w:spacing w:val="-4"/>
          <w:lang w:val="pt-BR"/>
        </w:rPr>
        <w:t xml:space="preserve">Thông tư số 28/</w:t>
      </w:r>
      <w:r>
        <w:rPr>
          <w:spacing w:val="-4"/>
          <w:lang w:val="pt-BR"/>
        </w:rPr>
        <w:t xml:space="preserve">2017/TT-BTC ngày 12/4/2017 của Bộ Tài chính về việc sửa đổi, bổ sung một số điều của Thông tư 45/2013/TT-BTC ngày 25/4/2013 và Thông tư số 147/2016/TT-BTC ngày 13/10/2016 của Bộ Tài chính hướng dẫn chế độ quản lý, sử dụng và trích khấu hao tài sản cố định;</w:t>
      </w:r>
      <w:r>
        <w:rPr>
          <w:spacing w:val="-4"/>
          <w:lang w:val="pt-BR"/>
        </w:rPr>
      </w:r>
      <w:r>
        <w:rPr>
          <w:spacing w:val="-4"/>
          <w:lang w:val="pt-BR"/>
        </w:rPr>
      </w:r>
    </w:p>
    <w:p>
      <w:pPr>
        <w:pStyle w:val="1039"/>
        <w:numPr>
          <w:ilvl w:val="0"/>
          <w:numId w:val="1"/>
        </w:numPr>
        <w:pBdr/>
        <w:spacing w:after="120" w:before="120" w:line="276" w:lineRule="auto"/>
        <w:ind/>
        <w:jc w:val="both"/>
        <w:rPr>
          <w:bCs/>
          <w:spacing w:val="-4"/>
          <w:lang w:val="pt-BR"/>
        </w:rPr>
      </w:pPr>
      <w:r>
        <w:rPr>
          <w:bCs/>
          <w:spacing w:val="-4"/>
          <w:lang w:val="pt-BR"/>
        </w:rPr>
        <w:t xml:space="preserve">Quyết định số 425/QĐ-BXD ngày 30/3/2026 của Bộ Xây dựng về việc Công bố suất vốn đầu tư xây dựng công trình và giá xây dựng tổng hợp bộ phận kết cấu công trình năm 2025;</w:t>
      </w:r>
      <w:r>
        <w:rPr>
          <w:bCs/>
          <w:spacing w:val="-4"/>
          <w:lang w:val="pt-BR"/>
        </w:rPr>
      </w:r>
      <w:r>
        <w:rPr>
          <w:bCs/>
          <w:spacing w:val="-4"/>
          <w:lang w:val="pt-BR"/>
        </w:rPr>
      </w:r>
    </w:p>
    <w:p>
      <w:pPr>
        <w:pStyle w:val="1039"/>
        <w:numPr>
          <w:ilvl w:val="0"/>
          <w:numId w:val="1"/>
        </w:numPr>
        <w:pBdr/>
        <w:tabs>
          <w:tab w:val="left" w:leader="none" w:pos="993"/>
        </w:tabs>
        <w:spacing w:after="120" w:before="120" w:line="276" w:lineRule="auto"/>
        <w:ind/>
        <w:jc w:val="both"/>
        <w:rPr>
          <w:b/>
          <w:lang w:val="pt-BR"/>
        </w:rPr>
      </w:pPr>
      <w:r>
        <w:rPr>
          <w:lang w:val="pt-BR"/>
        </w:rPr>
        <w:t xml:space="preserve">Công văn số 1326/BXD-QLN của Bộ Xây dựng ban hành ngày 08/8/2011 về việc hướng dẫn kiểm kê, đánh giá lại giá trị tài sản cố định là nhà, vật kiến trúc;</w:t>
      </w:r>
      <w:r>
        <w:rPr>
          <w:b/>
          <w:lang w:val="pt-BR"/>
        </w:rPr>
      </w:r>
      <w:r>
        <w:rPr>
          <w:b/>
          <w:lang w:val="pt-BR"/>
        </w:rPr>
      </w:r>
    </w:p>
    <w:p>
      <w:pPr>
        <w:pStyle w:val="1039"/>
        <w:numPr>
          <w:ilvl w:val="0"/>
          <w:numId w:val="9"/>
        </w:numPr>
        <w:pBdr/>
        <w:tabs>
          <w:tab w:val="left" w:leader="none" w:pos="993"/>
        </w:tabs>
        <w:spacing w:after="120" w:before="120" w:line="276" w:lineRule="auto"/>
        <w:ind/>
        <w:jc w:val="both"/>
        <w:rPr>
          <w:b/>
          <w:lang w:val="pt-BR"/>
        </w:rPr>
      </w:pPr>
      <w:r>
        <w:rPr>
          <w:lang w:val="pt-BR"/>
        </w:rPr>
        <w:t xml:space="preserve">Và các văn bản pháp luật có liên quan khác.</w:t>
      </w:r>
      <w:r>
        <w:rPr>
          <w:b/>
          <w:lang w:val="pt-BR"/>
        </w:rPr>
      </w:r>
      <w:r>
        <w:rPr>
          <w:b/>
          <w:lang w:val="pt-BR"/>
        </w:rPr>
      </w:r>
    </w:p>
    <w:p>
      <w:pPr>
        <w:pStyle w:val="1039"/>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Các văn bản liên quan khác:</w:t>
      </w:r>
      <w:r>
        <w:rPr>
          <w:b/>
          <w:lang w:val="pt-BR"/>
        </w:rPr>
      </w:r>
      <w:r>
        <w:rPr>
          <w:b/>
          <w:lang w:val="pt-BR"/>
        </w:rPr>
      </w:r>
    </w:p>
    <w:p>
      <w:pPr>
        <w:pStyle w:val="1039"/>
        <w:pBdr/>
        <w:tabs>
          <w:tab w:val="left" w:leader="none" w:pos="993"/>
        </w:tabs>
        <w:spacing w:after="120" w:before="120" w:line="276" w:lineRule="auto"/>
        <w:ind w:left="0"/>
        <w:jc w:val="both"/>
        <w:rPr>
          <w:b/>
          <w:lang w:val="pt-BR"/>
        </w:rPr>
      </w:pPr>
      <w:r>
        <w:rPr>
          <w:b/>
          <w:lang w:val="pt-BR"/>
        </w:rPr>
        <w:t xml:space="preserve">a. </w:t>
      </w:r>
      <w:r>
        <w:rPr>
          <w:b/>
          <w:lang w:val="pt-BR"/>
        </w:rPr>
        <w:t xml:space="preserve">Hồ sơ pháp lý của tài sản</w:t>
      </w:r>
      <w:r>
        <w:rPr>
          <w:b/>
          <w:lang w:val="pt-BR"/>
        </w:rPr>
        <w:t xml:space="preserve">: </w:t>
      </w:r>
      <w:r>
        <w:rPr>
          <w:b/>
          <w:lang w:val="pt-BR"/>
        </w:rPr>
      </w:r>
      <w:r>
        <w:rPr>
          <w:b/>
          <w:lang w:val="pt-BR"/>
        </w:rPr>
      </w:r>
    </w:p>
    <w:p>
      <w:pPr>
        <w:pStyle w:val="1039"/>
        <w:numPr>
          <w:ilvl w:val="0"/>
          <w:numId w:val="2"/>
        </w:numPr>
        <w:pBdr/>
        <w:tabs>
          <w:tab w:val="left" w:leader="none" w:pos="993"/>
        </w:tabs>
        <w:spacing w:after="120" w:before="120" w:line="276" w:lineRule="auto"/>
        <w:ind/>
        <w:jc w:val="both"/>
        <w:rPr>
          <w:i/>
          <w:iCs/>
          <w:lang w:val="pt-BR"/>
        </w:rPr>
      </w:pPr>
      <w:r>
        <w:rPr>
          <w:bCs/>
          <w:color w:val="000000" w:themeColor="text1"/>
          <w:lang w:val="pt-BR"/>
        </w:rPr>
        <w:t xml:space="preserve">Giấy chứng nhận quyền sử dụng đất quyền sở hữu nhà ở và tài sản khác gắn liền với đất số: CH 670784, số vào sổ cấp GCN: CH-03178 do Ủy ban nhân dân huyện Đan Phượng cấp ngày 14/07/2017; Chủ sử dụng đất là Ông Nguyễn Văn Lịch.</w:t>
      </w:r>
      <w:r>
        <w:rPr>
          <w:i/>
          <w:iCs/>
          <w:lang w:val="pt-BR"/>
        </w:rPr>
      </w:r>
      <w:r>
        <w:rPr>
          <w:i/>
          <w:iCs/>
          <w:lang w:val="pt-BR"/>
        </w:rPr>
      </w:r>
    </w:p>
    <w:p>
      <w:pPr>
        <w:pBdr/>
        <w:spacing w:after="120" w:before="120" w:line="276" w:lineRule="auto"/>
        <w:ind/>
        <w:jc w:val="both"/>
        <w:rPr>
          <w:b/>
        </w:rPr>
      </w:pPr>
      <w:r>
        <w:rPr>
          <w:b/>
          <w:lang w:val="pt-BR"/>
        </w:rPr>
        <w:t xml:space="preserve">b. Hồ sơ khác</w:t>
      </w:r>
      <w:r>
        <w:rPr>
          <w:b/>
          <w:lang w:val="vi-VN"/>
        </w:rPr>
        <w:t xml:space="preserve">:</w:t>
      </w:r>
      <w:r>
        <w:rPr>
          <w:b/>
        </w:rPr>
      </w:r>
      <w:r>
        <w:rPr>
          <w:b/>
        </w:rPr>
      </w:r>
    </w:p>
    <w:p>
      <w:pPr>
        <w:pStyle w:val="1039"/>
        <w:numPr>
          <w:ilvl w:val="0"/>
          <w:numId w:val="2"/>
        </w:numPr>
        <w:pBdr/>
        <w:tabs>
          <w:tab w:val="left" w:leader="none" w:pos="993"/>
        </w:tabs>
        <w:spacing w:after="120" w:before="120" w:line="276" w:lineRule="auto"/>
        <w:ind/>
        <w:jc w:val="both"/>
        <w:rPr>
          <w:b/>
          <w:lang w:val="pt-BR"/>
        </w:rPr>
      </w:pPr>
      <w:r>
        <w:rPr>
          <w:color w:val="000000" w:themeColor="text1"/>
          <w:lang w:val="pt-BR"/>
        </w:rPr>
        <w:t xml:space="preserve">Hợp đồng số </w:t>
      </w:r>
      <w:r>
        <w:rPr>
          <w:rStyle w:val="1037"/>
          <w:rFonts w:ascii="Times New Roman" w:hAnsi="Times New Roman"/>
          <w:color w:val="000000" w:themeColor="text1"/>
          <w:lang w:val="pt-BR"/>
        </w:rPr>
        <w:t xml:space="preserve">275/2026/1043/VFI.HĐTĐ</w:t>
      </w:r>
      <w:r>
        <w:rPr>
          <w:rStyle w:val="1037"/>
          <w:rFonts w:ascii="Times New Roman" w:hAnsi="Times New Roman"/>
          <w:color w:val="000000" w:themeColor="text1"/>
          <w:lang w:val="pt-BR"/>
        </w:rPr>
        <w:t xml:space="preserve">.36.A</w:t>
      </w:r>
      <w:r>
        <w:rPr>
          <w:color w:val="000000" w:themeColor="text1"/>
          <w:highlight w:val="white"/>
          <w:lang w:val="pt-BR"/>
        </w:rPr>
        <w:t xml:space="preserve"> </w:t>
      </w:r>
      <w:r>
        <w:rPr>
          <w:color w:val="000000" w:themeColor="text1"/>
          <w:lang w:val="pt-BR"/>
        </w:rPr>
        <w:t xml:space="preserve">ngày 10/07/2026 giữa ông Nguyễn Văn Lịch với Công ty Cổ phần Thẩm định và Đầu tư Tài chính Hoa Sen.</w:t>
      </w:r>
      <w:r>
        <w:rPr>
          <w:b/>
          <w:lang w:val="pt-BR"/>
        </w:rPr>
      </w:r>
      <w:r>
        <w:rPr>
          <w:b/>
          <w:lang w:val="pt-BR"/>
        </w:rPr>
      </w:r>
    </w:p>
    <w:p>
      <w:pPr>
        <w:pStyle w:val="1039"/>
        <w:numPr>
          <w:ilvl w:val="0"/>
          <w:numId w:val="2"/>
        </w:numPr>
        <w:pBdr/>
        <w:tabs>
          <w:tab w:val="left" w:leader="none" w:pos="993"/>
        </w:tabs>
        <w:spacing w:after="120" w:before="120" w:line="276" w:lineRule="auto"/>
        <w:ind/>
        <w:jc w:val="both"/>
        <w:rPr>
          <w:b/>
          <w:lang w:val="pt-BR"/>
        </w:rPr>
      </w:pPr>
      <w:r>
        <w:rPr>
          <w:lang w:val="pt-BR"/>
        </w:rPr>
        <w:t xml:space="preserve">Hồ sơ, tài liệu, chứng từ liên quan đến tài sản thẩm định giá.</w:t>
      </w:r>
      <w:r>
        <w:rPr>
          <w:b/>
          <w:lang w:val="pt-BR"/>
        </w:rPr>
      </w:r>
      <w:r>
        <w:rPr>
          <w:b/>
          <w:lang w:val="pt-BR"/>
        </w:rPr>
      </w:r>
    </w:p>
    <w:p>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pPr>
      <w:r>
        <w:rPr>
          <w:lang w:val="pt-BR"/>
        </w:rPr>
        <w:tab/>
      </w:r>
      <w:r>
        <w:rPr>
          <w:rFonts w:ascii="Times New Roman" w:hAnsi="Times New Roman" w:eastAsia="Times New Roman" w:cs="Times New Roman"/>
          <w:b/>
          <w:i/>
          <w:color w:val="000000"/>
          <w:sz w:val="24"/>
        </w:rPr>
        <w:t xml:space="preserve">Bức tranh thị trường bất động sản Hà Nội năm 2026: Hạ tầng dẫn dắt, thị trường bước vào chu kỳ tăng trưởng mới</w:t>
      </w: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pPr>
      <w:r>
        <w:rPr>
          <w:rFonts w:ascii="Times New Roman" w:hAnsi="Times New Roman" w:eastAsia="Times New Roman" w:cs="Times New Roman"/>
          <w:color w:val="000000"/>
          <w:sz w:val="24"/>
        </w:rPr>
        <w:tab/>
        <w:t xml:space="preserve">Bước sang năm 2026, thị trường bất động sản Hà Nội được kỳ vọng bước vào chu kỳ tăng trưởng mới với nền tảng hạ tầng, pháp lý và chính sách ngày càng rõ nét. Thay vì những cơn “sốt nóng”, thị trường vận động theo hướng chọn lọc, phân hóa mạnh, lấy nhu cầu</w:t>
      </w:r>
      <w:r>
        <w:rPr>
          <w:rFonts w:ascii="Times New Roman" w:hAnsi="Times New Roman" w:eastAsia="Times New Roman" w:cs="Times New Roman"/>
          <w:color w:val="000000"/>
          <w:sz w:val="24"/>
        </w:rPr>
        <w:t xml:space="preserve"> ở thực, chất lượng dự án và năng lực doanh nghiệp làm trụ cột phát triển bền vững.</w:t>
      </w: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pPr>
      <w:r>
        <w:rPr>
          <w:rFonts w:ascii="Times New Roman" w:hAnsi="Times New Roman" w:eastAsia="Times New Roman" w:cs="Times New Roman"/>
          <w:color w:val="000000"/>
          <w:sz w:val="24"/>
        </w:rPr>
        <w:tab/>
        <w:t xml:space="preserve">Trong bối cảnh kinh tế vĩ mô dần ổn định, khuôn khổ pháp lý được hoàn thiện và đầu tư công tiếp tục giữ vai trò "đầu kéo", bất động sản Thủ đô bước vào một chu kỳ phát triển mới – thận trọng hơn, thực chất hơn và lấy hạ tầng làm động lực trung tâm. Thay v</w:t>
      </w:r>
      <w:r>
        <w:rPr>
          <w:rFonts w:ascii="Times New Roman" w:hAnsi="Times New Roman" w:eastAsia="Times New Roman" w:cs="Times New Roman"/>
          <w:color w:val="000000"/>
          <w:sz w:val="24"/>
        </w:rPr>
        <w:t xml:space="preserve">ì những cơn "sốt nóng" ngắn hạn, thị trường năm 2026 được kỳ vọng tăng trưởng trên nền tảng bền vững, gắn chặt với quy hoạch đô thị, nhu cầu ở thực và năng lực triển khai của doanh nghiệp.</w:t>
      </w: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pPr>
      <w:r>
        <w:rPr>
          <w:rFonts w:ascii="Times New Roman" w:hAnsi="Times New Roman" w:eastAsia="Times New Roman" w:cs="Times New Roman"/>
          <w:i/>
          <w:color w:val="000000"/>
          <w:sz w:val="24"/>
        </w:rPr>
        <w:tab/>
        <w:t xml:space="preserve">Hạ tầng – "xương sống" mở không gian phát triển mới</w:t>
      </w: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pPr>
      <w:r>
        <w:rPr>
          <w:rFonts w:ascii="Times New Roman" w:hAnsi="Times New Roman" w:eastAsia="Times New Roman" w:cs="Times New Roman"/>
          <w:color w:val="000000"/>
          <w:sz w:val="24"/>
        </w:rPr>
        <w:tab/>
        <w:t xml:space="preserve">Trong nhiều năm qua, hạ tầng giao thông luôn là yếu tố then chốt định hình không gian phát triển đô thị Hà Nội. Đến năm 2026, vai trò này càng trở nên rõ rệt khi hàng loạt dự án trọng điểm được triển khai đồng bộ, tạo lực đẩy dài hạn cho thị trường bất độ</w:t>
      </w:r>
      <w:r>
        <w:rPr>
          <w:rFonts w:ascii="Times New Roman" w:hAnsi="Times New Roman" w:eastAsia="Times New Roman" w:cs="Times New Roman"/>
          <w:color w:val="000000"/>
          <w:sz w:val="24"/>
        </w:rPr>
        <w:t xml:space="preserve">ng sản.</w:t>
      </w: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pPr>
      <w:r>
        <w:rPr>
          <w:rFonts w:ascii="Times New Roman" w:hAnsi="Times New Roman" w:eastAsia="Times New Roman" w:cs="Times New Roman"/>
          <w:color w:val="000000"/>
          <w:sz w:val="24"/>
        </w:rPr>
        <w:tab/>
        <w:t xml:space="preserve">Dự án đường Vành đai 4 – Vùng Thủ đô, với quy mô hơn 85.000 tỷ đồng, được coi là "đòn bẩy chiến lược" mở rộng không gian phát triển về các hướng Bắc, Tây và Nam. Khi tuyến đường này từng bước thành hình, các khu vực vốn nằm ngoài trung tâm truyền thống sẽ</w:t>
      </w:r>
      <w:r>
        <w:rPr>
          <w:rFonts w:ascii="Times New Roman" w:hAnsi="Times New Roman" w:eastAsia="Times New Roman" w:cs="Times New Roman"/>
          <w:color w:val="000000"/>
          <w:sz w:val="24"/>
        </w:rPr>
        <w:t xml:space="preserve"> có điều kiện kết nối thuận lợi hơn, qua đó gia tăng sức hấp dẫn với các dự án đô thị, khu nhà ở và dịch vụ.</w:t>
      </w: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pPr>
      <w:r>
        <w:rPr>
          <w:rFonts w:ascii="Times New Roman" w:hAnsi="Times New Roman" w:eastAsia="Times New Roman" w:cs="Times New Roman"/>
          <w:color w:val="000000"/>
          <w:sz w:val="24"/>
        </w:rPr>
        <w:tab/>
        <w:t xml:space="preserve">Cùng với đó, hệ thống các tuyến vành đai, trục hướng tâm, các cây cầu vượt sông Hồng và mạng lưới đường sắt đô thị đang dần hoàn thiện, tạo nên cấu trúc giao thông đa lớp cho Thủ đô. PGS.TS Trần Đình Thiên, nguyên Viện trưởng Viện Kinh tế Việt Nam cho rằn</w:t>
      </w:r>
      <w:r>
        <w:rPr>
          <w:rFonts w:ascii="Times New Roman" w:hAnsi="Times New Roman" w:eastAsia="Times New Roman" w:cs="Times New Roman"/>
          <w:color w:val="000000"/>
          <w:sz w:val="24"/>
        </w:rPr>
        <w:t xml:space="preserve">g, hạ tầng giao thông không chỉ đóng vai trò hỗ trợ mà còn mang tính quyết định đối với việc Hà Nội chuyển sang mô hình đô thị đa trung tâm. Khi giao thông đi trước, dòng vốn đầu tư, dân cư và các hoạt động kinh tế sẽ dịch chuyển theo, tạo nền tảng cho tăn</w:t>
      </w:r>
      <w:r>
        <w:rPr>
          <w:rFonts w:ascii="Times New Roman" w:hAnsi="Times New Roman" w:eastAsia="Times New Roman" w:cs="Times New Roman"/>
          <w:color w:val="000000"/>
          <w:sz w:val="24"/>
        </w:rPr>
        <w:t xml:space="preserve">g trưởng bất động sản dài hạn.</w:t>
      </w: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pPr>
      <w:r>
        <w:rPr>
          <w:rFonts w:ascii="Times New Roman" w:hAnsi="Times New Roman" w:eastAsia="Times New Roman" w:cs="Times New Roman"/>
          <w:color w:val="000000"/>
          <w:sz w:val="24"/>
        </w:rPr>
        <w:tab/>
        <w:t xml:space="preserve">Thực tế thị trường cho thấy, các khu vực hưởng lợi trực tiếp từ hạ tầng đều ghi nhận sự cải thiện rõ rệt về giá trị và thanh khoản. Tây Hà Nội, với trục Đại lộ Thăng Long, các tuyến Vành đai 3, 3,5 và định hướng tuyến metro số 5 (Văn Cao – Hòa Lạc), đang </w:t>
      </w:r>
      <w:r>
        <w:rPr>
          <w:rFonts w:ascii="Times New Roman" w:hAnsi="Times New Roman" w:eastAsia="Times New Roman" w:cs="Times New Roman"/>
          <w:color w:val="000000"/>
          <w:sz w:val="24"/>
        </w:rPr>
        <w:t xml:space="preserve">nổi lên như một cực phát triển mới. Ở phía Đông, hệ thống cầu vượt sông Hồng, cùng quy hoạch chỉnh trang đô thị ven sông, tiếp tục mở ra dư địa cho các dự án nhà ở và đô thị sinh thái.</w:t>
      </w: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pPr>
      <w:r>
        <w:rPr>
          <w:rFonts w:ascii="Times New Roman" w:hAnsi="Times New Roman" w:eastAsia="Times New Roman" w:cs="Times New Roman"/>
          <w:i/>
          <w:color w:val="000000"/>
          <w:sz w:val="24"/>
        </w:rPr>
        <w:tab/>
        <w:t xml:space="preserve">Thị trường chuyển từ "tăng nóng" sang tăng trưởng chọn lọc</w:t>
      </w: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pPr>
      <w:r>
        <w:rPr>
          <w:rFonts w:ascii="Times New Roman" w:hAnsi="Times New Roman" w:eastAsia="Times New Roman" w:cs="Times New Roman"/>
          <w:color w:val="000000"/>
          <w:sz w:val="24"/>
        </w:rPr>
        <w:tab/>
        <w:t xml:space="preserve">Nếu như giai đoạn trước, thị trường bất động sản Hà Nội từng chứng kiến những đợt tăng giá nhanh ở một số phân khúc, thì bước sang năm 2026, xu hướng chủ đạo là tăng trưởng có chọn lọc. Dòng tiền không còn chạy theo "sóng ngắn" mà ưu tiên những khu vực có</w:t>
      </w:r>
      <w:r>
        <w:rPr>
          <w:rFonts w:ascii="Times New Roman" w:hAnsi="Times New Roman" w:eastAsia="Times New Roman" w:cs="Times New Roman"/>
          <w:color w:val="000000"/>
          <w:sz w:val="24"/>
        </w:rPr>
        <w:t xml:space="preserve"> quy hoạch rõ ràng, hạ tầng đồng bộ và nhu cầu ở thực ổn định.</w:t>
      </w: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pPr>
      <w:r>
        <w:rPr>
          <w:rFonts w:ascii="Times New Roman" w:hAnsi="Times New Roman" w:eastAsia="Times New Roman" w:cs="Times New Roman"/>
          <w:color w:val="000000"/>
          <w:sz w:val="24"/>
        </w:rPr>
        <w:tab/>
        <w:t xml:space="preserve">Theo ông Nguyễn Văn Đính, Chủ tịch Hội Môi giới Bất động sản Việt Nam (VARS), thị trường bất động sản Hà Nội sẽ không tăng trưởng theo kiểu nóng mà dựa trên nền tảng hạ tầng và nhu cầu thật. Những dự án gắn với các tuyến giao thông lớn, pháp lý minh bạch </w:t>
      </w:r>
      <w:r>
        <w:rPr>
          <w:rFonts w:ascii="Times New Roman" w:hAnsi="Times New Roman" w:eastAsia="Times New Roman" w:cs="Times New Roman"/>
          <w:color w:val="000000"/>
          <w:sz w:val="24"/>
        </w:rPr>
        <w:t xml:space="preserve">và được triển khai bài bản sẽ trở thành động lực chính của thị trường trong năm 2026.</w:t>
      </w: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pPr>
      <w:r>
        <w:rPr>
          <w:rFonts w:ascii="Times New Roman" w:hAnsi="Times New Roman" w:eastAsia="Times New Roman" w:cs="Times New Roman"/>
          <w:color w:val="000000"/>
          <w:sz w:val="24"/>
        </w:rPr>
        <w:tab/>
        <w:t xml:space="preserve">Số liệu từ các đơn vị nghiên cứu cho thấy, trong giai đoạn gần đây, giá bất động sản tại những khu vực bám trục hạ tầng lớn của Hà Nội vẫn duy trì mức tăng ổn định, trong khi thanh khoản dần cải thiện. Điều này phản ánh sự dịch chuyển của dòng tiền sang c</w:t>
      </w:r>
      <w:r>
        <w:rPr>
          <w:rFonts w:ascii="Times New Roman" w:hAnsi="Times New Roman" w:eastAsia="Times New Roman" w:cs="Times New Roman"/>
          <w:color w:val="000000"/>
          <w:sz w:val="24"/>
        </w:rPr>
        <w:t xml:space="preserve">ác phân khúc an toàn hơn, hạn chế rủi ro và có tiềm năng tăng trưởng dài hạn.</w:t>
      </w: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pPr>
      <w:r>
        <w:rPr>
          <w:rFonts w:ascii="Times New Roman" w:hAnsi="Times New Roman" w:eastAsia="Times New Roman" w:cs="Times New Roman"/>
          <w:i/>
          <w:color w:val="000000"/>
          <w:sz w:val="24"/>
        </w:rPr>
        <w:tab/>
        <w:t xml:space="preserve">Nguồn cung lớn, thị trường phân hóa rõ nét</w:t>
      </w: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pPr>
      <w:r>
        <w:rPr>
          <w:rFonts w:ascii="Times New Roman" w:hAnsi="Times New Roman" w:eastAsia="Times New Roman" w:cs="Times New Roman"/>
          <w:color w:val="000000"/>
          <w:sz w:val="24"/>
        </w:rPr>
        <w:tab/>
        <w:t xml:space="preserve">Một đặc điểm nổi bật của thị trường năm 2026 là sự gia tăng mạnh mẽ của nguồn cung, đặc biệt ở phân khúc căn hộ. Dự báo cho thấy, Hà Nội sẽ đón nhận lượng lớn sản phẩm mới từ hàng chục dự án được tháo gỡ vướng mắc pháp lý và tái khởi động. Điều này vừa tạ</w:t>
      </w:r>
      <w:r>
        <w:rPr>
          <w:rFonts w:ascii="Times New Roman" w:hAnsi="Times New Roman" w:eastAsia="Times New Roman" w:cs="Times New Roman"/>
          <w:color w:val="000000"/>
          <w:sz w:val="24"/>
        </w:rPr>
        <w:t xml:space="preserve">o cơ hội cho người mua, vừa đặt ra thách thức cho doanh nghiệp phát triển dự án.</w:t>
      </w: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pPr>
      <w:r>
        <w:rPr>
          <w:rFonts w:ascii="Times New Roman" w:hAnsi="Times New Roman" w:eastAsia="Times New Roman" w:cs="Times New Roman"/>
          <w:color w:val="000000"/>
          <w:sz w:val="24"/>
        </w:rPr>
        <w:tab/>
        <w:t xml:space="preserve">Ông David Jackson, Tổng Giám đốc Avison Young Việt Nam nhận định, thị trường căn hộ đang bước vào giai đoạn bản lề. Phân khúc này tiếp tục giữ vai trò chủ đạo trong giai đoạn 2025–2026, song sự phát triển sẽ không đồng đều. Các dự án có vị trí thuận lợi, </w:t>
      </w:r>
      <w:r>
        <w:rPr>
          <w:rFonts w:ascii="Times New Roman" w:hAnsi="Times New Roman" w:eastAsia="Times New Roman" w:cs="Times New Roman"/>
          <w:color w:val="000000"/>
          <w:sz w:val="24"/>
        </w:rPr>
        <w:t xml:space="preserve">kết nối hạ tầng tốt, pháp lý hoàn chỉnh và chủ đầu tư uy tín sẽ duy trì thanh khoản, trong khi những dự án xa trung tâm, thiếu tiện ích hoặc định giá vượt khả năng chi trả của số đông sẽ gặp khó.</w:t>
      </w: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pPr>
      <w:r>
        <w:rPr>
          <w:rFonts w:ascii="Times New Roman" w:hAnsi="Times New Roman" w:eastAsia="Times New Roman" w:cs="Times New Roman"/>
          <w:color w:val="000000"/>
          <w:sz w:val="24"/>
        </w:rPr>
        <w:tab/>
        <w:t xml:space="preserve">Cùng quan điểm, bà Đỗ Thị Thu Hằng, Giám đốc Cấp cao, Bộ phận Nghiên cứu và Tư vấn, Savills Hà Nội cho rằng, những dòng sản phẩm diện tích vừa và nhỏ, đặc biệt là căn hộ một đến hai phòng ngủ, vẫn có sức hút lớn nhờ phù hợp với nhu cầu ở thực. Trong khi đ</w:t>
      </w:r>
      <w:r>
        <w:rPr>
          <w:rFonts w:ascii="Times New Roman" w:hAnsi="Times New Roman" w:eastAsia="Times New Roman" w:cs="Times New Roman"/>
          <w:color w:val="000000"/>
          <w:sz w:val="24"/>
        </w:rPr>
        <w:t xml:space="preserve">ó, phân khúc nhà ở vừa túi tiền và nhà ở xã hội được kỳ vọng sẽ dần cải thiện nguồn cung khi các chính sách mới được triển khai đồng bộ.</w:t>
      </w: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pPr>
      <w:r>
        <w:rPr>
          <w:rFonts w:ascii="Times New Roman" w:hAnsi="Times New Roman" w:eastAsia="Times New Roman" w:cs="Times New Roman"/>
          <w:i/>
          <w:color w:val="000000"/>
          <w:sz w:val="24"/>
        </w:rPr>
        <w:tab/>
        <w:t xml:space="preserve">Chính sách và pháp lý – điểm tựa cho chu kỳ mới</w:t>
      </w: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pPr>
      <w:r>
        <w:rPr>
          <w:rFonts w:ascii="Times New Roman" w:hAnsi="Times New Roman" w:eastAsia="Times New Roman" w:cs="Times New Roman"/>
          <w:color w:val="000000"/>
          <w:sz w:val="24"/>
        </w:rPr>
        <w:tab/>
        <w:t xml:space="preserve">Năm 2026 được xem là thời điểm các chính sách pháp luật về đất đai, nhà ở và kinh doanh bất động sản phát huy hiệu quả rõ nét hơn. Việc tháo gỡ vướng mắc cho hàng nghìn dự án tồn đọng không chỉ giúp giải phóng nguồn lực lớn cho nền kinh tế mà còn bổ sung </w:t>
      </w:r>
      <w:r>
        <w:rPr>
          <w:rFonts w:ascii="Times New Roman" w:hAnsi="Times New Roman" w:eastAsia="Times New Roman" w:cs="Times New Roman"/>
          <w:color w:val="000000"/>
          <w:sz w:val="24"/>
        </w:rPr>
        <w:t xml:space="preserve">nguồn cung đáng kể cho thị trường.</w:t>
      </w: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pPr>
      <w:r>
        <w:rPr>
          <w:rFonts w:ascii="Times New Roman" w:hAnsi="Times New Roman" w:eastAsia="Times New Roman" w:cs="Times New Roman"/>
          <w:color w:val="000000"/>
          <w:sz w:val="24"/>
        </w:rPr>
        <w:tab/>
        <w:t xml:space="preserve">Các cơ chế mới liên quan đến định giá đất, thu hồi đất và mở rộng khả năng tiếp cận quỹ đất được kỳ vọng sẽ rút ngắn thời gian chuẩn bị dự án, giảm chi phí và tăng tính minh bạch. Điều này giúp thị trường vận hành lành mạnh hơn, hạn chế tình trạng "treo" </w:t>
      </w:r>
      <w:r>
        <w:rPr>
          <w:rFonts w:ascii="Times New Roman" w:hAnsi="Times New Roman" w:eastAsia="Times New Roman" w:cs="Times New Roman"/>
          <w:color w:val="000000"/>
          <w:sz w:val="24"/>
        </w:rPr>
        <w:t xml:space="preserve">dự án kéo dài, đồng thời tạo niềm tin cho nhà đầu tư và người mua nhà.</w:t>
      </w: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pPr>
      <w:r>
        <w:rPr>
          <w:rFonts w:ascii="Times New Roman" w:hAnsi="Times New Roman" w:eastAsia="Times New Roman" w:cs="Times New Roman"/>
          <w:i/>
          <w:color w:val="000000"/>
          <w:sz w:val="24"/>
        </w:rPr>
        <w:tab/>
        <w:t xml:space="preserve">Triển vọng 2026: tăng trưởng bền vững trên nền tảng mới</w:t>
      </w: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pPr>
      <w:r>
        <w:rPr>
          <w:rFonts w:ascii="Times New Roman" w:hAnsi="Times New Roman" w:eastAsia="Times New Roman" w:cs="Times New Roman"/>
          <w:color w:val="000000"/>
          <w:sz w:val="24"/>
        </w:rPr>
        <w:tab/>
        <w:t xml:space="preserve">Với nguồn cung tăng mạnh và người mua ngày càng kỹ tính, năm 2026 được xem là giai đoạn sàng lọc rõ nét đối với các doanh nghiệp bất động sản. Những chủ đầu tư có quỹ đất sạch, năng lực tài chính lành mạnh và chiến lược phát triển sản phẩm phù hợp sẽ có c</w:t>
      </w:r>
      <w:r>
        <w:rPr>
          <w:rFonts w:ascii="Times New Roman" w:hAnsi="Times New Roman" w:eastAsia="Times New Roman" w:cs="Times New Roman"/>
          <w:color w:val="000000"/>
          <w:sz w:val="24"/>
        </w:rPr>
        <w:t xml:space="preserve">ơ hội bứt phá. Ngược lại, các doanh nghiệp yếu về pháp lý, phụ thuộc nhiều vào đòn bẩy tài chính hoặc chạy theo đầu cơ ngắn hạn có thể tiếp tục bị đào thải.</w:t>
      </w: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pPr>
      <w:r>
        <w:rPr>
          <w:rFonts w:ascii="Times New Roman" w:hAnsi="Times New Roman" w:eastAsia="Times New Roman" w:cs="Times New Roman"/>
          <w:color w:val="000000"/>
          <w:sz w:val="24"/>
        </w:rPr>
        <w:tab/>
        <w:t xml:space="preserve">Cuộc cạnh tranh không chỉ dừng ở giá bán mà còn mở rộng sang tiến độ thi công, chất lượng xây dựng, dịch vụ hậu mãi và cam kết vận hành. Trong bối cảnh đó, niềm tin của người mua trở thành tài sản quan trọng nhất mà doanh nghiệp phải gìn giữ.</w:t>
      </w: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pPr>
      <w:r>
        <w:rPr>
          <w:rFonts w:ascii="Times New Roman" w:hAnsi="Times New Roman" w:eastAsia="Times New Roman" w:cs="Times New Roman"/>
          <w:color w:val="000000"/>
          <w:sz w:val="24"/>
        </w:rPr>
        <w:tab/>
        <w:t xml:space="preserve">Nhìn tổng thể, bức tranh thị trường bất động sản Hà Nội năm 2026 mang gam màu tích cực nhưng không kém phần thận trọng. Hạ tầng tiếp tục đóng vai trò "dẫn lối", chính sách và pháp lý tạo điểm tựa, trong khi nhu cầu ở thực giữ vai trò chủ đạo. Thị trường k</w:t>
      </w:r>
      <w:r>
        <w:rPr>
          <w:rFonts w:ascii="Times New Roman" w:hAnsi="Times New Roman" w:eastAsia="Times New Roman" w:cs="Times New Roman"/>
          <w:color w:val="000000"/>
          <w:sz w:val="24"/>
        </w:rPr>
        <w:t xml:space="preserve">hông còn chỗ cho những cơn sốt ảo, mà hướng tới tăng trưởng ổn định, gắn với chất lượng đô thị và chất lượng sống.</w:t>
      </w: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pPr>
      <w:r>
        <w:rPr>
          <w:rFonts w:ascii="Times New Roman" w:hAnsi="Times New Roman" w:eastAsia="Times New Roman" w:cs="Times New Roman"/>
          <w:color w:val="000000"/>
          <w:sz w:val="24"/>
        </w:rPr>
        <w:tab/>
        <w:t xml:space="preserve">Với những nền tảng đó, bất động sản Hà Nội trong năm 2026 được kỳ vọng sẽ bước vào chu kỳ phát triển mới – bền vững hơn, minh bạch hơn và đóng góp hiệu quả hơn cho tăng trưởng kinh tế – xã hội của Thủ đô.</w:t>
      </w:r>
      <w:r/>
    </w:p>
    <w:p>
      <w:pPr>
        <w:pBdr/>
        <w:tabs>
          <w:tab w:val="left" w:leader="none" w:pos="426"/>
        </w:tabs>
        <w:spacing w:after="120" w:before="120" w:line="276" w:lineRule="auto"/>
        <w:ind/>
        <w:jc w:val="center"/>
        <w:rPr>
          <w:bCs/>
          <w:i/>
          <w:highlight w:val="none"/>
        </w:rPr>
      </w:pPr>
      <w:r>
        <w:rPr>
          <w:rFonts w:ascii="Times New Roman" w:hAnsi="Times New Roman" w:eastAsia="Times New Roman" w:cs="Times New Roman"/>
          <w:i/>
          <w:iCs/>
          <w:color w:val="000000"/>
          <w:sz w:val="24"/>
        </w:rPr>
        <w:t xml:space="preserve">(Nguồn tham khảo: </w:t>
      </w:r>
      <w:hyperlink r:id="rId17" w:tooltip="https://thanglong.chinhphu.vn/buc-tranh-thi-truong-bat-dong-san-ha-noi-nam-2026-ha-tang-dan-dat-thi-truong-buoc-vao-chu-ky-tang-truong-moi-103260101181315972.htm)" w:history="1">
        <w:r>
          <w:rPr>
            <w:rStyle w:val="1029"/>
            <w:rFonts w:ascii="Times New Roman" w:hAnsi="Times New Roman" w:eastAsia="Times New Roman" w:cs="Times New Roman"/>
            <w:i/>
            <w:iCs/>
            <w:sz w:val="24"/>
          </w:rPr>
          <w:t xml:space="preserve">https://thanglong.chinhphu.vn/buc-tranh-thi-truong-bat-dong-san-ha-noi-nam-2026-ha-tang-dan-dat-thi-truong-buoc-vao-chu-ky-tang-truong-moi-103260101181315972.htm)</w:t>
        </w:r>
        <w:r>
          <w:rPr>
            <w:rStyle w:val="1029"/>
            <w:bCs/>
            <w:i/>
            <w:iCs/>
            <w:lang w:val="pt-BR"/>
          </w:rPr>
        </w:r>
        <w:r>
          <w:rPr>
            <w:rStyle w:val="1029"/>
            <w:bCs/>
            <w:i/>
            <w:iCs/>
            <w:lang w:val="pt-BR"/>
          </w:rPr>
        </w:r>
      </w:hyperlink>
      <w:r>
        <w:rPr>
          <w:bCs/>
          <w:i/>
          <w:iCs/>
          <w:lang w:val="pt-BR"/>
        </w:rPr>
      </w:r>
      <w:r>
        <w:rPr>
          <w:bCs/>
          <w:i/>
          <w:highlight w:val="none"/>
        </w:rPr>
      </w:r>
    </w:p>
    <w:p>
      <w:pPr>
        <w:pBdr/>
        <w:tabs>
          <w:tab w:val="left" w:leader="none" w:pos="426"/>
        </w:tabs>
        <w:spacing w:after="120" w:before="120" w:line="276" w:lineRule="auto"/>
        <w:ind/>
        <w:jc w:val="center"/>
        <w:rPr>
          <w:bCs/>
          <w:i/>
          <w:lang w:val="pt-BR"/>
        </w:rPr>
      </w:pPr>
      <w:r>
        <w:rPr>
          <w:bCs/>
          <w:i/>
          <w:lang w:val="pt-BR"/>
        </w:rPr>
      </w:r>
      <w:r>
        <w:rPr>
          <w:bCs/>
          <w:i/>
          <w:lang w:val="pt-BR"/>
        </w:rPr>
      </w:r>
      <w:r>
        <w:rPr>
          <w:bCs/>
          <w:i/>
          <w:lang w:val="pt-BR"/>
        </w:rPr>
      </w:r>
    </w:p>
    <w:p>
      <w:pPr>
        <w:pBdr/>
        <w:tabs>
          <w:tab w:val="left" w:leader="none" w:pos="426"/>
        </w:tabs>
        <w:spacing w:after="120" w:before="120" w:line="276" w:lineRule="auto"/>
        <w:ind/>
        <w:jc w:val="center"/>
        <w:rPr>
          <w:bCs/>
          <w:i/>
          <w:lang w:val="pt-BR"/>
        </w:rPr>
      </w:pPr>
      <w:r>
        <w:rPr>
          <w:bCs/>
          <w:i/>
          <w:lang w:val="pt-BR"/>
        </w:rPr>
      </w:r>
      <w:r>
        <w:rPr>
          <w:bCs/>
          <w:i/>
          <w:lang w:val="pt-BR"/>
        </w:rPr>
      </w:r>
      <w:r>
        <w:rPr>
          <w:bCs/>
          <w:i/>
          <w:lang w:val="pt-BR"/>
        </w:rPr>
      </w:r>
    </w:p>
    <w:p>
      <w:pPr>
        <w:pBdr/>
        <w:tabs>
          <w:tab w:val="left" w:leader="none" w:pos="426"/>
        </w:tabs>
        <w:spacing w:after="120" w:before="120" w:line="276" w:lineRule="auto"/>
        <w:ind/>
        <w:jc w:val="center"/>
        <w:rPr>
          <w:bCs/>
          <w:i/>
          <w:lang w:val="pt-BR"/>
        </w:rPr>
      </w:pPr>
      <w:r>
        <w:rPr>
          <w:bCs/>
          <w:i/>
          <w:lang w:val="pt-BR"/>
        </w:rPr>
      </w:r>
      <w:r>
        <w:rPr>
          <w:bCs/>
          <w:i/>
          <w:lang w:val="pt-BR"/>
        </w:rPr>
      </w:r>
      <w:r>
        <w:rPr>
          <w:bCs/>
          <w:i/>
          <w:lang w:val="pt-BR"/>
        </w:rPr>
      </w:r>
    </w:p>
    <w:p>
      <w:pPr>
        <w:pBdr/>
        <w:tabs>
          <w:tab w:val="left" w:leader="none" w:pos="426"/>
        </w:tabs>
        <w:spacing w:after="120" w:before="120" w:line="276" w:lineRule="auto"/>
        <w:ind/>
        <w:jc w:val="center"/>
        <w:rPr>
          <w:bCs/>
          <w:i/>
          <w:lang w:val="pt-BR"/>
        </w:rPr>
      </w:pPr>
      <w:r>
        <w:rPr>
          <w:bCs/>
          <w:i/>
          <w:highlight w:val="none"/>
          <w:lang w:val="pt-BR" w:bidi="pt-BR"/>
        </w:rPr>
      </w:r>
      <w:r>
        <w:rPr>
          <w:bCs/>
          <w:i/>
          <w:highlight w:val="none"/>
          <w:lang w:val="pt-BR"/>
        </w:rPr>
      </w:r>
      <w:r>
        <w:rPr>
          <w:bCs/>
          <w:i/>
          <w:lang w:val="pt-BR"/>
        </w:rPr>
      </w:r>
    </w:p>
    <w:p>
      <w:pPr>
        <w:pStyle w:val="1039"/>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r>
        <w:rPr>
          <w:b/>
          <w:bCs/>
          <w:lang w:val="pt-BR"/>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4"/>
        <w:gridCol w:w="2522"/>
        <w:gridCol w:w="2126"/>
        <w:gridCol w:w="2126"/>
        <w:gridCol w:w="2007"/>
      </w:tblGrid>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Tên tài sản</w:t>
            </w:r>
            <w:r>
              <w:rPr>
                <w:b/>
                <w:bCs/>
                <w:color w:val="000000"/>
              </w:rPr>
            </w:r>
            <w:r>
              <w:rPr>
                <w:b/>
                <w:bCs/>
                <w:color w:val="000000"/>
              </w:rPr>
            </w:r>
          </w:p>
        </w:tc>
        <w:tc>
          <w:tcPr>
            <w:gridSpan w:val="4"/>
            <w:tcBorders/>
            <w:tcW w:w="8781" w:type="dxa"/>
            <w:vAlign w:val="center"/>
            <w:textDirection w:val="lrTb"/>
            <w:noWrap w:val="false"/>
          </w:tcPr>
          <w:p>
            <w:pPr>
              <w:pBdr/>
              <w:spacing/>
              <w:ind/>
              <w:jc w:val="both"/>
              <w:rPr>
                <w:b/>
                <w:bCs/>
                <w:color w:val="000000"/>
              </w:rPr>
            </w:pPr>
            <w:r>
              <w:rPr>
                <w:b/>
                <w:bCs/>
                <w:color w:val="000000"/>
              </w:rPr>
              <w:t xml:space="preserve">Quyền sử dụng đất tại thửa đất số: 26, tờ bản đồ số: 23, có địa chỉ: Thôn 4, xã Trung Châu, huyện Đan Phượng, thành phố Hà Nội ( Nay là: Xã Liê</w:t>
            </w:r>
            <w:r>
              <w:rPr>
                <w:b/>
                <w:bCs/>
                <w:color w:val="000000"/>
              </w:rPr>
              <w:t xml:space="preserve">n Minh, thành phố Hà Nội) theo Giấy chứng nhận quyền sử dụng đất quyền sở hữu nhà ở và tài sản khác gắn liền với đất số: CH 670784, số vào sổ cấp GCN: CH-03178 do Ủy ban nhân dân huyện Đan Phượng cấp ngày 14/07/2017; Chủ sử dụng đất là Ông Nguyễn Văn Lịch.</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Nội dung Thửa đất theo Hồ sơ pháp lý</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Thửa đất số:</w:t>
            </w:r>
            <w:r/>
          </w:p>
        </w:tc>
        <w:tc>
          <w:tcPr>
            <w:tcBorders/>
            <w:tcW w:w="212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26</w:t>
            </w:r>
            <w:r/>
          </w:p>
        </w:tc>
        <w:tc>
          <w:tcPr>
            <w:tcBorders/>
            <w:tcW w:w="2126"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Tờ bản đồ số:</w:t>
            </w:r>
            <w:r/>
          </w:p>
        </w:tc>
        <w:tc>
          <w:tcPr>
            <w:tcBorders/>
            <w:tcW w:w="20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23</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Địa chỉ:</w:t>
            </w:r>
            <w:r/>
          </w:p>
        </w:tc>
        <w:tc>
          <w:tcPr>
            <w:gridSpan w:val="3"/>
            <w:tcBorders/>
            <w:tcW w:w="6259" w:type="dxa"/>
            <w:vAlign w:val="center"/>
            <w:textDirection w:val="lrTb"/>
            <w:noWrap w:val="false"/>
          </w:tcPr>
          <w:p>
            <w:pPr>
              <w:pBdr/>
              <w:spacing w:after="0" w:before="0" w:line="240" w:lineRule="auto"/>
              <w:ind/>
              <w:jc w:val="both"/>
              <w:rPr/>
            </w:pPr>
            <w:r>
              <w:rPr>
                <w:rFonts w:ascii="Times New Roman" w:hAnsi="Times New Roman" w:eastAsia="Times New Roman" w:cs="Times New Roman"/>
                <w:color w:val="000000"/>
                <w:sz w:val="24"/>
              </w:rPr>
              <w:t xml:space="preserve">Thôn 4, xã Trung Châu, </w:t>
            </w:r>
            <w:r>
              <w:rPr>
                <w:rFonts w:ascii="Times New Roman" w:hAnsi="Times New Roman" w:eastAsia="Times New Roman" w:cs="Times New Roman"/>
                <w:color w:val="000000"/>
                <w:sz w:val="24"/>
              </w:rPr>
              <w:t xml:space="preserve">h</w:t>
            </w:r>
            <w:r>
              <w:rPr>
                <w:rFonts w:ascii="Times New Roman" w:hAnsi="Times New Roman" w:eastAsia="Times New Roman" w:cs="Times New Roman"/>
                <w:color w:val="000000"/>
                <w:sz w:val="24"/>
              </w:rPr>
              <w:t xml:space="preserve">uyện Đan Phượng, </w:t>
            </w:r>
            <w:r>
              <w:rPr>
                <w:rFonts w:ascii="Times New Roman" w:hAnsi="Times New Roman" w:eastAsia="Times New Roman" w:cs="Times New Roman"/>
                <w:color w:val="000000"/>
                <w:sz w:val="24"/>
              </w:rPr>
              <w:t xml:space="preserve">t</w:t>
            </w:r>
            <w:r>
              <w:rPr>
                <w:rFonts w:ascii="Times New Roman" w:hAnsi="Times New Roman" w:eastAsia="Times New Roman" w:cs="Times New Roman"/>
                <w:color w:val="000000"/>
                <w:sz w:val="24"/>
              </w:rPr>
              <w:t xml:space="preserve">hành phố Hà Nội ( Nay là: Xã Liên Minh, thành phố Hà Nội)</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Diện tích (m²):</w:t>
            </w:r>
            <w:r/>
          </w:p>
        </w:tc>
        <w:tc>
          <w:tcPr>
            <w:tcBorders/>
            <w:tcW w:w="212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460,1</w:t>
            </w:r>
            <w:r/>
          </w:p>
        </w:tc>
        <w:tc>
          <w:tcPr>
            <w:tcBorders/>
            <w:tcW w:w="2126"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Hình thức sử dụng</w:t>
            </w:r>
            <w:r/>
          </w:p>
        </w:tc>
        <w:tc>
          <w:tcPr>
            <w:tcBorders/>
            <w:tcW w:w="20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Sử dụng riêng</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Mục đích sử dụng:</w:t>
            </w:r>
            <w:r/>
          </w:p>
        </w:tc>
        <w:tc>
          <w:tcPr>
            <w:tcBorders/>
            <w:tcW w:w="212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Đất ở : 180m²;</w:t>
              <w:br/>
              <w:t xml:space="preserve">Đất trồng cây hàng năm khác: 280,1m²</w:t>
            </w:r>
            <w:r/>
          </w:p>
        </w:tc>
        <w:tc>
          <w:tcPr>
            <w:tcBorders/>
            <w:tcW w:w="2126"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Thời hạn sử dụng:</w:t>
            </w:r>
            <w:r/>
          </w:p>
        </w:tc>
        <w:tc>
          <w:tcPr>
            <w:tcBorders/>
            <w:tcW w:w="20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Đất ở: lâu dài</w:t>
              <w:br/>
              <w:t xml:space="preserve">Đất trồng cây hàng năm khác: Sử dụng đến ngày 01/07/2064</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Nguồn gốc sử dụng đất:</w:t>
            </w:r>
            <w:r/>
          </w:p>
        </w:tc>
        <w:tc>
          <w:tcPr>
            <w:gridSpan w:val="3"/>
            <w:tcBorders/>
            <w:tcW w:w="6259" w:type="dxa"/>
            <w:vAlign w:val="center"/>
            <w:textDirection w:val="lrTb"/>
            <w:noWrap w:val="false"/>
          </w:tcPr>
          <w:p>
            <w:pPr>
              <w:pBdr/>
              <w:spacing w:after="0" w:before="0" w:line="240" w:lineRule="auto"/>
              <w:ind/>
              <w:jc w:val="both"/>
              <w:rPr/>
            </w:pPr>
            <w:r>
              <w:rPr>
                <w:rFonts w:ascii="Times New Roman" w:hAnsi="Times New Roman" w:eastAsia="Times New Roman" w:cs="Times New Roman"/>
                <w:color w:val="000000"/>
                <w:sz w:val="24"/>
              </w:rPr>
              <w:t xml:space="preserve">Nhận chuyển nhượng đất được Công nhận QSDĐ như giao đất có thu tiền sử dụng đất</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Thông tin quy hoạch:</w:t>
            </w:r>
            <w:r/>
          </w:p>
        </w:tc>
        <w:tc>
          <w:tcPr>
            <w:gridSpan w:val="3"/>
            <w:tcBorders/>
            <w:tcW w:w="6259" w:type="dxa"/>
            <w:vAlign w:val="center"/>
            <w:textDirection w:val="lrTb"/>
            <w:noWrap w:val="false"/>
          </w:tcPr>
          <w:p>
            <w:pPr>
              <w:pBdr/>
              <w:spacing w:after="0" w:before="0" w:line="240" w:lineRule="auto"/>
              <w:ind/>
              <w:jc w:val="both"/>
              <w:rPr>
                <w:rFonts w:ascii="Times New Roman" w:hAnsi="Times New Roman" w:eastAsia="Times New Roman" w:cs="Times New Roman"/>
                <w:color w:val="000000"/>
                <w:sz w:val="24"/>
                <w:szCs w:val="24"/>
                <w14:ligatures w14:val="none"/>
              </w:rPr>
            </w:pPr>
            <w:r>
              <w:rPr>
                <w:rFonts w:ascii="Times New Roman" w:hAnsi="Times New Roman" w:eastAsia="Times New Roman" w:cs="Times New Roman"/>
                <w:color w:val="000000"/>
                <w:sz w:val="24"/>
              </w:rPr>
            </w:r>
            <w:r>
              <w:rPr>
                <w:rFonts w:ascii="Times New Roman" w:hAnsi="Times New Roman" w:eastAsia="Times New Roman" w:cs="Times New Roman"/>
                <w:color w:val="000000"/>
                <w:sz w:val="24"/>
                <w:szCs w:val="24"/>
              </w:rPr>
              <w:t xml:space="preserve">Tại thời điểm thẩm định giá, tổ thẩm định không được Khách hàng cung cấp các thông tin quy hoạch liên quan đến thửa đất, dựa trên định vị của tài sản sau khi khảo sát, tổ thẩm định kiểm tra quy hoạch online thông qua trang mạng Meeymap, xác định vị trí tài</w:t>
            </w:r>
            <w:r>
              <w:rPr>
                <w:rFonts w:ascii="Times New Roman" w:hAnsi="Times New Roman" w:eastAsia="Times New Roman" w:cs="Times New Roman"/>
                <w:color w:val="000000"/>
                <w:sz w:val="24"/>
                <w:szCs w:val="24"/>
              </w:rPr>
              <w:t xml:space="preserve"> sản thuộc quy hoạch đất ở.</w:t>
            </w:r>
            <w:r>
              <w:rPr>
                <w:rFonts w:ascii="Times New Roman" w:hAnsi="Times New Roman" w:eastAsia="Times New Roman" w:cs="Times New Roman"/>
                <w:color w:val="000000"/>
                <w:sz w:val="24"/>
                <w:szCs w:val="24"/>
                <w14:ligatures w14:val="none"/>
              </w:rPr>
            </w:r>
            <w:r>
              <w:rPr>
                <w:rFonts w:ascii="Times New Roman" w:hAnsi="Times New Roman" w:eastAsia="Times New Roman" w:cs="Times New Roman"/>
                <w:color w:val="000000"/>
                <w:sz w:val="24"/>
                <w:szCs w:val="24"/>
                <w14:ligatures w14:val="none"/>
              </w:rPr>
            </w:r>
          </w:p>
        </w:tc>
      </w:tr>
      <w:tr>
        <w:trPr>
          <w:trHeight w:val="20"/>
        </w:trPr>
        <w:tc>
          <w:tcPr>
            <w:tcBorders/>
            <w:tcW w:w="734" w:type="dxa"/>
            <w:vAlign w:val="center"/>
            <w:vMerge w:val="restart"/>
            <w:textDirection w:val="lrTb"/>
            <w:noWrap w:val="false"/>
          </w:tcPr>
          <w:p>
            <w:pPr>
              <w:pBdr/>
              <w:spacing/>
              <w:ind/>
              <w:jc w:val="center"/>
              <w:rPr>
                <w:color w:val="000000"/>
              </w:rPr>
            </w:pPr>
            <w:r>
              <w:rPr>
                <w:color w:val="000000"/>
              </w:rPr>
            </w:r>
            <w:r>
              <w:rPr>
                <w:color w:val="000000"/>
              </w:rPr>
            </w:r>
            <w:r>
              <w:rPr>
                <w:color w:val="000000"/>
              </w:rPr>
            </w:r>
          </w:p>
        </w:tc>
        <w:tc>
          <w:tcPr>
            <w:gridSpan w:val="4"/>
            <w:tcBorders/>
            <w:tcW w:w="8781" w:type="dxa"/>
            <w:vAlign w:val="center"/>
            <w:vMerge w:val="restart"/>
            <w:textDirection w:val="lrTb"/>
            <w:noWrap w:val="false"/>
          </w:tcPr>
          <w:p>
            <w:pPr>
              <w:pBdr/>
              <w:spacing w:after="0" w:before="0" w:line="240" w:lineRule="auto"/>
              <w:ind/>
              <w:jc w:val="center"/>
              <w:rPr>
                <w:rFonts w:ascii="Times New Roman" w:hAnsi="Times New Roman" w:eastAsia="Times New Roman" w:cs="Times New Roman"/>
                <w:color w:val="000000"/>
                <w:sz w:val="24"/>
              </w:rPr>
            </w:pPr>
            <w:r>
              <w:rPr>
                <w:rFonts w:ascii="Times New Roman" w:hAnsi="Times New Roman" w:eastAsia="Times New Roman" w:cs="Times New Roman"/>
                <w:color w:val="000000"/>
                <w:sz w:val="24"/>
              </w:rPr>
            </w:r>
            <w:r>
              <mc:AlternateContent>
                <mc:Choice Requires="wpg">
                  <w:drawing>
                    <wp:inline xmlns:wp="http://schemas.openxmlformats.org/drawingml/2006/wordprocessingDrawing" distT="0" distB="0" distL="0" distR="0">
                      <wp:extent cx="5342130" cy="2532776"/>
                      <wp:effectExtent l="0" t="0" r="0" b="0"/>
                      <wp:docPr id="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7078076" name=""/>
                              <pic:cNvPicPr>
                                <a:picLocks noChangeAspect="1"/>
                              </pic:cNvPicPr>
                              <pic:nvPr/>
                            </pic:nvPicPr>
                            <pic:blipFill rotWithShape="1">
                              <a:blip r:embed="rId18"/>
                              <a:stretch/>
                            </pic:blipFill>
                            <pic:spPr bwMode="auto">
                              <a:xfrm flipH="0" flipV="0">
                                <a:off x="0" y="0"/>
                                <a:ext cx="5342130" cy="253277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420.64pt;height:199.43pt;mso-wrap-distance-left:0.00pt;mso-wrap-distance-top:0.00pt;mso-wrap-distance-right:0.00pt;mso-wrap-distance-bottom:0.00pt;z-index:1;" stroked="false">
                      <v:imagedata r:id="rId18" o:title=""/>
                      <o:lock v:ext="edit" rotation="t"/>
                    </v:shape>
                  </w:pict>
                </mc:Fallback>
              </mc:AlternateContent>
            </w:r>
            <w:r>
              <w:rPr>
                <w:rFonts w:ascii="Times New Roman" w:hAnsi="Times New Roman" w:eastAsia="Times New Roman" w:cs="Times New Roman"/>
                <w:color w:val="000000"/>
                <w:sz w:val="24"/>
              </w:rPr>
            </w:r>
            <w:r>
              <w:rPr>
                <w:rFonts w:ascii="Times New Roman" w:hAnsi="Times New Roman" w:eastAsia="Times New Roman" w:cs="Times New Roman"/>
                <w:color w:val="000000"/>
                <w:sz w:val="24"/>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Về đất:</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Vị trí; Giao thông;</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Đường tiếp giáp chính:</w:t>
            </w:r>
            <w:r/>
          </w:p>
        </w:tc>
        <w:tc>
          <w:tcPr>
            <w:tcBorders/>
            <w:tcW w:w="212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Đường bê tông</w:t>
            </w:r>
            <w:r/>
          </w:p>
        </w:tc>
        <w:tc>
          <w:tcPr>
            <w:tcBorders/>
            <w:tcW w:w="2126"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Số mặt tiền:</w:t>
            </w:r>
            <w:r/>
          </w:p>
        </w:tc>
        <w:tc>
          <w:tcPr>
            <w:tcBorders/>
            <w:tcW w:w="20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1 mặt tiền</w:t>
            </w:r>
            <w:r/>
          </w:p>
        </w:tc>
      </w:tr>
      <w:tr>
        <w:trPr>
          <w:trHeight w:val="425"/>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after="0" w:before="0" w:line="240" w:lineRule="auto"/>
              <w:ind/>
              <w:jc w:val="both"/>
              <w:rPr/>
            </w:pPr>
            <w:r>
              <w:rPr>
                <w:rFonts w:ascii="Times New Roman" w:hAnsi="Times New Roman" w:eastAsia="Times New Roman" w:cs="Times New Roman"/>
                <w:color w:val="000000"/>
                <w:sz w:val="24"/>
              </w:rPr>
              <w:t xml:space="preserve">Mặt cắt đường/ngõ nhỏ nhất từ đường chính dẫn đến tài sản thẩm định giá:</w:t>
            </w:r>
            <w:r/>
          </w:p>
        </w:tc>
        <w:tc>
          <w:tcPr>
            <w:tcBorders/>
            <w:tcW w:w="212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4m</w:t>
            </w:r>
            <w:r/>
          </w:p>
        </w:tc>
        <w:tc>
          <w:tcPr>
            <w:tcBorders/>
            <w:tcW w:w="2126" w:type="dxa"/>
            <w:vAlign w:val="center"/>
            <w:textDirection w:val="lrTb"/>
            <w:noWrap w:val="false"/>
          </w:tcPr>
          <w:p>
            <w:pPr>
              <w:pBdr/>
              <w:spacing w:after="0" w:before="0" w:line="240" w:lineRule="auto"/>
              <w:ind/>
              <w:jc w:val="both"/>
              <w:rPr/>
            </w:pPr>
            <w:r>
              <w:rPr>
                <w:rFonts w:ascii="Times New Roman" w:hAnsi="Times New Roman" w:eastAsia="Times New Roman" w:cs="Times New Roman"/>
                <w:color w:val="000000"/>
                <w:sz w:val="24"/>
              </w:rPr>
              <w:t xml:space="preserve">Mặt cắt đường/ngõ trước mặt tài sản thẩm định giá:</w:t>
            </w:r>
            <w:r/>
          </w:p>
        </w:tc>
        <w:tc>
          <w:tcPr>
            <w:tcBorders/>
            <w:tcW w:w="20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Khoảng 4m</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Khoảng cách đến trục đường chính:</w:t>
            </w:r>
            <w:r/>
          </w:p>
        </w:tc>
        <w:tc>
          <w:tcPr>
            <w:gridSpan w:val="3"/>
            <w:tcBorders/>
            <w:tcW w:w="6259" w:type="dxa"/>
            <w:vAlign w:val="center"/>
            <w:textDirection w:val="lrTb"/>
            <w:noWrap w:val="false"/>
          </w:tcPr>
          <w:p>
            <w:pPr>
              <w:pBdr/>
              <w:spacing w:after="0" w:before="0" w:line="240" w:lineRule="auto"/>
              <w:ind/>
              <w:jc w:val="both"/>
              <w:rPr/>
            </w:pPr>
            <w:r>
              <w:rPr>
                <w:rFonts w:ascii="Times New Roman" w:hAnsi="Times New Roman" w:eastAsia="Times New Roman" w:cs="Times New Roman"/>
                <w:color w:val="000000"/>
                <w:sz w:val="24"/>
              </w:rPr>
              <w:t xml:space="preserve">Tài sản cách mặt đường DT417 khoảng 800m</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Các hướng tiếp giáp:</w:t>
            </w:r>
            <w:r/>
          </w:p>
        </w:tc>
        <w:tc>
          <w:tcPr>
            <w:gridSpan w:val="3"/>
            <w:tcBorders/>
            <w:tcW w:w="6259" w:type="dxa"/>
            <w:vAlign w:val="center"/>
            <w:textDirection w:val="lrTb"/>
            <w:noWrap w:val="false"/>
          </w:tcPr>
          <w:p>
            <w:pPr>
              <w:pBdr/>
              <w:spacing w:after="0" w:before="0" w:line="240" w:lineRule="auto"/>
              <w:ind/>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rPr>
              <w:t xml:space="preserve">Hướng Nam: Tiếp giáp đường bê tông rộng 4m</w:t>
            </w:r>
            <w:r>
              <w:rPr>
                <w:rFonts w:ascii="Times New Roman" w:hAnsi="Times New Roman" w:eastAsia="Times New Roman" w:cs="Times New Roman"/>
                <w:color w:val="000000"/>
                <w:sz w:val="24"/>
                <w:szCs w:val="24"/>
              </w:rPr>
            </w:r>
          </w:p>
          <w:p>
            <w:pPr>
              <w:pBdr/>
              <w:spacing w:after="0" w:before="0" w:line="240" w:lineRule="auto"/>
              <w:ind/>
              <w:jc w:val="both"/>
              <w:rPr/>
            </w:pPr>
            <w:r>
              <w:rPr>
                <w:rFonts w:ascii="Times New Roman" w:hAnsi="Times New Roman" w:eastAsia="Times New Roman" w:cs="Times New Roman"/>
                <w:color w:val="000000"/>
                <w:sz w:val="24"/>
              </w:rPr>
              <w:t xml:space="preserve">Các hướng khác: Tiếp giáp các thửa đất khác.</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rPr>
                <w:color w:val="000000"/>
              </w:rPr>
            </w:pPr>
            <w:r>
              <w:rPr>
                <w:color w:val="000000"/>
              </w:rPr>
              <w:t xml:space="preserve">Vị trí trên bản đồ vệ tinh: </w:t>
            </w:r>
            <w:r>
              <w:rPr>
                <w:color w:val="000000"/>
              </w:rPr>
              <w:t xml:space="preserve">(</w:t>
            </w:r>
            <w:r>
              <w:rPr>
                <w:color w:val="000000"/>
              </w:rPr>
              <w:t xml:space="preserve">21.1425</w:t>
            </w:r>
            <w:r>
              <w:rPr>
                <w:color w:val="000000"/>
              </w:rPr>
              <w:t xml:space="preserve">, </w:t>
            </w:r>
            <w:r>
              <w:rPr>
                <w:color w:val="000000"/>
              </w:rPr>
              <w:t xml:space="preserve">105.63383333333</w:t>
            </w:r>
            <w:r>
              <w:rPr>
                <w:color w:val="000000"/>
              </w:rPr>
              <w:t xml:space="preserve">)</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rPr>
                <w:color w:val="000000"/>
              </w:rPr>
            </w:pPr>
            <w:r>
              <w:rPr>
                <w:color w:val="000000"/>
              </w:rPr>
              <mc:AlternateContent>
                <mc:Choice Requires="wpg">
                  <w:drawing>
                    <wp:inline xmlns:wp="http://schemas.openxmlformats.org/drawingml/2006/wordprocessingDrawing" distT="0" distB="0" distL="0" distR="0">
                      <wp:extent cx="5418795" cy="2841085"/>
                      <wp:effectExtent l="0" t="0" r="0" b="0"/>
                      <wp:docPr id="6"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9"/>
                              <a:stretch/>
                            </pic:blipFill>
                            <pic:spPr bwMode="auto">
                              <a:xfrm flipH="0" flipV="0">
                                <a:off x="0" y="0"/>
                                <a:ext cx="5418794" cy="2841084"/>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426.68pt;height:223.71pt;mso-wrap-distance-left:0.00pt;mso-wrap-distance-top:0.00pt;mso-wrap-distance-right:0.00pt;mso-wrap-distance-bottom:0.00pt;z-index:1;" stroked="false">
                      <v:imagedata r:id="rId19" o:title=""/>
                      <o:lock v:ext="edit" rotation="t"/>
                    </v:shape>
                  </w:pict>
                </mc:Fallback>
              </mc:AlternateConten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Diện tích; Kích thước; Hình dáng</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Diện tích sử dụng riêng thực tế (m²):</w:t>
            </w:r>
            <w:r/>
          </w:p>
        </w:tc>
        <w:tc>
          <w:tcPr>
            <w:tcBorders/>
            <w:tcW w:w="212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460,1</w:t>
            </w:r>
            <w:r/>
          </w:p>
        </w:tc>
        <w:tc>
          <w:tcPr>
            <w:tcBorders/>
            <w:tcW w:w="2126"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Diện tích sử dụng chung thực tế (m²):</w:t>
            </w:r>
            <w:r/>
          </w:p>
        </w:tc>
        <w:tc>
          <w:tcPr>
            <w:tcBorders/>
            <w:tcW w:w="20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0</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Mặt tiền (m):</w:t>
            </w:r>
            <w:r/>
          </w:p>
        </w:tc>
        <w:tc>
          <w:tcPr>
            <w:tcBorders/>
            <w:tcW w:w="212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22,88</w:t>
            </w:r>
            <w:r/>
          </w:p>
        </w:tc>
        <w:tc>
          <w:tcPr>
            <w:tcBorders/>
            <w:tcW w:w="2126"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Chiều sâu (m): </w:t>
            </w:r>
            <w:r/>
          </w:p>
        </w:tc>
        <w:tc>
          <w:tcPr>
            <w:tcBorders/>
            <w:tcW w:w="2007" w:type="dxa"/>
            <w:vAlign w:val="center"/>
            <w:textDirection w:val="lrTb"/>
            <w:noWrap w:val="false"/>
          </w:tcPr>
          <w:p>
            <w:pPr>
              <w:pBdr/>
              <w:spacing w:after="0" w:before="0" w:line="240" w:lineRule="auto"/>
              <w:ind/>
              <w:jc w:val="center"/>
              <w:rPr>
                <w:rFonts w:ascii="Times New Roman" w:hAnsi="Times New Roman" w:eastAsia="Times New Roman" w:cs="Times New Roman"/>
                <w:color w:val="000000"/>
                <w:sz w:val="24"/>
                <w:szCs w:val="24"/>
                <w:highlight w:val="none"/>
              </w:rPr>
            </w:pPr>
            <w:r>
              <w:rPr>
                <w:rFonts w:ascii="Times New Roman" w:hAnsi="Times New Roman" w:eastAsia="Times New Roman" w:cs="Times New Roman"/>
                <w:color w:val="000000"/>
                <w:sz w:val="24"/>
              </w:rPr>
              <w:t xml:space="preserve">19,</w:t>
            </w:r>
            <w:r>
              <w:rPr>
                <w:rFonts w:ascii="Times New Roman" w:hAnsi="Times New Roman" w:eastAsia="Times New Roman" w:cs="Times New Roman"/>
                <w:color w:val="000000"/>
                <w:sz w:val="24"/>
              </w:rPr>
              <w:t xml:space="preserve">83/</w:t>
            </w:r>
            <w:r>
              <w:rPr>
                <w:rFonts w:ascii="Times New Roman" w:hAnsi="Times New Roman" w:eastAsia="Times New Roman" w:cs="Times New Roman"/>
                <w:color w:val="000000"/>
                <w:sz w:val="24"/>
              </w:rPr>
              <w:t xml:space="preserve">20,</w:t>
            </w:r>
            <w:r>
              <w:rPr>
                <w:rFonts w:ascii="Times New Roman" w:hAnsi="Times New Roman" w:eastAsia="Times New Roman" w:cs="Times New Roman"/>
                <w:color w:val="000000"/>
                <w:sz w:val="24"/>
              </w:rPr>
              <w:t xml:space="preserve">11</w:t>
            </w:r>
            <w:r>
              <w:rPr>
                <w:rFonts w:ascii="Times New Roman" w:hAnsi="Times New Roman" w:eastAsia="Times New Roman" w:cs="Times New Roman"/>
                <w:color w:val="000000"/>
                <w:sz w:val="24"/>
                <w:szCs w:val="24"/>
                <w:highlight w:val="none"/>
              </w:rPr>
            </w:r>
            <w:r>
              <w:rPr>
                <w:rFonts w:ascii="Times New Roman" w:hAnsi="Times New Roman" w:eastAsia="Times New Roman" w:cs="Times New Roman"/>
                <w:color w:val="000000"/>
                <w:sz w:val="24"/>
                <w:szCs w:val="24"/>
                <w:highlight w:val="none"/>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Hình dáng:</w:t>
            </w:r>
            <w:r/>
          </w:p>
        </w:tc>
        <w:tc>
          <w:tcPr>
            <w:tcBorders/>
            <w:tcW w:w="212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Hình chữ nhật</w:t>
            </w:r>
            <w:r/>
          </w:p>
        </w:tc>
        <w:tc>
          <w:tcPr>
            <w:tcBorders/>
            <w:tcW w:w="2126"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Hướng:</w:t>
            </w:r>
            <w:r/>
          </w:p>
        </w:tc>
        <w:tc>
          <w:tcPr>
            <w:tcBorders/>
            <w:tcW w:w="20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Nam</w:t>
            </w: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2.3.</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Điều kiện kinh doanh; Hạ tầng nội bộ; Hạ tầng xung quanh</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Hạ tầng nội bộ:</w:t>
            </w:r>
            <w:r>
              <w:rPr>
                <w:color w:val="000000"/>
              </w:rPr>
            </w:r>
            <w:r>
              <w:rPr>
                <w:color w:val="000000"/>
              </w:rPr>
            </w:r>
          </w:p>
        </w:tc>
        <w:tc>
          <w:tcPr>
            <w:gridSpan w:val="3"/>
            <w:tcBorders/>
            <w:tcW w:w="62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Cấp điện, cấp nước sạch, mạng internet,…hoàn thiện</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Hạ tầng xung quanh:</w:t>
            </w:r>
            <w:r>
              <w:rPr>
                <w:color w:val="000000"/>
              </w:rPr>
            </w:r>
            <w:r>
              <w:rPr>
                <w:color w:val="000000"/>
              </w:rPr>
            </w:r>
          </w:p>
        </w:tc>
        <w:tc>
          <w:tcPr>
            <w:gridSpan w:val="3"/>
            <w:tcBorders/>
            <w:tcW w:w="62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Môi trường trong lành, an ninh đảm bảo, dân trí tốt</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Mật độ dân cư:</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Khu vực tập trung dân cư</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Đời sống dân cư:</w:t>
            </w:r>
            <w:r>
              <w:rPr>
                <w:color w:val="000000"/>
              </w:rPr>
            </w:r>
            <w:r>
              <w:rPr>
                <w:color w:val="000000"/>
              </w:rPr>
            </w:r>
          </w:p>
        </w:tc>
        <w:tc>
          <w:tcPr>
            <w:tcBorders/>
            <w:tcW w:w="2007" w:type="dxa"/>
            <w:vAlign w:val="center"/>
            <w:textDirection w:val="lrTb"/>
            <w:noWrap w:val="false"/>
          </w:tcPr>
          <w:p>
            <w:pPr>
              <w:pBdr/>
              <w:spacing/>
              <w:ind/>
              <w:jc w:val="center"/>
              <w:rPr>
                <w:color w:val="000000"/>
                <w:highlight w:val="yellow"/>
              </w:rPr>
            </w:pPr>
            <w:r>
              <w:rPr>
                <w:color w:val="000000"/>
                <w:highlight w:val="none"/>
              </w:rPr>
              <w:t xml:space="preserve">Tốt</w:t>
            </w:r>
            <w:r>
              <w:rPr>
                <w:color w:val="000000"/>
                <w:highlight w:val="yellow"/>
              </w:rPr>
            </w:r>
            <w:r>
              <w:rPr>
                <w:color w:val="000000"/>
                <w:highlight w:val="yellow"/>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Lợi thế kinh doanh:</w:t>
            </w:r>
            <w:r>
              <w:rPr>
                <w:color w:val="000000"/>
              </w:rPr>
            </w:r>
            <w:r>
              <w:rPr>
                <w:color w:val="000000"/>
              </w:rPr>
            </w:r>
          </w:p>
        </w:tc>
        <w:tc>
          <w:tcPr>
            <w:tcBorders/>
            <w:tcW w:w="2126" w:type="dxa"/>
            <w:vAlign w:val="center"/>
            <w:textDirection w:val="lrTb"/>
            <w:noWrap w:val="false"/>
          </w:tcPr>
          <w:p>
            <w:pPr>
              <w:pBdr/>
              <w:spacing/>
              <w:ind/>
              <w:jc w:val="center"/>
              <w:rPr>
                <w:color w:val="000000" w:themeColor="text1"/>
              </w:rPr>
            </w:pPr>
            <w:r>
              <w:rPr>
                <w:color w:val="000000" w:themeColor="text1"/>
              </w:rPr>
              <w:t xml:space="preserve">Không có lợi thế kinh doanh</w:t>
            </w:r>
            <w:r>
              <w:rPr>
                <w:color w:val="000000" w:themeColor="text1"/>
              </w:rPr>
            </w:r>
            <w:r>
              <w:rPr>
                <w:color w:val="000000" w:themeColor="text1"/>
              </w:rPr>
            </w:r>
          </w:p>
        </w:tc>
        <w:tc>
          <w:tcPr>
            <w:tcBorders/>
            <w:tcW w:w="2126" w:type="dxa"/>
            <w:vAlign w:val="center"/>
            <w:textDirection w:val="lrTb"/>
            <w:noWrap w:val="false"/>
          </w:tcPr>
          <w:p>
            <w:pPr>
              <w:pBdr/>
              <w:spacing/>
              <w:ind/>
              <w:rPr>
                <w:color w:val="000000"/>
              </w:rPr>
            </w:pPr>
            <w:r>
              <w:rPr>
                <w:color w:val="000000"/>
              </w:rPr>
              <w:t xml:space="preserve">Khả năng chuyển nhượng: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Tốt</w: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3.</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Tài sản gắn liền với đất</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 </w:t>
            </w:r>
            <w:r>
              <w:rPr>
                <w:color w:val="000000"/>
              </w:rPr>
            </w:r>
            <w:r>
              <w:rPr>
                <w:color w:val="000000"/>
              </w:rPr>
            </w:r>
          </w:p>
        </w:tc>
        <w:tc>
          <w:tcPr>
            <w:gridSpan w:val="4"/>
            <w:tcBorders/>
            <w:tcW w:w="8781" w:type="dxa"/>
            <w:textDirection w:val="lrTb"/>
            <w:noWrap w:val="false"/>
          </w:tcPr>
          <w:p>
            <w:pPr>
              <w:pBdr/>
              <w:spacing w:after="0" w:before="0" w:line="240" w:lineRule="auto"/>
              <w:ind/>
              <w:jc w:val="both"/>
              <w:rPr/>
            </w:pPr>
            <w:r>
              <w:rPr>
                <w:rFonts w:ascii="Times New Roman" w:hAnsi="Times New Roman" w:eastAsia="Times New Roman" w:cs="Times New Roman"/>
                <w:color w:val="000000"/>
                <w:sz w:val="24"/>
              </w:rPr>
              <w:t xml:space="preserve">-</w:t>
            </w:r>
            <w:r>
              <w:rPr>
                <w:rFonts w:ascii="Times New Roman" w:hAnsi="Times New Roman" w:eastAsia="Times New Roman" w:cs="Times New Roman"/>
                <w:color w:val="000000"/>
                <w:sz w:val="24"/>
              </w:rPr>
              <w:t xml:space="preserve"> Trên đất có 01 nhà 2 tầng kết cấu BTCT, tường gạch chịu lực, sàn lát gạch men. Diện tích xây dựng tầng 1 khoảng 100m2, diện tích xây dựng tầng 2 khoảng 50m2. Công trình đươc xây dựng năm 2014. Hiện công trình đang được sử dụng để ở. Công trình chưa được c</w:t>
            </w:r>
            <w:r>
              <w:rPr>
                <w:rFonts w:ascii="Times New Roman" w:hAnsi="Times New Roman" w:eastAsia="Times New Roman" w:cs="Times New Roman"/>
                <w:color w:val="000000"/>
                <w:sz w:val="24"/>
              </w:rPr>
              <w:t xml:space="preserve">hứng nhận trên GCN QSDĐ.</w:t>
            </w:r>
            <w:r/>
          </w:p>
        </w:tc>
      </w:tr>
    </w:tbl>
    <w:p>
      <w:pPr>
        <w:pBdr/>
        <w:spacing w:line="235" w:lineRule="auto"/>
        <w:ind w:left="0"/>
        <w:jc w:val="both"/>
        <w:rPr>
          <w:b/>
          <w:bCs/>
          <w:u w:val="single"/>
        </w:rPr>
      </w:pPr>
      <w:r>
        <w:rPr>
          <w:b/>
          <w:bCs/>
          <w:u w:val="single"/>
        </w:rPr>
        <w:t xml:space="preserve">Các</w:t>
      </w:r>
      <w:r>
        <w:rPr>
          <w:b/>
          <w:bCs/>
          <w:u w:val="single"/>
        </w:rPr>
        <w:t xml:space="preserve"> lợi thế thương mại </w:t>
      </w:r>
      <w:r>
        <w:rPr>
          <w:b/>
          <w:bCs/>
          <w:u w:val="single"/>
        </w:rPr>
        <w:t xml:space="preserve">của thửa đất:</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Đất/Tài sản bám biển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bám hồ (Diện tích &gt;=5ha thì được coi là hồ)</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Bám đầm, ao lớn thuộc sở hữu nhà nước (ao lớn - S=0.5</w:t>
            </w:r>
            <w:r>
              <w:rPr>
                <w:lang w:eastAsia="ko-KR"/>
              </w:rPr>
              <w:t xml:space="preserve">ha)&lt;</w:t>
            </w:r>
            <w:r>
              <w:rPr>
                <w:lang w:eastAsia="ko-KR"/>
              </w:rPr>
              <w:t xml:space="preserve">5ha</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Thế đất tọa sơn hướng thủy 'hậu tựa núi, trước view sông, hồ, đầm', view thoáng, không bị che khuất, loại đất rất được ưa chuộng nghỉ dưỡng, nhà nghỉ cao cấp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View hồ sông, sông, suối, đầm, ao lớn (S=0.5ha), ruộng lúa, đồi núi xa, ngắm hoàng hôn, bình minh xa soi mặt nước, thơ mộng</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 vào thoáng không đâm thẳng cửa chính 'Thế tránh tiễn khí'</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Có yếu tố 'Linh' gắn với tiếng lành, tài lộc, đại danh, văn hóa, truyền thuyết được xem là khu địa linh nhân kiệt</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Đất/tài sản liền kề, đối diện vườn hoa, khu thể thao, bể bơi (không đối diện nhà ở) để được xe hơi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view công viên, vườn hoa, khu thể thao, bể bơi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 </w:t>
      </w:r>
      <w:r>
        <w:rPr>
          <w:b/>
          <w:bCs/>
          <w:u w:val="single"/>
        </w:rPr>
        <w:t xml:space="preserve">bất lợi thương mại </w:t>
      </w:r>
      <w:r>
        <w:rPr>
          <w:b/>
          <w:bCs/>
          <w:u w:val="single"/>
        </w:rPr>
        <w:t xml:space="preserve">của thửa đất:</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(Miếu thờ cúng tâm linh, đình, đền, chùa…)</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(Miếu thờ cúng tâm linh, đình, đền, chùa…)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w:t>
            </w:r>
            <w:r>
              <w:rPr>
                <w:lang w:eastAsia="ko-KR"/>
              </w:rPr>
              <w:t xml:space="preserve">từng</w:t>
            </w:r>
            <w:r>
              <w:rPr>
                <w:lang w:eastAsia="ko-KR"/>
              </w:rPr>
              <w:t xml:space="preserve"> là nghĩa trang, khu tâm linh cũ (đền, đình, chùa, miếu mạo…) đã được san lấp làm khu dân cư</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đất/Công trình có mộ không thể hoặc rất khó có khả năng di chuyển (Mộ tổ chi, tộc, mộ cổ, mộ tâm linh gắn với miếu mạo được nhân dân thờ cúng</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 Công trình có mộ gia đình hoặc vô chủ có thể di chuyển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sát khu mộ phần hoặc liền kề mộ phần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 Công trình có điện thờ, nhà thợ họ dòng tộc</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sát hoặc liền kề nhà thờ họ</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gia tộc anh em, họ hàng sống xung quanh chung ngõ đi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 án mạng/ tại nạn... bị ảnh hưởng truyền thông Nhẹ </w:t>
            </w:r>
            <w:r>
              <w:rPr>
                <w:lang w:eastAsia="ko-KR"/>
              </w:rPr>
              <w:t xml:space="preserve">“</w:t>
            </w:r>
            <w:r>
              <w:rPr>
                <w:lang w:eastAsia="ko-KR"/>
              </w:rPr>
              <w:t xml:space="preserve">Một vụ tự sát cá biệt không ồn ào, không truyền thông, trong nhà riêng, người Mua/Bán đông ít quan tâm: thị trường ít phản ứng, nếu có phản ứng chỉ là tâm lý tạm thời.</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Trung bình </w:t>
            </w:r>
            <w:r>
              <w:rPr>
                <w:lang w:eastAsia="ko-KR"/>
              </w:rPr>
              <w:t xml:space="preserve">“</w:t>
            </w:r>
            <w:r>
              <w:rPr>
                <w:lang w:eastAsia="ko-KR"/>
              </w:rPr>
              <w:t xml:space="preserve">Một vụ tự sát được biết trong khu vực nhưng có ít lời đồn, nhưng có thể che dấu/ khắc phục nhanh (sơn sửa, thay nội thất: phổ biến ở căn hộ chung cư, nhà phố ảnh hưởng của nó giảm theo thời gian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Mạnh </w:t>
            </w:r>
            <w:r>
              <w:rPr>
                <w:lang w:eastAsia="ko-KR"/>
              </w:rPr>
              <w:t xml:space="preserve">“</w:t>
            </w:r>
            <w:r>
              <w:rPr>
                <w:lang w:eastAsia="ko-KR"/>
              </w:rPr>
              <w:t xml:space="preserve">Vụ có yếu tố bạo lực, hoặc được đăng báo địa phương; khu dân cư tỏ ra e ngại; mua ở chịu ảnh hưởng. Mức này thường dùng khi có giao dịch thực tế cho thấy có sự kiện bị bán rẻ hơn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Rất Mạnh </w:t>
            </w:r>
            <w:r>
              <w:rPr>
                <w:lang w:eastAsia="ko-KR"/>
              </w:rPr>
              <w:t xml:space="preserve">“</w:t>
            </w:r>
            <w:r>
              <w:rPr>
                <w:lang w:eastAsia="ko-KR"/>
              </w:rPr>
              <w:t xml:space="preserve">Vụ nổi tiếng, nhiều truyề</w:t>
            </w:r>
            <w:r>
              <w:rPr>
                <w:lang w:eastAsia="ko-KR"/>
              </w:rPr>
              <w:t xml:space="preserve">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cây 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trạm thu phát </w:t>
            </w:r>
            <w:r>
              <w:rPr>
                <w:lang w:eastAsia="ko-KR"/>
              </w:rPr>
              <w:t xml:space="preserve">sóng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đường dây truyền tải điện cao thế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đường dây truyền tải điện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Mặt tiền bị che chắn (có cột điện, trạm biến áp…)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đường sắt&lt;=50m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 vào thẳng tắp như mũi tên đâm thẳng cửa chính </w:t>
            </w:r>
            <w:r>
              <w:rPr>
                <w:lang w:eastAsia="ko-KR"/>
              </w:rPr>
              <w:t xml:space="preserve">“</w:t>
            </w:r>
            <w:r>
              <w:rPr>
                <w:lang w:eastAsia="ko-KR"/>
              </w:rPr>
              <w:t xml:space="preserve">Thế tiễn khí</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nằm dưới chân cầu, đường dốc cao (Thế bị </w:t>
            </w:r>
            <w:r>
              <w:rPr>
                <w:lang w:eastAsia="ko-KR"/>
              </w:rPr>
              <w:t xml:space="preserve">xung</w:t>
            </w:r>
            <w:r>
              <w:rPr>
                <w:lang w:eastAsia="ko-KR"/>
              </w:rPr>
              <w:t xml:space="preserve"> :</w:t>
            </w:r>
            <w:r>
              <w:rPr>
                <w:lang w:eastAsia="ko-KR"/>
              </w:rPr>
              <w:t xml:space="preserve"> </w:t>
            </w:r>
            <w:r>
              <w:rPr>
                <w:lang w:eastAsia="ko-KR"/>
              </w:rPr>
              <w:t xml:space="preserve">Hổ phục, Long phục) xe lao xuống, gió tạt thẳng sát khí, không tụ</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Giao lộ Chữ </w:t>
            </w:r>
            <w:r>
              <w:rPr>
                <w:lang w:eastAsia="ko-KR"/>
              </w:rPr>
              <w:t xml:space="preserve">“</w:t>
            </w:r>
            <w:r>
              <w:rPr>
                <w:lang w:eastAsia="ko-KR"/>
              </w:rPr>
              <w:t xml:space="preserve">T</w:t>
            </w:r>
            <w:r>
              <w:rPr>
                <w:lang w:eastAsia="ko-KR"/>
              </w:rPr>
              <w:t xml:space="preserve">”</w:t>
            </w:r>
            <w:r>
              <w:rPr>
                <w:lang w:eastAsia="ko-KR"/>
              </w:rPr>
              <w:t xml:space="preserve">, bị đường đâm thẳng vào </w:t>
            </w:r>
            <w:r>
              <w:rPr>
                <w:lang w:eastAsia="ko-KR"/>
              </w:rPr>
              <w:t xml:space="preserve">“</w:t>
            </w:r>
            <w:r>
              <w:rPr>
                <w:lang w:eastAsia="ko-KR"/>
              </w:rPr>
              <w:t xml:space="preserve">Thế tiền đao sát</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Style w:val="1039"/>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pPr>
        <w:pStyle w:val="1039"/>
        <w:numPr>
          <w:ilvl w:val="0"/>
          <w:numId w:val="3"/>
        </w:numPr>
        <w:pBdr/>
        <w:tabs>
          <w:tab w:val="left" w:leader="none" w:pos="993"/>
        </w:tabs>
        <w:spacing w:after="120" w:before="120" w:line="264" w:lineRule="auto"/>
        <w:ind/>
        <w:jc w:val="both"/>
        <w:rPr>
          <w:spacing w:val="-2"/>
          <w:lang w:val="pt-BR"/>
        </w:rPr>
      </w:pPr>
      <w:r>
        <w:rPr>
          <w:spacing w:val="-2"/>
          <w:lang w:val="pt-BR"/>
        </w:rPr>
        <w:t xml:space="preserve">Chúng tôi giả định rằng tài sản thẩm </w:t>
      </w:r>
      <w:r>
        <w:rPr>
          <w:spacing w:val="-2"/>
          <w:lang w:val="pt-BR"/>
        </w:rPr>
        <w:t xml:space="preserve">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sinh, liên </w:t>
      </w:r>
      <w:r>
        <w:rPr>
          <w:spacing w:val="-2"/>
          <w:lang w:val="pt-BR"/>
        </w:rPr>
        <w:t xml:space="preserve">đới (nếu có) trong trường hợp này.</w:t>
      </w:r>
      <w:r>
        <w:rPr>
          <w:spacing w:val="-2"/>
          <w:lang w:val="pt-BR"/>
        </w:rPr>
      </w:r>
      <w:r>
        <w:rPr>
          <w:spacing w:val="-2"/>
          <w:lang w:val="pt-BR"/>
        </w:rPr>
      </w:r>
    </w:p>
    <w:p>
      <w:pPr>
        <w:pStyle w:val="1039"/>
        <w:numPr>
          <w:ilvl w:val="0"/>
          <w:numId w:val="3"/>
        </w:numPr>
        <w:pBdr/>
        <w:tabs>
          <w:tab w:val="left" w:leader="none" w:pos="993"/>
        </w:tabs>
        <w:spacing w:after="120" w:before="120" w:line="264" w:lineRule="auto"/>
        <w:ind/>
        <w:jc w:val="both"/>
        <w:rPr>
          <w:spacing w:val="-2"/>
          <w:lang w:val="pt-BR"/>
        </w:rPr>
      </w:pPr>
      <w:r>
        <w:rPr>
          <w:lang w:val="pt-BR"/>
        </w:rPr>
        <w:t xml:space="preserve">Giá trị tài sản thẩm định giá được ước tính dựa trên giả định không có bất kỳ yếu tố nào làm cản trở ảnh hưởng đến việc giao dịch bình thường của tài sản trên thị trường.</w:t>
      </w:r>
      <w:r>
        <w:rPr>
          <w:spacing w:val="-2"/>
          <w:lang w:val="pt-BR"/>
        </w:rPr>
      </w:r>
      <w:r>
        <w:rPr>
          <w:spacing w:val="-2"/>
          <w:lang w:val="pt-BR"/>
        </w:rPr>
      </w:r>
    </w:p>
    <w:p>
      <w:pPr>
        <w:numPr>
          <w:ilvl w:val="0"/>
          <w:numId w:val="39"/>
        </w:numPr>
        <w:pBdr>
          <w:top w:val="none" w:color="000000" w:sz="4" w:space="0"/>
          <w:left w:val="none" w:color="000000" w:sz="4" w:space="0"/>
          <w:bottom w:val="none" w:color="000000" w:sz="4" w:space="0"/>
          <w:right w:val="none" w:color="000000" w:sz="4" w:space="0"/>
        </w:pBdr>
        <w:tabs>
          <w:tab w:val="left" w:leader="none" w:pos="993"/>
        </w:tabs>
        <w:spacing w:after="120" w:before="120" w:line="264" w:lineRule="auto"/>
        <w:ind/>
        <w:jc w:val="both"/>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Tại thời điểm thẩm định giá, tổ thẩm định nhận thấy </w:t>
      </w:r>
      <w:r>
        <w:rPr>
          <w:rFonts w:ascii="Times New Roman" w:hAnsi="Times New Roman" w:eastAsia="Times New Roman" w:cs="Times New Roman"/>
          <w:color w:val="000000"/>
          <w:sz w:val="24"/>
        </w:rPr>
        <w:t xml:space="preserve">t</w:t>
      </w:r>
      <w:r>
        <w:rPr>
          <w:rFonts w:ascii="Times New Roman" w:hAnsi="Times New Roman" w:eastAsia="Times New Roman" w:cs="Times New Roman"/>
          <w:color w:val="000000"/>
          <w:sz w:val="24"/>
        </w:rPr>
        <w:t xml:space="preserve">rên đất có 01 nhà 2 tầng kết cấu BTCT, tường gạch chịu lực, sàn lát gạch men. Diện tích xây dựng tầng 1 khoảng 100m2, diện tích xây dựng tầng 2 khoảng 50m2. Công trình đươc xây dựng năm 2014. Hiện công trình đang được sử dụng để ở. </w:t>
      </w:r>
      <w:r>
        <w:rPr>
          <w:rFonts w:ascii="Times New Roman" w:hAnsi="Times New Roman" w:eastAsia="Times New Roman" w:cs="Times New Roman"/>
          <w:color w:val="000000"/>
          <w:sz w:val="24"/>
        </w:rPr>
        <w:t xml:space="preserve">C</w:t>
      </w:r>
      <w:r>
        <w:rPr>
          <w:rFonts w:ascii="Times New Roman" w:hAnsi="Times New Roman" w:eastAsia="Times New Roman" w:cs="Times New Roman"/>
          <w:color w:val="000000"/>
          <w:sz w:val="24"/>
        </w:rPr>
        <w:t xml:space="preserve">ông trình chưa được c</w:t>
      </w:r>
      <w:r>
        <w:rPr>
          <w:rFonts w:ascii="Times New Roman" w:hAnsi="Times New Roman" w:eastAsia="Times New Roman" w:cs="Times New Roman"/>
          <w:color w:val="000000"/>
          <w:sz w:val="24"/>
        </w:rPr>
        <w:t xml:space="preserve">hứng nhận trên GCN QSDĐ.</w:t>
      </w:r>
      <w:r>
        <w:rPr>
          <w:rFonts w:ascii="Times New Roman" w:hAnsi="Times New Roman" w:eastAsia="Times New Roman" w:cs="Times New Roman"/>
          <w:color w:val="000000"/>
          <w:sz w:val="24"/>
        </w:rPr>
        <w:t xml:space="preserve"> Do vậy, t</w:t>
      </w:r>
      <w:r>
        <w:rPr>
          <w:rFonts w:ascii="Times New Roman" w:hAnsi="Times New Roman" w:eastAsia="Times New Roman" w:cs="Times New Roman"/>
          <w:color w:val="000000"/>
          <w:sz w:val="24"/>
        </w:rPr>
        <w:t xml:space="preserve">heo đề nghị của Ngân hàng/Khách hàng, Tổ thẩm định không xác định giá trị của công trình xây dựng vào tổng giá trị, nhưng vẫn coi đó là phần không thể tách rời của tài sản thẩm định. Kính đề nghị đơn vị sử dụng kết quả lưu ý.</w:t>
      </w:r>
      <w:r>
        <w:rPr>
          <w:rFonts w:ascii="Times New Roman" w:hAnsi="Times New Roman" w:eastAsia="Times New Roman" w:cs="Times New Roman"/>
          <w:sz w:val="24"/>
        </w:rPr>
      </w:r>
      <w:r>
        <w:rPr>
          <w:rFonts w:ascii="Times New Roman" w:hAnsi="Times New Roman" w:eastAsia="Times New Roman" w:cs="Times New Roman"/>
          <w:sz w:val="24"/>
        </w:rPr>
      </w:r>
    </w:p>
    <w:p>
      <w:pPr>
        <w:pStyle w:val="1039"/>
        <w:numPr>
          <w:ilvl w:val="0"/>
          <w:numId w:val="43"/>
        </w:numPr>
        <w:pBdr>
          <w:top w:val="none" w:color="000000" w:sz="4" w:space="0"/>
          <w:left w:val="none" w:color="000000" w:sz="4" w:space="0"/>
          <w:bottom w:val="none" w:color="000000" w:sz="4" w:space="0"/>
          <w:right w:val="none" w:color="000000" w:sz="4" w:space="0"/>
        </w:pBdr>
        <w:spacing w:line="276" w:lineRule="auto"/>
        <w:ind w:right="0"/>
        <w:jc w:val="both"/>
        <w:rPr/>
      </w:pPr>
      <w:r>
        <w:rPr>
          <w:rFonts w:ascii="Times New Roman" w:hAnsi="Times New Roman" w:eastAsia="Times New Roman" w:cs="Times New Roman"/>
          <w:color w:val="000000"/>
          <w:sz w:val="24"/>
        </w:rPr>
        <w:t xml:space="preserve">Tại thời điểm khảo sát, tổ thẩm định không được Khách hàng cung cấp các thông tin quy hoạch liên quan đến thửa đất, dựa trên định vị của tài sản sau khi khảo sát, tổ thẩm định kiểm tra quy hoạch online thông qua các trang mạng như Guland, Meeymap, xác định</w:t>
      </w:r>
      <w:r>
        <w:rPr>
          <w:rFonts w:ascii="Times New Roman" w:hAnsi="Times New Roman" w:eastAsia="Times New Roman" w:cs="Times New Roman"/>
          <w:color w:val="000000"/>
          <w:sz w:val="24"/>
        </w:rPr>
        <w:t xml:space="preserve"> vị trí tài sản thuộc quy hoạch đất ở. Tổ thẩm định giả định thửa đất phù hợp quy hoạch. Đề nghị Khách hàng sử dụng kết quả lưu ý kiểm tra xác minh thêm thông tin quy hoạch nếu thấy cần thiết. Trong trường hợp Khách hàng/Ngân hàng cung cấp được Văn bản xác</w:t>
      </w:r>
      <w:r>
        <w:rPr>
          <w:rFonts w:ascii="Times New Roman" w:hAnsi="Times New Roman" w:eastAsia="Times New Roman" w:cs="Times New Roman"/>
          <w:color w:val="000000"/>
          <w:sz w:val="24"/>
        </w:rPr>
        <w:t xml:space="preserve"> nhận rõ tình trạng quy hoạch thì kết quả thẩm định giá cần được xem xét, điều chỉnh phù hợp, đồng thời chúng tôi bảo lưu quyền xem xét lại kết quả thẩm định giá.</w:t>
      </w:r>
      <w:r>
        <w:rPr>
          <w:rFonts w:ascii="Times New Roman" w:hAnsi="Times New Roman" w:eastAsia="Times New Roman" w:cs="Times New Roman"/>
          <w:sz w:val="24"/>
          <w:highlight w:val="none"/>
        </w:rPr>
      </w:r>
      <w:r/>
    </w:p>
    <w:p>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pPr>
        <w:pStyle w:val="1039"/>
        <w:numPr>
          <w:ilvl w:val="0"/>
          <w:numId w:val="3"/>
        </w:numPr>
        <w:pBdr/>
        <w:tabs>
          <w:tab w:val="left" w:leader="none" w:pos="993"/>
        </w:tabs>
        <w:spacing w:after="120" w:before="120" w:line="264" w:lineRule="auto"/>
        <w:ind/>
        <w:jc w:val="both"/>
        <w:rPr>
          <w:lang w:val="pt-BR"/>
        </w:rPr>
      </w:pPr>
      <w:r>
        <w:rPr>
          <w:b/>
          <w:bCs/>
          <w:lang w:val="pt-BR"/>
        </w:rPr>
        <w:t xml:space="preserve">Giá trị thị trường</w:t>
      </w:r>
      <w:r>
        <w:rPr>
          <w:b/>
          <w:bCs/>
          <w:lang w:val="pt-BR"/>
        </w:rPr>
        <w:t xml:space="preserve">:</w:t>
      </w:r>
      <w:r>
        <w:rPr>
          <w:lang w:val="pt-BR"/>
        </w:rPr>
        <w:t xml:space="preserve"> Kết quả thẩm định giá trị tài sản được xác định dựa trên cơ sở giá trị thị trường tại thời điểm thẩm định theo </w:t>
      </w:r>
      <w:r>
        <w:rPr>
          <w:lang w:val="pt-BR"/>
        </w:rPr>
        <w:t xml:space="preserve">Chuẩn mực thẩm định giá Việt Nam về Cơ sở giá trị thẩm định giá</w:t>
      </w:r>
      <w:r>
        <w:rPr>
          <w:lang w:val="pt-BR"/>
        </w:rPr>
        <w:t xml:space="preserve">: </w:t>
      </w:r>
      <w:r>
        <w:rPr>
          <w:i/>
          <w:iCs/>
          <w:lang w:val="pt-BR"/>
        </w:rPr>
        <w:t xml:space="preserve">“</w:t>
      </w:r>
      <w:r>
        <w:rPr>
          <w:i/>
          <w:iCs/>
          <w:lang w:val="pt-BR"/>
        </w:rPr>
        <w:t xml:space="preserve">Giá trị thị trường là khoản tiền ước </w:t>
      </w:r>
      <w:r>
        <w:rPr>
          <w:i/>
          <w:iCs/>
          <w:lang w:val="pt-BR"/>
        </w:rPr>
        <w:t xml:space="preserve">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Pr>
          <w:i/>
          <w:iCs/>
          <w:lang w:val="pt-BR"/>
        </w:rPr>
        <w:t xml:space="preserve">”</w:t>
      </w:r>
      <w:r>
        <w:rPr>
          <w:lang w:val="pt-BR"/>
        </w:rPr>
        <w:t xml:space="preserve">. </w:t>
      </w:r>
      <w:r>
        <w:rPr>
          <w:lang w:val="pt-BR"/>
        </w:rPr>
      </w:r>
      <w:r>
        <w:rPr>
          <w:lang w:val="pt-BR"/>
        </w:rPr>
      </w:r>
    </w:p>
    <w:p>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pPr>
        <w:pStyle w:val="1039"/>
        <w:numPr>
          <w:ilvl w:val="0"/>
          <w:numId w:val="24"/>
        </w:numPr>
        <w:pBdr/>
        <w:spacing w:after="120" w:before="120" w:line="276" w:lineRule="auto"/>
        <w:ind w:hanging="357" w:left="357"/>
        <w:jc w:val="both"/>
        <w:rPr>
          <w:b/>
          <w:lang w:val="pt-BR"/>
        </w:rPr>
      </w:pPr>
      <w:r>
        <w:rPr>
          <w:b/>
          <w:lang w:val="pt-BR"/>
        </w:rPr>
        <w:t xml:space="preserve">Cách tiếp cận và phương pháp thẩm định:</w:t>
      </w:r>
      <w:r>
        <w:rPr>
          <w:b/>
          <w:lang w:val="pt-BR"/>
        </w:rPr>
      </w:r>
      <w:r>
        <w:rPr>
          <w:b/>
          <w:lang w:val="pt-BR"/>
        </w:rPr>
      </w:r>
    </w:p>
    <w:p>
      <w:pPr>
        <w:pStyle w:val="1039"/>
        <w:numPr>
          <w:ilvl w:val="0"/>
          <w:numId w:val="3"/>
        </w:numPr>
        <w:pBdr/>
        <w:tabs>
          <w:tab w:val="left" w:leader="none" w:pos="993"/>
        </w:tabs>
        <w:spacing w:after="120" w:before="120" w:line="276" w:lineRule="auto"/>
        <w:ind w:left="357"/>
        <w:jc w:val="both"/>
        <w:rPr>
          <w:bCs/>
          <w:lang w:val="pt-BR"/>
        </w:rPr>
      </w:pPr>
      <w:r>
        <w:rPr>
          <w:bCs/>
          <w:i/>
          <w:iCs/>
          <w:lang w:val="pt-BR"/>
        </w:rPr>
        <w:t xml:space="preserve">Cách t</w:t>
      </w:r>
      <w:r>
        <w:rPr>
          <w:bCs/>
          <w:i/>
          <w:iCs/>
          <w:lang w:val="pt-BR"/>
        </w:rPr>
        <w:t xml:space="preserve">iếp cận từ thị trường:</w:t>
      </w:r>
      <w:r>
        <w:rPr>
          <w:bCs/>
          <w:i/>
          <w:iCs/>
          <w:lang w:val="pt-BR"/>
        </w:rPr>
        <w:t xml:space="preserve"> </w:t>
      </w:r>
      <w:r>
        <w:rPr>
          <w:bCs/>
          <w:lang w:val="pt-BR"/>
        </w:rPr>
        <w:t xml:space="preserve">X</w:t>
      </w:r>
      <w:r>
        <w:rPr>
          <w:bCs/>
          <w:lang w:val="pt-BR"/>
        </w:rPr>
        <w:t xml:space="preserve">ác định giá trị của tài sản thẩm định giá thông qua việc so sánh tài sản thẩm định giá với các tài sản so sánh đã có các thông tin về giá trên thị trường</w:t>
      </w:r>
      <w:r>
        <w:rPr>
          <w:bCs/>
          <w:lang w:val="pt-BR"/>
        </w:rPr>
        <w:t xml:space="preserve">.</w:t>
      </w:r>
      <w:r>
        <w:rPr>
          <w:bCs/>
          <w:lang w:val="pt-BR"/>
        </w:rPr>
      </w:r>
      <w:r>
        <w:rPr>
          <w:bCs/>
          <w:lang w:val="pt-BR"/>
        </w:rPr>
      </w:r>
    </w:p>
    <w:p>
      <w:pPr>
        <w:pStyle w:val="1039"/>
        <w:numPr>
          <w:ilvl w:val="0"/>
          <w:numId w:val="3"/>
        </w:numPr>
        <w:pBdr/>
        <w:tabs>
          <w:tab w:val="left" w:leader="none" w:pos="993"/>
        </w:tabs>
        <w:spacing w:after="120" w:before="120" w:line="276" w:lineRule="auto"/>
        <w:ind w:left="357"/>
        <w:jc w:val="both"/>
        <w:rPr>
          <w:bCs/>
          <w:lang w:val="pt-BR"/>
        </w:rPr>
      </w:pPr>
      <w:r>
        <w:rPr>
          <w:bCs/>
          <w:i/>
          <w:iCs/>
          <w:lang w:val="pt-BR"/>
        </w:rPr>
        <w:t xml:space="preserve">Phương pháp so sánh:</w:t>
      </w:r>
      <w:r>
        <w:rPr>
          <w:bCs/>
          <w:lang w:val="pt-BR"/>
        </w:rPr>
        <w:t xml:space="preserve"> </w:t>
      </w:r>
      <w:r>
        <w:rPr>
          <w:bCs/>
          <w:lang w:val="pt-BR"/>
        </w:rPr>
        <w:t xml:space="preserve">X</w:t>
      </w:r>
      <w:r>
        <w:rPr>
          <w:bCs/>
          <w:lang w:val="pt-BR"/>
        </w:rPr>
        <w:t xml:space="preserve">ác đ</w:t>
      </w:r>
      <w:r>
        <w:rPr>
          <w:bCs/>
          <w:lang w:val="pt-BR"/>
        </w:rPr>
        <w:t xml:space="preserve">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Pr>
          <w:bCs/>
          <w:lang w:val="pt-BR"/>
        </w:rPr>
        <w:t xml:space="preserve">.</w:t>
      </w:r>
      <w:r>
        <w:rPr>
          <w:bCs/>
          <w:lang w:val="pt-BR"/>
        </w:rPr>
      </w:r>
      <w:r>
        <w:rPr>
          <w:bCs/>
          <w:lang w:val="pt-BR"/>
        </w:rPr>
      </w:r>
    </w:p>
    <w:p>
      <w:pPr>
        <w:pStyle w:val="1039"/>
        <w:numPr>
          <w:ilvl w:val="0"/>
          <w:numId w:val="24"/>
        </w:numPr>
        <w:pBdr/>
        <w:spacing w:after="120" w:before="120" w:line="276" w:lineRule="auto"/>
        <w:ind w:hanging="357" w:left="357"/>
        <w:jc w:val="both"/>
        <w:rPr>
          <w:b/>
          <w:lang w:val="pt-BR"/>
        </w:rPr>
      </w:pPr>
      <w:r>
        <w:rPr>
          <w:b/>
          <w:lang w:val="pt-BR"/>
        </w:rPr>
        <w:t xml:space="preserve">Xác định cách tiếp cận và phương pháp đối với tài sản thẩm định giá</w:t>
      </w:r>
      <w:r>
        <w:rPr>
          <w:b/>
          <w:lang w:val="pt-BR"/>
        </w:rPr>
        <w:t xml:space="preserve">:</w:t>
      </w:r>
      <w:r>
        <w:rPr>
          <w:b/>
          <w:lang w:val="pt-BR"/>
        </w:rPr>
      </w:r>
      <w:r>
        <w:rPr>
          <w:b/>
          <w:lang w:val="pt-BR"/>
        </w:rPr>
      </w:r>
    </w:p>
    <w:p>
      <w:pPr>
        <w:pStyle w:val="1039"/>
        <w:numPr>
          <w:ilvl w:val="0"/>
          <w:numId w:val="3"/>
        </w:numPr>
        <w:pBdr/>
        <w:spacing w:after="120" w:before="120" w:line="276" w:lineRule="auto"/>
        <w:ind w:left="357"/>
        <w:jc w:val="both"/>
        <w:rPr>
          <w:spacing w:val="-4"/>
          <w:lang w:val="pt-BR"/>
        </w:rPr>
      </w:pPr>
      <w:r>
        <w:rPr>
          <w:spacing w:val="-4"/>
          <w:lang w:val="pt-BR"/>
        </w:rPr>
        <w:t xml:space="preserve">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để xác định</w:t>
      </w:r>
      <w:r>
        <w:rPr>
          <w:spacing w:val="-4"/>
          <w:lang w:val="pt-BR"/>
        </w:rPr>
        <w:t xml:space="preserve"> giá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sử dụn</w:t>
      </w:r>
      <w:r>
        <w:rPr>
          <w:spacing w:val="-4"/>
          <w:lang w:val="pt-BR"/>
        </w:rPr>
        <w:t xml:space="preserve">g đất của</w:t>
      </w:r>
      <w:r>
        <w:rPr>
          <w:spacing w:val="-4"/>
          <w:lang w:val="pt-BR"/>
        </w:rPr>
        <w:t xml:space="preserve"> tài sản thẩm định giá</w:t>
      </w:r>
      <w:r>
        <w:rPr>
          <w:spacing w:val="-4"/>
          <w:lang w:val="pt-BR"/>
        </w:rPr>
        <w:t xml:space="preserve">.</w:t>
      </w:r>
      <w:r>
        <w:rPr>
          <w:spacing w:val="-4"/>
          <w:lang w:val="pt-BR"/>
        </w:rPr>
      </w:r>
      <w:r>
        <w:rPr>
          <w:spacing w:val="-4"/>
          <w:lang w:val="pt-BR"/>
        </w:rPr>
      </w:r>
    </w:p>
    <w:p>
      <w:pPr>
        <w:pStyle w:val="1039"/>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pPr>
        <w:pStyle w:val="1039"/>
        <w:numPr>
          <w:ilvl w:val="0"/>
          <w:numId w:val="26"/>
        </w:numPr>
        <w:pBdr/>
        <w:spacing w:after="120" w:before="120" w:line="276" w:lineRule="auto"/>
        <w:ind w:hanging="357" w:left="357"/>
        <w:jc w:val="both"/>
        <w:rPr>
          <w:b/>
          <w:lang w:val="pt-BR"/>
        </w:rPr>
      </w:pPr>
      <w:r>
        <w:rPr>
          <w:b/>
          <w:lang w:val="pt-BR"/>
        </w:rPr>
        <w:t xml:space="preserve">Xác định </w:t>
      </w:r>
      <w:r>
        <w:rPr>
          <w:b/>
          <w:lang w:val="pt-BR"/>
        </w:rPr>
        <w:t xml:space="preserve">đơn giá</w:t>
      </w:r>
      <w:r>
        <w:rPr>
          <w:b/>
          <w:lang w:val="pt-BR"/>
        </w:rPr>
        <w:t xml:space="preserve"> quyền sử dụng đấ</w:t>
      </w:r>
      <w:r>
        <w:rPr>
          <w:b/>
          <w:lang w:val="pt-BR"/>
        </w:rPr>
        <w:t xml:space="preserve">t</w:t>
      </w:r>
      <w:r>
        <w:rPr>
          <w:b/>
          <w:lang w:val="pt-BR"/>
        </w:rPr>
        <w:t xml:space="preserve">:</w:t>
      </w:r>
      <w:r>
        <w:rPr>
          <w:b/>
          <w:lang w:val="pt-BR"/>
        </w:rPr>
      </w:r>
      <w:r>
        <w:rPr>
          <w:b/>
          <w:lang w:val="pt-BR"/>
        </w:rPr>
      </w:r>
    </w:p>
    <w:p>
      <w:pPr>
        <w:pStyle w:val="1039"/>
        <w:pBdr/>
        <w:spacing w:after="120" w:before="120" w:line="276" w:lineRule="auto"/>
        <w:ind w:firstLine="357" w:left="0"/>
        <w:jc w:val="both"/>
        <w:rPr>
          <w:bCs/>
          <w:lang w:val="pt-BR"/>
        </w:rPr>
      </w:pPr>
      <w:r>
        <w:rPr>
          <w:lang w:val="nl-NL"/>
        </w:rPr>
        <w:t xml:space="preserve">Qua khảo sát thị trường, </w:t>
      </w:r>
      <w:r>
        <w:rPr>
          <w:lang w:val="nl-NL"/>
        </w:rPr>
        <w:t xml:space="preserve">T</w:t>
      </w:r>
      <w:r>
        <w:rPr>
          <w:lang w:val="nl-NL"/>
        </w:rPr>
        <w:t xml:space="preserve">ổ thẩm định thu thập được 03 giao dịch được cho là tương đồng về đặc điểm vị trí, giao thông, kích thước, mặt tiền, điều kiện hạ tầng và điều kiện xã </w:t>
      </w:r>
      <w:r>
        <w:rPr>
          <w:lang w:val="nl-NL"/>
        </w:rPr>
        <w:t xml:space="preserve">hội,…</w:t>
      </w:r>
      <w:r>
        <w:rPr>
          <w:lang w:val="nl-NL"/>
        </w:rPr>
        <w:t xml:space="preserve"> với tài sản thẩm định giá, cụ thể như sau:</w:t>
      </w:r>
      <w:r>
        <w:rPr>
          <w:bCs/>
          <w:lang w:val="pt-BR"/>
        </w:rPr>
      </w:r>
      <w:r>
        <w:rPr>
          <w:bCs/>
          <w:lang w:val="pt-BR"/>
        </w:rPr>
      </w:r>
    </w:p>
    <w:p>
      <w:pPr>
        <w:pStyle w:val="1039"/>
        <w:numPr>
          <w:ilvl w:val="0"/>
          <w:numId w:val="6"/>
        </w:numPr>
        <w:pBdr/>
        <w:tabs>
          <w:tab w:val="left" w:leader="none" w:pos="720"/>
        </w:tabs>
        <w:spacing w:after="120" w:before="120" w:line="276" w:lineRule="auto"/>
        <w:ind w:left="360"/>
        <w:jc w:val="both"/>
        <w:rPr>
          <w:b/>
          <w:lang w:val="nl-NL"/>
        </w:rPr>
      </w:pPr>
      <w:r>
        <w:rPr>
          <w:b/>
          <w:lang w:val="nl-NL"/>
        </w:rPr>
        <w:t xml:space="preserve">Thông tin tài sản so sánh:</w:t>
      </w:r>
      <w:r>
        <w:rPr>
          <w:b/>
          <w:lang w:val="nl-NL"/>
        </w:rPr>
      </w:r>
      <w:r>
        <w:rPr>
          <w:b/>
          <w:lang w:val="nl-NL"/>
        </w:rPr>
      </w:r>
    </w:p>
    <w:tbl>
      <w:tblPr>
        <w:tblW w:w="0" w:type="auto"/>
        <w:tblBorders/>
        <w:tblLayout w:type="fixed"/>
        <w:tblLook w:val="04A0" w:firstRow="1" w:lastRow="0" w:firstColumn="1" w:lastColumn="0" w:noHBand="0" w:noVBand="1"/>
      </w:tblPr>
      <w:tblGrid>
        <w:gridCol w:w="704"/>
        <w:gridCol w:w="1843"/>
        <w:gridCol w:w="1742"/>
        <w:gridCol w:w="1692"/>
        <w:gridCol w:w="1792"/>
        <w:gridCol w:w="1742"/>
      </w:tblGrid>
      <w:tr>
        <w:trPr>
          <w:trHeight w:val="300"/>
          <w:tblHeader/>
        </w:trPr>
        <w:tc>
          <w:tcPr>
            <w:tcBorders>
              <w:top w:val="single" w:color="auto" w:sz="4" w:space="0"/>
              <w:left w:val="single" w:color="auto" w:sz="4" w:space="0"/>
              <w:bottom w:val="single" w:color="auto" w:sz="4" w:space="0"/>
              <w:right w:val="single" w:color="auto" w:sz="4" w:space="0"/>
            </w:tcBorders>
            <w:tcW w:w="704"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843" w:type="dxa"/>
            <w:vAlign w:val="center"/>
            <w:textDirection w:val="lrTb"/>
            <w:noWrap w:val="false"/>
          </w:tcPr>
          <w:p>
            <w:pPr>
              <w:pBdr/>
              <w:spacing/>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69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9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textDirection w:val="lrTb"/>
            <w:noWrap w:val="false"/>
          </w:tcPr>
          <w:p>
            <w:pPr>
              <w:pBdr/>
              <w:spacing/>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692" w:type="dxa"/>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9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r>
      <w:tr>
        <w:trPr>
          <w:trHeight w:val="808"/>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Địa chỉ</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Xã </w:t>
            </w:r>
            <w:r>
              <w:rPr>
                <w:color w:val="000000" w:themeColor="text1"/>
                <w:sz w:val="22"/>
                <w:szCs w:val="22"/>
              </w:rPr>
              <w:t xml:space="preserve">Liên </w:t>
            </w:r>
            <w:r>
              <w:rPr>
                <w:color w:val="000000" w:themeColor="text1"/>
                <w:sz w:val="22"/>
                <w:szCs w:val="22"/>
              </w:rPr>
              <w:t xml:space="preserve">Minh,</w:t>
            </w:r>
            <w:r>
              <w:rPr>
                <w:color w:val="000000" w:themeColor="text1"/>
                <w:sz w:val="22"/>
                <w:szCs w:val="22"/>
              </w:rPr>
              <w:t xml:space="preserve"> Thành phố Hà Nội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pPr>
              <w:pBdr/>
              <w:spacing/>
              <w:ind/>
              <w:rPr/>
            </w:pPr>
            <w:r>
              <w:rPr>
                <w:color w:val="000000" w:themeColor="text1"/>
                <w:sz w:val="22"/>
                <w:szCs w:val="22"/>
              </w:rPr>
              <w:t xml:space="preserve">Xã </w:t>
            </w:r>
            <w:r>
              <w:rPr>
                <w:color w:val="000000" w:themeColor="text1"/>
                <w:sz w:val="22"/>
                <w:szCs w:val="22"/>
              </w:rPr>
              <w:t xml:space="preserve">Liên </w:t>
            </w:r>
            <w:r>
              <w:rPr>
                <w:color w:val="000000" w:themeColor="text1"/>
                <w:sz w:val="22"/>
                <w:szCs w:val="22"/>
              </w:rPr>
              <w:t xml:space="preserve">Minh,</w:t>
            </w:r>
            <w:r>
              <w:rPr>
                <w:color w:val="000000" w:themeColor="text1"/>
                <w:sz w:val="22"/>
                <w:szCs w:val="22"/>
              </w:rPr>
              <w:t xml:space="preserve"> Thành phố Hà Nội</w:t>
            </w:r>
            <w:r>
              <w:rPr>
                <w:sz w:val="22"/>
                <w:szCs w:val="22"/>
              </w:rPr>
            </w:r>
            <w:r/>
          </w:p>
        </w:tc>
        <w:tc>
          <w:tcPr>
            <w:tcBorders>
              <w:top w:val="none" w:color="000000" w:sz="4" w:space="0"/>
              <w:left w:val="none" w:color="000000" w:sz="4" w:space="0"/>
              <w:bottom w:val="single" w:color="auto" w:sz="4" w:space="0"/>
              <w:right w:val="single" w:color="auto" w:sz="4" w:space="0"/>
            </w:tcBorders>
            <w:tcW w:w="1792" w:type="dxa"/>
            <w:vAlign w:val="center"/>
            <w:textDirection w:val="lrTb"/>
            <w:noWrap w:val="false"/>
          </w:tcPr>
          <w:p>
            <w:pPr>
              <w:pBdr/>
              <w:spacing/>
              <w:ind/>
              <w:rPr/>
            </w:pPr>
            <w:r>
              <w:rPr>
                <w:color w:val="000000" w:themeColor="text1"/>
                <w:sz w:val="22"/>
                <w:szCs w:val="22"/>
              </w:rPr>
              <w:t xml:space="preserve">Xã </w:t>
            </w:r>
            <w:r>
              <w:rPr>
                <w:color w:val="000000" w:themeColor="text1"/>
                <w:sz w:val="22"/>
                <w:szCs w:val="22"/>
              </w:rPr>
              <w:t xml:space="preserve">Liên </w:t>
            </w:r>
            <w:r>
              <w:rPr>
                <w:color w:val="000000" w:themeColor="text1"/>
                <w:sz w:val="22"/>
                <w:szCs w:val="22"/>
              </w:rPr>
              <w:t xml:space="preserve">Minh,</w:t>
            </w:r>
            <w:r>
              <w:rPr>
                <w:color w:val="000000" w:themeColor="text1"/>
                <w:sz w:val="22"/>
                <w:szCs w:val="22"/>
              </w:rPr>
              <w:t xml:space="preserve"> Thành phố Hà Nội</w:t>
            </w:r>
            <w:r>
              <w:rPr>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rPr/>
            </w:pPr>
            <w:r>
              <w:rPr>
                <w:color w:val="000000" w:themeColor="text1"/>
                <w:sz w:val="22"/>
                <w:szCs w:val="22"/>
              </w:rPr>
              <w:t xml:space="preserve">Xã </w:t>
            </w:r>
            <w:r>
              <w:rPr>
                <w:color w:val="000000" w:themeColor="text1"/>
                <w:sz w:val="22"/>
                <w:szCs w:val="22"/>
              </w:rPr>
              <w:t xml:space="preserve">Liên </w:t>
            </w:r>
            <w:r>
              <w:rPr>
                <w:color w:val="000000" w:themeColor="text1"/>
                <w:sz w:val="22"/>
                <w:szCs w:val="22"/>
              </w:rPr>
              <w:t xml:space="preserve">Minh,</w:t>
            </w:r>
            <w:r>
              <w:rPr>
                <w:color w:val="000000" w:themeColor="text1"/>
                <w:sz w:val="22"/>
                <w:szCs w:val="22"/>
              </w:rPr>
              <w:t xml:space="preserve"> Thành phố Hà Nội</w:t>
            </w:r>
            <w:r>
              <w:rPr>
                <w:sz w:val="22"/>
                <w:szCs w:val="22"/>
              </w:rPr>
            </w:r>
            <w:r/>
          </w:p>
        </w:tc>
      </w:tr>
      <w:tr>
        <w:trPr>
          <w:trHeight w:val="276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pPr>
              <w:pBdr/>
              <w:spacing/>
              <w:ind/>
              <w:jc w:val="center"/>
              <w:rPr>
                <w:sz w:val="22"/>
                <w:szCs w:val="22"/>
              </w:rPr>
            </w:pPr>
            <w:r>
              <w:rPr>
                <w:color w:val="000000" w:themeColor="text1"/>
                <w:sz w:val="22"/>
                <w:szCs w:val="22"/>
              </w:rPr>
              <w:t xml:space="preserve">L</w:t>
            </w:r>
            <w:r>
              <w:rPr>
                <w:color w:val="000000" w:themeColor="text1"/>
                <w:sz w:val="22"/>
                <w:szCs w:val="22"/>
              </w:rPr>
              <w:t xml:space="preserve">iên hệ trực tiếp</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92" w:type="dxa"/>
            <w:vAlign w:val="center"/>
            <w:textDirection w:val="lrTb"/>
            <w:noWrap w:val="false"/>
          </w:tcPr>
          <w:p>
            <w:pPr>
              <w:pBdr/>
              <w:spacing/>
              <w:ind/>
              <w:jc w:val="center"/>
              <w:rPr>
                <w:sz w:val="22"/>
                <w:szCs w:val="22"/>
              </w:rPr>
            </w:pPr>
            <w:r>
              <w:rPr>
                <w:color w:val="000000" w:themeColor="text1"/>
                <w:sz w:val="22"/>
                <w:szCs w:val="22"/>
              </w:rPr>
              <w:t xml:space="preserve">L</w:t>
            </w:r>
            <w:r>
              <w:rPr>
                <w:color w:val="000000" w:themeColor="text1"/>
                <w:sz w:val="22"/>
                <w:szCs w:val="22"/>
              </w:rPr>
              <w:t xml:space="preserve">iên hệ trực tiếp</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https://www.facebook.com/groups/1661244883976693/permalink/26219237547750752/?rdid=jRB5kfmeJNEaXHnA&amp;share_url=https%3A%2F%2Fwww.facebook.com%2Fshare%2Fp%2F1bYSsFJRvN%2F#</w:t>
            </w:r>
            <w:r>
              <w:rPr>
                <w:sz w:val="22"/>
                <w:szCs w:val="22"/>
              </w:rPr>
            </w:r>
            <w:r>
              <w:rPr>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Thông tin liên lạc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pPr>
              <w:pBdr/>
              <w:spacing/>
              <w:ind/>
              <w:jc w:val="center"/>
              <w:rPr>
                <w:sz w:val="22"/>
                <w:szCs w:val="22"/>
              </w:rPr>
            </w:pPr>
            <w:r>
              <w:rPr>
                <w:color w:val="000000" w:themeColor="text1"/>
                <w:sz w:val="22"/>
                <w:szCs w:val="22"/>
              </w:rPr>
              <w:t xml:space="preserve">0986984265</w:t>
            </w:r>
            <w:r>
              <w:rPr>
                <w:sz w:val="22"/>
                <w:szCs w:val="22"/>
              </w:rPr>
              <w:t xml:space="preserve"> </w:t>
            </w:r>
            <w:r>
              <w:rPr>
                <w:sz w:val="22"/>
                <w:szCs w:val="22"/>
              </w:rPr>
              <w:br/>
              <w:t xml:space="preserve">(</w:t>
            </w:r>
            <w:r>
              <w:rPr>
                <w:sz w:val="22"/>
                <w:szCs w:val="22"/>
              </w:rPr>
              <w:t xml:space="preserve">Trần Thúy</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92" w:type="dxa"/>
            <w:vAlign w:val="center"/>
            <w:textDirection w:val="lrTb"/>
            <w:noWrap w:val="false"/>
          </w:tcPr>
          <w:p>
            <w:pPr>
              <w:pBdr/>
              <w:spacing/>
              <w:ind/>
              <w:jc w:val="center"/>
              <w:rPr>
                <w:sz w:val="22"/>
                <w:szCs w:val="22"/>
              </w:rPr>
            </w:pPr>
            <w:r>
              <w:rPr>
                <w:color w:val="000000" w:themeColor="text1"/>
                <w:sz w:val="22"/>
                <w:szCs w:val="22"/>
              </w:rPr>
              <w:t xml:space="preserve">0986984265</w:t>
            </w:r>
            <w:r>
              <w:rPr>
                <w:sz w:val="22"/>
                <w:szCs w:val="22"/>
              </w:rPr>
              <w:br/>
            </w:r>
            <w:r>
              <w:rPr>
                <w:sz w:val="22"/>
                <w:szCs w:val="22"/>
              </w:rPr>
              <w:t xml:space="preserve">(</w:t>
            </w:r>
            <w:r>
              <w:rPr>
                <w:sz w:val="22"/>
                <w:szCs w:val="22"/>
              </w:rPr>
              <w:t xml:space="preserve">Trần Thúy</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0814143999</w:t>
            </w:r>
            <w:r>
              <w:rPr>
                <w:sz w:val="22"/>
                <w:szCs w:val="22"/>
              </w:rPr>
              <w:br/>
            </w:r>
            <w:r>
              <w:rPr>
                <w:sz w:val="22"/>
                <w:szCs w:val="22"/>
              </w:rPr>
              <w:t xml:space="preserve">(Minh Châu</w:t>
            </w:r>
            <w:r>
              <w:rPr>
                <w:sz w:val="22"/>
                <w:szCs w:val="22"/>
              </w:rPr>
              <w:t xml:space="preserve">)</w:t>
            </w:r>
            <w:r>
              <w:rPr>
                <w:sz w:val="22"/>
                <w:szCs w:val="22"/>
              </w:rPr>
            </w:r>
            <w:r>
              <w:rPr>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Đang giao dịch  </w:t>
            </w:r>
            <w:r/>
          </w:p>
        </w:tc>
        <w:tc>
          <w:tcPr>
            <w:tcBorders>
              <w:top w:val="none" w:color="000000" w:sz="4" w:space="0"/>
              <w:left w:val="none" w:color="000000" w:sz="4" w:space="0"/>
              <w:bottom w:val="single" w:color="auto" w:sz="4" w:space="0"/>
              <w:right w:val="single" w:color="auto" w:sz="4" w:space="0"/>
            </w:tcBorders>
            <w:tcW w:w="179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Đang giao dịch  </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Đang giao dịch  </w:t>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w:t>
            </w:r>
            <w:r>
              <w:rPr>
                <w:color w:val="000000" w:themeColor="text1"/>
                <w:sz w:val="22"/>
                <w:szCs w:val="22"/>
              </w:rPr>
              <w:t xml:space="preserve">7</w:t>
            </w:r>
            <w:r>
              <w:rPr>
                <w:color w:val="000000" w:themeColor="text1"/>
                <w:sz w:val="22"/>
                <w:szCs w:val="22"/>
              </w:rPr>
              <w:t xml:space="preserve">/2026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9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w:t>
            </w:r>
            <w:r>
              <w:rPr>
                <w:color w:val="000000" w:themeColor="text1"/>
                <w:sz w:val="22"/>
                <w:szCs w:val="22"/>
              </w:rPr>
              <w:t xml:space="preserve">7</w:t>
            </w:r>
            <w:r>
              <w:rPr>
                <w:color w:val="000000" w:themeColor="text1"/>
                <w:sz w:val="22"/>
                <w:szCs w:val="22"/>
              </w:rPr>
              <w:t xml:space="preserve">/2026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w:t>
            </w:r>
            <w:r>
              <w:rPr>
                <w:color w:val="000000" w:themeColor="text1"/>
                <w:sz w:val="22"/>
                <w:szCs w:val="22"/>
              </w:rPr>
              <w:t xml:space="preserve">7</w:t>
            </w:r>
            <w:r>
              <w:rPr>
                <w:color w:val="000000" w:themeColor="text1"/>
                <w:sz w:val="22"/>
                <w:szCs w:val="22"/>
              </w:rPr>
              <w:t xml:space="preserve">/2026</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Có Giấy chứng nhận Quyền sử dụng đất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pPr>
              <w:pBdr/>
              <w:spacing/>
              <w:ind/>
              <w:jc w:val="center"/>
              <w:rPr>
                <w:color w:val="000000"/>
                <w:sz w:val="22"/>
                <w:szCs w:val="22"/>
              </w:rPr>
            </w:pPr>
            <w:r>
              <w:rPr>
                <w:color w:val="000000" w:themeColor="text1"/>
                <w:sz w:val="22"/>
                <w:szCs w:val="22"/>
              </w:rPr>
              <w:t xml:space="preserve">Có Giấy chứng nhận Quyền sử dụng đất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92" w:type="dxa"/>
            <w:vAlign w:val="center"/>
            <w:textDirection w:val="lrTb"/>
            <w:noWrap w:val="false"/>
          </w:tcPr>
          <w:p>
            <w:pPr>
              <w:pBdr/>
              <w:spacing/>
              <w:ind/>
              <w:jc w:val="center"/>
              <w:rPr>
                <w:color w:val="000000"/>
                <w:sz w:val="22"/>
                <w:szCs w:val="22"/>
              </w:rPr>
            </w:pPr>
            <w:r>
              <w:rPr>
                <w:color w:val="000000" w:themeColor="text1"/>
                <w:sz w:val="22"/>
                <w:szCs w:val="22"/>
              </w:rPr>
              <w:t xml:space="preserve">Có Giấy chứng nhận Quyền sử dụng đất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Có Giấy chứng nhận Quyền sử dụng đất </w:t>
            </w:r>
            <w:r>
              <w:rPr>
                <w:color w:val="000000"/>
                <w:sz w:val="22"/>
                <w:szCs w:val="22"/>
              </w:rPr>
            </w:r>
            <w:r>
              <w:rPr>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vMerge w:val="restart"/>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Đất ở nông thôn: 180m², Đất trồng cây hàng năm khác: 280,1m²</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692" w:type="dxa"/>
            <w:vAlign w:val="center"/>
            <w:vMerge w:val="restart"/>
            <w:textDirection w:val="lrTb"/>
            <w:noWrap w:val="false"/>
          </w:tcPr>
          <w:p>
            <w:pPr>
              <w:pBdr/>
              <w:spacing/>
              <w:ind/>
              <w:jc w:val="center"/>
              <w:rPr/>
            </w:pPr>
            <w:r>
              <w:rPr>
                <w:color w:val="000000" w:themeColor="text1"/>
                <w:sz w:val="22"/>
                <w:szCs w:val="22"/>
              </w:rPr>
              <w:t xml:space="preserve">Đất ở nông thôn: 1</w:t>
            </w:r>
            <w:r>
              <w:rPr>
                <w:color w:val="000000" w:themeColor="text1"/>
                <w:sz w:val="22"/>
                <w:szCs w:val="22"/>
              </w:rPr>
              <w:t xml:space="preserve">44</w:t>
            </w:r>
            <w:r>
              <w:rPr>
                <w:color w:val="000000" w:themeColor="text1"/>
                <w:sz w:val="22"/>
                <w:szCs w:val="22"/>
              </w:rPr>
              <w:t xml:space="preserve">m², Đất trồng cây lâu năm khác: 2</w:t>
            </w:r>
            <w:r>
              <w:rPr>
                <w:color w:val="000000" w:themeColor="text1"/>
                <w:sz w:val="22"/>
                <w:szCs w:val="22"/>
              </w:rPr>
              <w:t xml:space="preserve">16</w:t>
            </w:r>
            <w:r>
              <w:rPr>
                <w:color w:val="000000" w:themeColor="text1"/>
                <w:sz w:val="22"/>
                <w:szCs w:val="22"/>
              </w:rPr>
              <w:t xml:space="preserve">,</w:t>
            </w:r>
            <w:r>
              <w:rPr>
                <w:color w:val="000000" w:themeColor="text1"/>
                <w:sz w:val="22"/>
                <w:szCs w:val="22"/>
              </w:rPr>
              <w:t xml:space="preserve">8</w:t>
            </w:r>
            <w:r>
              <w:rPr>
                <w:color w:val="000000" w:themeColor="text1"/>
                <w:sz w:val="22"/>
                <w:szCs w:val="22"/>
              </w:rPr>
              <w:t xml:space="preserve">m²</w:t>
            </w:r>
            <w:r>
              <w:rPr>
                <w:color w:val="000000"/>
                <w:sz w:val="22"/>
                <w:szCs w:val="22"/>
              </w:rPr>
            </w:r>
            <w:r/>
          </w:p>
        </w:tc>
        <w:tc>
          <w:tcPr>
            <w:tcBorders>
              <w:top w:val="none" w:color="000000" w:sz="4" w:space="0"/>
              <w:left w:val="none" w:color="000000" w:sz="4" w:space="0"/>
              <w:bottom w:val="single" w:color="000000" w:sz="4" w:space="0"/>
              <w:right w:val="single" w:color="000000" w:sz="4" w:space="0"/>
            </w:tcBorders>
            <w:tcW w:w="1792" w:type="dxa"/>
            <w:vAlign w:val="center"/>
            <w:vMerge w:val="restart"/>
            <w:textDirection w:val="lrTb"/>
            <w:noWrap w:val="false"/>
          </w:tcPr>
          <w:p>
            <w:pPr>
              <w:pBdr/>
              <w:spacing/>
              <w:ind/>
              <w:jc w:val="center"/>
              <w:rPr/>
            </w:pPr>
            <w:r>
              <w:rPr>
                <w:color w:val="000000" w:themeColor="text1"/>
                <w:sz w:val="22"/>
                <w:szCs w:val="22"/>
              </w:rPr>
              <w:t xml:space="preserve">Đất ở nông thôn: </w:t>
            </w:r>
            <w:r>
              <w:rPr>
                <w:color w:val="000000" w:themeColor="text1"/>
                <w:sz w:val="22"/>
                <w:szCs w:val="22"/>
              </w:rPr>
              <w:t xml:space="preserve">85</w:t>
            </w:r>
            <w:r>
              <w:rPr>
                <w:color w:val="000000" w:themeColor="text1"/>
                <w:sz w:val="22"/>
                <w:szCs w:val="22"/>
              </w:rPr>
              <w:t xml:space="preserve">m², Đất trồng cây lâu năm khác: </w:t>
            </w:r>
            <w:r>
              <w:rPr>
                <w:color w:val="000000" w:themeColor="text1"/>
                <w:sz w:val="22"/>
                <w:szCs w:val="22"/>
              </w:rPr>
              <w:t xml:space="preserve">56,</w:t>
            </w:r>
            <w:r>
              <w:rPr>
                <w:color w:val="000000" w:themeColor="text1"/>
                <w:sz w:val="22"/>
                <w:szCs w:val="22"/>
              </w:rPr>
              <w:t xml:space="preserve">7</w:t>
            </w:r>
            <w:r>
              <w:rPr>
                <w:color w:val="000000" w:themeColor="text1"/>
                <w:sz w:val="22"/>
                <w:szCs w:val="22"/>
              </w:rPr>
              <w:t xml:space="preserve">m²</w:t>
            </w:r>
            <w:r>
              <w:rPr>
                <w:color w:val="000000"/>
                <w:sz w:val="22"/>
                <w:szCs w:val="22"/>
              </w:rPr>
            </w: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pPr>
            <w:r>
              <w:rPr>
                <w:color w:val="000000" w:themeColor="text1"/>
                <w:sz w:val="22"/>
                <w:szCs w:val="22"/>
              </w:rPr>
              <w:t xml:space="preserve">Đất ở nông thôn: </w:t>
            </w:r>
            <w:r>
              <w:rPr>
                <w:color w:val="000000" w:themeColor="text1"/>
                <w:sz w:val="22"/>
                <w:szCs w:val="22"/>
              </w:rPr>
              <w:t xml:space="preserve">99m</w:t>
            </w:r>
            <w:r>
              <w:rPr>
                <w:color w:val="000000" w:themeColor="text1"/>
                <w:sz w:val="22"/>
                <w:szCs w:val="22"/>
              </w:rPr>
              <w:t xml:space="preserve">²</w:t>
            </w:r>
            <w:r>
              <w:rPr>
                <w:color w:val="000000"/>
                <w:sz w:val="22"/>
                <w:szCs w:val="22"/>
              </w:rPr>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Thời </w:t>
            </w:r>
            <w:r>
              <w:rPr>
                <w:color w:val="000000" w:themeColor="text1"/>
                <w:sz w:val="22"/>
                <w:szCs w:val="22"/>
              </w:rPr>
              <w:t xml:space="preserve">hạn</w:t>
            </w:r>
            <w:r>
              <w:rPr>
                <w:color w:val="000000" w:themeColor="text1"/>
                <w:sz w:val="22"/>
                <w:szCs w:val="22"/>
              </w:rPr>
              <w:t xml:space="preserve">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
              <w:rPr>
                <w:color w:val="000000" w:themeColor="text1"/>
                <w:sz w:val="22"/>
                <w:szCs w:val="22"/>
              </w:rPr>
              <w:t xml:space="preserve">Đất ở nông thôn</w:t>
            </w:r>
            <w:r>
              <w:t xml:space="preserve">: Lâu dài; Đất trồng cây hàng năm: Có thời hạn</w:t>
            </w: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pPr>
              <w:pBdr/>
              <w:spacing/>
              <w:ind/>
              <w:jc w:val="center"/>
              <w:rPr/>
            </w:pPr>
            <w:r/>
            <w:r/>
            <w:r>
              <w:rPr>
                <w:color w:val="000000" w:themeColor="text1"/>
                <w:sz w:val="22"/>
                <w:szCs w:val="22"/>
              </w:rPr>
              <w:t xml:space="preserve">Đất ở nông thôn</w:t>
            </w:r>
            <w:r>
              <w:t xml:space="preserve">: Lâu dài; Đất trồng cây lâu năm: Có thời hạn</w:t>
            </w:r>
            <w:r/>
            <w:r/>
          </w:p>
        </w:tc>
        <w:tc>
          <w:tcPr>
            <w:tcBorders>
              <w:top w:val="none" w:color="000000" w:sz="4" w:space="0"/>
              <w:left w:val="none" w:color="000000" w:sz="4" w:space="0"/>
              <w:bottom w:val="single" w:color="auto" w:sz="4" w:space="0"/>
              <w:right w:val="single" w:color="auto" w:sz="4" w:space="0"/>
            </w:tcBorders>
            <w:tcW w:w="1792" w:type="dxa"/>
            <w:vAlign w:val="center"/>
            <w:textDirection w:val="lrTb"/>
            <w:noWrap w:val="false"/>
          </w:tcPr>
          <w:p>
            <w:pPr>
              <w:pBdr/>
              <w:spacing/>
              <w:ind/>
              <w:jc w:val="center"/>
              <w:rPr/>
            </w:pPr>
            <w:r/>
            <w:r/>
            <w:r>
              <w:rPr>
                <w:color w:val="000000" w:themeColor="text1"/>
                <w:sz w:val="22"/>
                <w:szCs w:val="22"/>
              </w:rPr>
              <w:t xml:space="preserve">Đất ở nông thôn</w:t>
            </w:r>
            <w:r>
              <w:t xml:space="preserve">: Lâu dài; Đất trồng cây lâu năm: Có thời hạn</w:t>
            </w: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Lâu dài</w:t>
            </w:r>
            <w:r>
              <w:rPr>
                <w:color w:val="000000"/>
                <w:sz w:val="22"/>
                <w:szCs w:val="22"/>
                <w:highlight w:val="white"/>
              </w:rPr>
            </w:r>
            <w:r>
              <w:rPr>
                <w:color w:val="000000"/>
                <w:sz w:val="22"/>
                <w:szCs w:val="22"/>
                <w:highlight w:val="white"/>
              </w:rPr>
            </w:r>
          </w:p>
        </w:tc>
      </w:tr>
      <w:tr>
        <w:trPr>
          <w:trHeight w:val="494"/>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cách mặt đường DT417 khoảng 800m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cách mặt đường DT417 khoảng 2300m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9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cách </w:t>
            </w:r>
            <w:r>
              <w:rPr>
                <w:color w:val="000000" w:themeColor="text1"/>
                <w:sz w:val="22"/>
                <w:szCs w:val="22"/>
              </w:rPr>
              <w:t xml:space="preserve">mặt </w:t>
            </w:r>
            <w:r>
              <w:rPr>
                <w:color w:val="000000" w:themeColor="text1"/>
                <w:sz w:val="22"/>
                <w:szCs w:val="22"/>
              </w:rPr>
              <w:t xml:space="preserve">đường </w:t>
            </w:r>
            <w:r>
              <w:rPr>
                <w:color w:val="000000" w:themeColor="text1"/>
                <w:sz w:val="22"/>
                <w:szCs w:val="22"/>
              </w:rPr>
              <w:t xml:space="preserve">DT417</w:t>
            </w:r>
            <w:r>
              <w:rPr>
                <w:color w:val="000000" w:themeColor="text1"/>
                <w:sz w:val="22"/>
                <w:szCs w:val="22"/>
              </w:rPr>
              <w:t xml:space="preserve"> khoảng 200m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cách </w:t>
            </w:r>
            <w:r>
              <w:rPr>
                <w:color w:val="000000" w:themeColor="text1"/>
                <w:sz w:val="22"/>
                <w:szCs w:val="22"/>
              </w:rPr>
              <w:t xml:space="preserve">mặt</w:t>
            </w:r>
            <w:r>
              <w:rPr>
                <w:color w:val="000000" w:themeColor="text1"/>
                <w:sz w:val="22"/>
                <w:szCs w:val="22"/>
              </w:rPr>
              <w:t xml:space="preserve"> đường </w:t>
            </w:r>
            <w:r>
              <w:rPr>
                <w:color w:val="000000" w:themeColor="text1"/>
                <w:sz w:val="22"/>
                <w:szCs w:val="22"/>
              </w:rPr>
              <w:t xml:space="preserve">DT417</w:t>
            </w:r>
            <w:r>
              <w:rPr>
                <w:color w:val="000000" w:themeColor="text1"/>
                <w:sz w:val="22"/>
                <w:szCs w:val="22"/>
              </w:rPr>
              <w:t xml:space="preserve"> khoảng 400m </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92"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pPr>
              <w:pBdr/>
              <w:spacing/>
              <w:ind/>
              <w:jc w:val="center"/>
              <w:rPr>
                <w:color w:val="000000"/>
                <w:sz w:val="22"/>
                <w:szCs w:val="22"/>
              </w:rPr>
            </w:pPr>
            <w:r>
              <w:rPr>
                <w:color w:val="000000" w:themeColor="text1"/>
                <w:sz w:val="22"/>
                <w:szCs w:val="22"/>
              </w:rPr>
              <w:t xml:space="preserve">3,5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92" w:type="dxa"/>
            <w:vAlign w:val="center"/>
            <w:textDirection w:val="lrTb"/>
            <w:noWrap w:val="false"/>
          </w:tcPr>
          <w:p>
            <w:pPr>
              <w:pBdr/>
              <w:spacing/>
              <w:ind/>
              <w:jc w:val="center"/>
              <w:rPr>
                <w:color w:val="000000"/>
                <w:sz w:val="22"/>
                <w:szCs w:val="22"/>
              </w:rPr>
            </w:pPr>
            <w:r>
              <w:rPr>
                <w:color w:val="000000" w:themeColor="text1"/>
                <w:sz w:val="22"/>
                <w:szCs w:val="22"/>
              </w:rPr>
              <w:t xml:space="preserve">3,5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460,1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pPr>
              <w:pBdr/>
              <w:spacing/>
              <w:ind/>
              <w:jc w:val="center"/>
              <w:rPr>
                <w:color w:val="000000"/>
                <w:sz w:val="22"/>
                <w:szCs w:val="22"/>
              </w:rPr>
            </w:pPr>
            <w:r>
              <w:rPr>
                <w:color w:val="000000" w:themeColor="text1"/>
                <w:sz w:val="22"/>
                <w:szCs w:val="22"/>
              </w:rPr>
              <w:t xml:space="preserve">360,8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92" w:type="dxa"/>
            <w:vAlign w:val="center"/>
            <w:textDirection w:val="lrTb"/>
            <w:noWrap w:val="false"/>
          </w:tcPr>
          <w:p>
            <w:pPr>
              <w:pBdr/>
              <w:spacing/>
              <w:ind/>
              <w:jc w:val="center"/>
              <w:rPr>
                <w:color w:val="000000"/>
                <w:sz w:val="22"/>
                <w:szCs w:val="22"/>
              </w:rPr>
            </w:pPr>
            <w:r>
              <w:rPr>
                <w:color w:val="000000" w:themeColor="text1"/>
                <w:sz w:val="22"/>
                <w:szCs w:val="22"/>
              </w:rPr>
              <w:t xml:space="preserve">141,7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99</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22,88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pPr>
              <w:pBdr/>
              <w:spacing/>
              <w:ind/>
              <w:jc w:val="center"/>
              <w:rPr>
                <w:color w:val="000000"/>
                <w:sz w:val="22"/>
                <w:szCs w:val="22"/>
              </w:rPr>
            </w:pPr>
            <w:r>
              <w:rPr>
                <w:color w:val="000000" w:themeColor="text1"/>
                <w:sz w:val="22"/>
                <w:szCs w:val="22"/>
              </w:rPr>
              <w:t xml:space="preserve">12,5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92" w:type="dxa"/>
            <w:vAlign w:val="center"/>
            <w:textDirection w:val="lrTb"/>
            <w:noWrap w:val="false"/>
          </w:tcPr>
          <w:p>
            <w:pPr>
              <w:pBdr/>
              <w:spacing/>
              <w:ind/>
              <w:jc w:val="center"/>
              <w:rPr>
                <w:color w:val="000000"/>
                <w:sz w:val="22"/>
                <w:szCs w:val="22"/>
              </w:rPr>
            </w:pPr>
            <w:r>
              <w:rPr>
                <w:color w:val="000000" w:themeColor="text1"/>
                <w:sz w:val="22"/>
                <w:szCs w:val="22"/>
              </w:rPr>
              <w:t xml:space="preserve">4,47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9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đối vuông vức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9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Bất lợi thương mại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Ngõ </w:t>
            </w:r>
            <w:r>
              <w:rPr>
                <w:color w:val="000000" w:themeColor="text1"/>
                <w:sz w:val="22"/>
                <w:szCs w:val="22"/>
              </w:rPr>
              <w:t xml:space="preserve">cụt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pPr>
              <w:pBdr/>
              <w:spacing/>
              <w:ind/>
              <w:jc w:val="center"/>
              <w:rPr>
                <w:color w:val="000000"/>
                <w:sz w:val="22"/>
                <w:szCs w:val="22"/>
              </w:rPr>
            </w:pPr>
            <w:r>
              <w:rPr>
                <w:color w:val="000000" w:themeColor="text1"/>
                <w:sz w:val="22"/>
                <w:szCs w:val="22"/>
              </w:rPr>
              <w:t xml:space="preserve">Ngõ </w:t>
            </w:r>
            <w:r>
              <w:rPr>
                <w:color w:val="000000" w:themeColor="text1"/>
                <w:sz w:val="22"/>
                <w:szCs w:val="22"/>
              </w:rPr>
              <w:t xml:space="preserve">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92" w:type="dxa"/>
            <w:vAlign w:val="center"/>
            <w:textDirection w:val="lrTb"/>
            <w:noWrap w:val="false"/>
          </w:tcPr>
          <w:p>
            <w:pPr>
              <w:pBdr/>
              <w:spacing/>
              <w:ind/>
              <w:jc w:val="center"/>
              <w:rPr>
                <w:color w:val="000000"/>
                <w:sz w:val="22"/>
                <w:szCs w:val="22"/>
              </w:rPr>
            </w:pPr>
            <w:r>
              <w:rPr>
                <w:color w:val="000000" w:themeColor="text1"/>
                <w:sz w:val="22"/>
                <w:szCs w:val="22"/>
              </w:rPr>
              <w:t xml:space="preserve">Ngõ </w:t>
            </w:r>
            <w:r>
              <w:rPr>
                <w:color w:val="000000" w:themeColor="text1"/>
                <w:sz w:val="22"/>
                <w:szCs w:val="22"/>
              </w:rPr>
              <w:t xml:space="preserve">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Ngõ </w:t>
            </w:r>
            <w:r>
              <w:rPr>
                <w:color w:val="000000" w:themeColor="text1"/>
                <w:sz w:val="22"/>
                <w:szCs w:val="22"/>
              </w:rPr>
              <w:t xml:space="preserve">thông</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r>
            <w:r>
              <w:rPr>
                <w:rFonts w:ascii="Times New Roman" w:hAnsi="Times New Roman" w:eastAsia="Times New Roman" w:cs="Times New Roman"/>
                <w:color w:val="000000"/>
                <w:sz w:val="22"/>
              </w:rPr>
              <w:t xml:space="preserve">Tỉ lệ đất ở/Tổng diện tích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w:t>
            </w:r>
            <w:r>
              <w:rPr>
                <w:color w:val="000000" w:themeColor="text1"/>
                <w:sz w:val="22"/>
                <w:szCs w:val="22"/>
              </w:rPr>
              <w:t xml:space="preserve">39,</w:t>
            </w: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pPr>
              <w:pBdr/>
              <w:spacing/>
              <w:ind/>
              <w:jc w:val="center"/>
              <w:rPr>
                <w:color w:val="000000"/>
                <w:sz w:val="22"/>
                <w:szCs w:val="22"/>
              </w:rPr>
            </w:pPr>
            <w:r>
              <w:rPr>
                <w:color w:val="000000" w:themeColor="text1"/>
                <w:sz w:val="22"/>
                <w:szCs w:val="22"/>
              </w:rPr>
              <w:t xml:space="preserve">~</w:t>
            </w:r>
            <w:r>
              <w:rPr>
                <w:color w:val="000000" w:themeColor="text1"/>
                <w:sz w:val="22"/>
                <w:szCs w:val="22"/>
              </w:rPr>
              <w:t xml:space="preserve">39,</w:t>
            </w:r>
            <w:r>
              <w:rPr>
                <w:color w:val="000000" w:themeColor="text1"/>
                <w:sz w:val="22"/>
                <w:szCs w:val="22"/>
              </w:rPr>
              <w:t xml:space="preserve">91%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92" w:type="dxa"/>
            <w:vAlign w:val="center"/>
            <w:textDirection w:val="lrTb"/>
            <w:noWrap w:val="false"/>
          </w:tcPr>
          <w:p>
            <w:pPr>
              <w:pBdr/>
              <w:spacing/>
              <w:ind/>
              <w:jc w:val="center"/>
              <w:rPr>
                <w:color w:val="000000"/>
                <w:sz w:val="22"/>
                <w:szCs w:val="22"/>
              </w:rPr>
            </w:pPr>
            <w:r>
              <w:rPr>
                <w:color w:val="000000" w:themeColor="text1"/>
                <w:sz w:val="22"/>
                <w:szCs w:val="22"/>
              </w:rPr>
              <w:t xml:space="preserve">~</w:t>
            </w:r>
            <w:r>
              <w:rPr>
                <w:color w:val="000000" w:themeColor="text1"/>
                <w:sz w:val="22"/>
                <w:szCs w:val="22"/>
              </w:rPr>
              <w:t xml:space="preserve">60</w:t>
            </w:r>
            <w:r>
              <w:rPr>
                <w:color w:val="000000" w:themeColor="text1"/>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100%</w:t>
            </w:r>
            <w:r>
              <w:rPr>
                <w:color w:val="000000"/>
                <w:sz w:val="22"/>
                <w:szCs w:val="22"/>
              </w:rPr>
            </w:r>
            <w:r>
              <w:rPr>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pPr>
              <w:pBdr/>
              <w:spacing/>
              <w:ind/>
              <w:jc w:val="center"/>
              <w:rPr>
                <w:color w:val="000000" w:themeColor="text1"/>
                <w:sz w:val="22"/>
                <w:szCs w:val="22"/>
              </w:rPr>
            </w:pPr>
            <w:r>
              <w:rPr>
                <w:color w:val="000000" w:themeColor="text1"/>
                <w:sz w:val="22"/>
                <w:szCs w:val="22"/>
              </w:rPr>
              <w:t xml:space="preserve">17</w:t>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vMerge w:val="restart"/>
            <w:textDirection w:val="lrTb"/>
            <w:noWrap w:val="false"/>
          </w:tcPr>
          <w:p>
            <w:pPr>
              <w:pBdr/>
              <w:spacing/>
              <w:ind/>
              <w:rPr>
                <w:color w:val="000000" w:themeColor="text1"/>
                <w:sz w:val="22"/>
                <w:szCs w:val="22"/>
              </w:rPr>
            </w:pPr>
            <w:r>
              <w:rPr>
                <w:color w:val="000000" w:themeColor="text1"/>
                <w:sz w:val="22"/>
                <w:szCs w:val="22"/>
              </w:rPr>
              <w:t xml:space="preserve">Tài sản trên đất</w:t>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69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Đất trống</w:t>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9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Đất trống</w:t>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Đất trống</w:t>
            </w:r>
            <w:r>
              <w:rPr>
                <w:color w:val="000000" w:themeColor="text1"/>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r>
            <w:r>
              <w:rPr>
                <w:color w:val="000000" w:themeColor="text1"/>
                <w:sz w:val="22"/>
                <w:szCs w:val="22"/>
              </w:rPr>
              <w:t xml:space="preserve">18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Giá rao (đồng)</w:t>
            </w:r>
            <w:r>
              <w:rPr>
                <w:color w:val="000000"/>
                <w:sz w:val="22"/>
                <w:szCs w:val="22"/>
              </w:rPr>
            </w: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pPr>
              <w:pBdr/>
              <w:spacing/>
              <w:ind/>
              <w:jc w:val="center"/>
              <w:rPr>
                <w:color w:val="000000"/>
                <w:sz w:val="22"/>
                <w:szCs w:val="22"/>
              </w:rPr>
            </w:pPr>
            <w:r>
              <w:rPr>
                <w:color w:val="000000" w:themeColor="text1"/>
                <w:sz w:val="22"/>
                <w:szCs w:val="22"/>
              </w:rPr>
              <w:t xml:space="preserve">9.020.000.000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92" w:type="dxa"/>
            <w:vAlign w:val="center"/>
            <w:textDirection w:val="lrTb"/>
            <w:noWrap w:val="false"/>
          </w:tcPr>
          <w:p>
            <w:pPr>
              <w:pBdr/>
              <w:spacing/>
              <w:ind/>
              <w:jc w:val="center"/>
              <w:rPr>
                <w:color w:val="000000"/>
                <w:sz w:val="22"/>
                <w:szCs w:val="22"/>
              </w:rPr>
            </w:pPr>
            <w:r>
              <w:rPr>
                <w:color w:val="000000" w:themeColor="text1"/>
                <w:sz w:val="22"/>
                <w:szCs w:val="22"/>
              </w:rPr>
              <w:t xml:space="preserve">4.143.000.000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2.700.000.000</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19</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Giá thương lượng/bán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pPr>
              <w:pBdr/>
              <w:spacing/>
              <w:ind/>
              <w:jc w:val="center"/>
              <w:rPr>
                <w:color w:val="000000"/>
                <w:sz w:val="22"/>
                <w:szCs w:val="22"/>
              </w:rPr>
            </w:pPr>
            <w:r>
              <w:rPr>
                <w:color w:val="000000" w:themeColor="text1"/>
                <w:sz w:val="22"/>
                <w:szCs w:val="22"/>
              </w:rPr>
              <w:t xml:space="preserve">8.118.000.000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92" w:type="dxa"/>
            <w:vAlign w:val="center"/>
            <w:textDirection w:val="lrTb"/>
            <w:noWrap w:val="false"/>
          </w:tcPr>
          <w:p>
            <w:pPr>
              <w:pBdr/>
              <w:spacing/>
              <w:ind/>
              <w:jc w:val="center"/>
              <w:rPr>
                <w:color w:val="000000"/>
                <w:sz w:val="22"/>
                <w:szCs w:val="22"/>
              </w:rPr>
            </w:pPr>
            <w:r>
              <w:rPr>
                <w:color w:val="000000" w:themeColor="text1"/>
                <w:sz w:val="22"/>
                <w:szCs w:val="22"/>
              </w:rPr>
              <w:t xml:space="preserve">3.728.700.000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2.430.000.000</w:t>
            </w:r>
            <w:r>
              <w:rPr>
                <w:color w:val="000000"/>
                <w:sz w:val="22"/>
                <w:szCs w:val="22"/>
              </w:rPr>
            </w:r>
            <w:r>
              <w:rPr>
                <w:color w:val="000000"/>
                <w:sz w:val="22"/>
                <w:szCs w:val="22"/>
              </w:rPr>
            </w:r>
          </w:p>
        </w:tc>
      </w:tr>
      <w:tr>
        <w:trPr>
          <w:trHeight w:val="315"/>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Chi tiết tính toán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9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1</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 trị tài sản trên đất (đồng)</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92"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2</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 trị đất (đồng)</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pPr>
              <w:pBdr/>
              <w:spacing/>
              <w:ind/>
              <w:jc w:val="center"/>
              <w:rPr>
                <w:color w:val="000000"/>
                <w:sz w:val="22"/>
                <w:szCs w:val="22"/>
              </w:rPr>
            </w:pPr>
            <w:r>
              <w:rPr>
                <w:color w:val="000000" w:themeColor="text1"/>
                <w:sz w:val="22"/>
                <w:szCs w:val="22"/>
              </w:rPr>
              <w:t xml:space="preserve">8.118.000.000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92" w:type="dxa"/>
            <w:vAlign w:val="center"/>
            <w:textDirection w:val="lrTb"/>
            <w:noWrap w:val="false"/>
          </w:tcPr>
          <w:p>
            <w:pPr>
              <w:pBdr/>
              <w:spacing/>
              <w:ind/>
              <w:jc w:val="center"/>
              <w:rPr>
                <w:color w:val="000000"/>
                <w:sz w:val="22"/>
                <w:szCs w:val="22"/>
              </w:rPr>
            </w:pPr>
            <w:r>
              <w:rPr>
                <w:color w:val="000000" w:themeColor="text1"/>
                <w:sz w:val="22"/>
                <w:szCs w:val="22"/>
              </w:rPr>
              <w:t xml:space="preserve">3.728.700.000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2.430.000.000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3</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Đơn giá QSDĐ (đồng/m²)</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tcPr>
          <w:p>
            <w:pPr>
              <w:pBdr/>
              <w:spacing/>
              <w:ind/>
              <w:jc w:val="center"/>
              <w:rPr>
                <w:color w:val="000000"/>
                <w:sz w:val="22"/>
                <w:szCs w:val="22"/>
              </w:rPr>
            </w:pPr>
            <w:r>
              <w:rPr>
                <w:color w:val="000000" w:themeColor="text1"/>
                <w:sz w:val="22"/>
                <w:szCs w:val="22"/>
              </w:rPr>
              <w:t xml:space="preserve">22.500.000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92" w:type="dxa"/>
            <w:vAlign w:val="center"/>
            <w:textDirection w:val="lrTb"/>
            <w:noWrap/>
          </w:tcPr>
          <w:p>
            <w:pPr>
              <w:pBdr/>
              <w:spacing/>
              <w:ind/>
              <w:jc w:val="center"/>
              <w:rPr>
                <w:color w:val="000000"/>
                <w:sz w:val="22"/>
                <w:szCs w:val="22"/>
              </w:rPr>
            </w:pPr>
            <w:r>
              <w:rPr>
                <w:color w:val="000000" w:themeColor="text1"/>
                <w:sz w:val="22"/>
                <w:szCs w:val="22"/>
              </w:rPr>
              <w:t xml:space="preserve">26.314.044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24.545.455</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NHẬN XÉT</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9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9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92" w:type="dxa"/>
            <w:vAlign w:val="center"/>
            <w:textDirection w:val="lrTb"/>
            <w:noWrap w:val="false"/>
          </w:tcPr>
          <w:p>
            <w:pPr>
              <w:pBdr/>
              <w:spacing/>
              <w:ind/>
              <w:jc w:val="center"/>
              <w:rPr/>
            </w:pPr>
            <w:r>
              <w:rPr>
                <w:color w:val="000000" w:themeColor="text1"/>
                <w:sz w:val="22"/>
                <w:szCs w:val="22"/>
              </w:rPr>
              <w:t xml:space="preserve">Tương đồng</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92" w:type="dxa"/>
            <w:vAlign w:val="center"/>
            <w:textDirection w:val="lrTb"/>
            <w:noWrap w:val="false"/>
          </w:tcPr>
          <w:p>
            <w:pPr>
              <w:pBdr/>
              <w:spacing/>
              <w:ind/>
              <w:jc w:val="center"/>
              <w:rPr/>
            </w:pPr>
            <w:r>
              <w:rPr>
                <w:color w:val="000000" w:themeColor="text1"/>
                <w:sz w:val="22"/>
                <w:szCs w:val="22"/>
              </w:rPr>
              <w:t xml:space="preserve">Tương đồng</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9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9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9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9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9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9</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9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9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11</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Bất lợi thương mại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9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409"/>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Các thông tin khác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pPr>
              <w:pBdr/>
              <w:spacing/>
              <w:ind/>
              <w:jc w:val="center"/>
              <w:rPr>
                <w:color w:val="000000"/>
                <w:sz w:val="22"/>
                <w:szCs w:val="22"/>
              </w:rPr>
            </w:pPr>
            <w:r>
              <w:rPr>
                <w:color w:val="000000" w:themeColor="text1"/>
                <w:sz w:val="22"/>
                <w:szCs w:val="22"/>
              </w:rPr>
              <w:t xml:space="preserve">Tương </w:t>
            </w:r>
            <w:r>
              <w:rPr>
                <w:color w:val="000000" w:themeColor="text1"/>
                <w:sz w:val="22"/>
                <w:szCs w:val="22"/>
              </w:rPr>
              <w:t xml:space="preserve">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9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bl>
    <w:p>
      <w:pPr>
        <w:pBdr/>
        <w:tabs>
          <w:tab w:val="left" w:leader="none" w:pos="90"/>
          <w:tab w:val="left" w:leader="none" w:pos="180"/>
        </w:tabs>
        <w:spacing w:after="120" w:before="120" w:line="264" w:lineRule="auto"/>
        <w:ind/>
        <w:jc w:val="both"/>
        <w:rPr>
          <w:b/>
          <w:lang w:val="de-DE"/>
        </w:rPr>
      </w:pPr>
      <w:r>
        <w:rPr>
          <w:lang w:val="it-IT"/>
        </w:rPr>
        <w:t xml:space="preserve">Các yếu tố như</w:t>
      </w:r>
      <w:r>
        <w:rPr>
          <w:lang w:val="vi-VN"/>
        </w:rPr>
        <w:t xml:space="preserve"> vị trí, giao thông, diện tích, </w:t>
      </w:r>
      <w:r>
        <w:t xml:space="preserve">hình dáng, </w:t>
      </w:r>
      <w:r>
        <w:rPr>
          <w:lang w:val="vi-VN"/>
        </w:rPr>
        <w:t xml:space="preserve">hạ tầng kỹ thuật và hạ tầng xã hội</w:t>
      </w:r>
      <w:r>
        <w:rPr>
          <w:lang w:val="it-IT"/>
        </w:rPr>
        <w:t xml:space="preserve">… làm ảnh hưởng đến giá trị của </w:t>
      </w:r>
      <w:r>
        <w:t xml:space="preserve">thửa</w:t>
      </w:r>
      <w:r>
        <w:rPr>
          <w:lang w:val="vi-VN"/>
        </w:rPr>
        <w:t xml:space="preserve"> đất</w:t>
      </w:r>
      <w:r>
        <w:rPr>
          <w:lang w:val="it-IT"/>
        </w:rPr>
        <w:t xml:space="preserve">. Mỗi yếu tố đóng góp một tỷ lệ nhất định vào giá trị của </w:t>
      </w:r>
      <w:r>
        <w:rPr>
          <w:lang w:val="vi-VN"/>
        </w:rPr>
        <w:t xml:space="preserve">thửa đất</w:t>
      </w:r>
      <w:r>
        <w:rPr>
          <w:lang w:val="it-IT"/>
        </w:rPr>
        <w:t xml:space="preserve">. Vì vậy, </w:t>
      </w:r>
      <w:r>
        <w:rPr>
          <w:lang w:val="it-IT"/>
        </w:rPr>
        <w:t xml:space="preserve">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r>
        <w:rPr>
          <w:b/>
          <w:lang w:val="de-DE"/>
        </w:rPr>
      </w:r>
      <w:r>
        <w:rPr>
          <w:b/>
          <w:lang w:val="de-DE"/>
        </w:rPr>
      </w:r>
    </w:p>
    <w:p>
      <w:pPr>
        <w:pBdr/>
        <w:tabs>
          <w:tab w:val="left" w:leader="none" w:pos="90"/>
          <w:tab w:val="left" w:leader="none" w:pos="180"/>
        </w:tabs>
        <w:spacing w:after="120" w:before="120" w:line="264" w:lineRule="auto"/>
        <w:ind/>
        <w:jc w:val="both"/>
        <w:rPr>
          <w:lang w:val="it-IT"/>
        </w:rPr>
      </w:pPr>
      <w:r>
        <w:rPr>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w:t>
      </w:r>
      <w:r>
        <w:rPr>
          <w:lang w:val="it-IT"/>
        </w:rPr>
        <w:t xml:space="preserve">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Pr>
          <w:lang w:val="vi-VN"/>
        </w:rPr>
        <w:t xml:space="preserve">thẩm </w:t>
      </w:r>
      <w:r>
        <w:rPr>
          <w:lang w:val="it-IT"/>
        </w:rPr>
        <w:t xml:space="preserve">định giá thì giữ nguyên mức giá của tài sản so sánh (không điều chỉnh).</w:t>
      </w:r>
      <w:r>
        <w:rPr>
          <w:lang w:val="it-IT"/>
        </w:rPr>
      </w:r>
      <w:r>
        <w:rPr>
          <w:lang w:val="it-IT"/>
        </w:rPr>
      </w:r>
    </w:p>
    <w:p>
      <w:pPr>
        <w:pStyle w:val="1039"/>
        <w:numPr>
          <w:ilvl w:val="0"/>
          <w:numId w:val="6"/>
        </w:numPr>
        <w:pBdr/>
        <w:tabs>
          <w:tab w:val="left" w:leader="none" w:pos="720"/>
        </w:tabs>
        <w:spacing w:after="120" w:before="120" w:line="276" w:lineRule="auto"/>
        <w:ind w:hanging="284" w:left="284"/>
        <w:jc w:val="both"/>
        <w:rPr>
          <w:b/>
          <w:lang w:val="nl-NL"/>
        </w:rPr>
      </w:pPr>
      <w:r>
        <w:rPr>
          <w:b/>
          <w:lang w:val="nl-NL"/>
        </w:rPr>
        <w:t xml:space="preserve">Bảng điều chỉnh</w:t>
      </w:r>
      <w:r>
        <w:rPr>
          <w:b/>
          <w:lang w:val="nl-NL"/>
        </w:rPr>
        <w:t xml:space="preserve">:</w:t>
      </w:r>
      <w:r>
        <w:rPr>
          <w:b/>
          <w:lang w:val="nl-NL"/>
        </w:rPr>
      </w:r>
      <w:r>
        <w:rPr>
          <w:b/>
          <w:lang w:val="nl-NL"/>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32"/>
        <w:gridCol w:w="1765"/>
        <w:gridCol w:w="1030"/>
        <w:gridCol w:w="1522"/>
        <w:gridCol w:w="1522"/>
        <w:gridCol w:w="1522"/>
        <w:gridCol w:w="1522"/>
      </w:tblGrid>
      <w:tr>
        <w:trPr>
          <w:trHeight w:val="20"/>
          <w:tblHeader/>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jc w:val="center"/>
              <w:rPr>
                <w:b/>
                <w:bCs/>
                <w:color w:val="000000"/>
                <w:sz w:val="22"/>
                <w:szCs w:val="22"/>
              </w:rPr>
            </w:pPr>
            <w:r>
              <w:rPr>
                <w:b/>
                <w:bCs/>
                <w:color w:val="000000"/>
                <w:sz w:val="22"/>
                <w:szCs w:val="22"/>
              </w:rPr>
              <w:t xml:space="preserve">Yếu tố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Đơn vị tính</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Giá trị QSDĐ thị trường (Ước tính sau thương lượng)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Đồng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8.118.000.000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3.728.700.000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2.430.000.000</w:t>
            </w:r>
            <w:r>
              <w:rPr>
                <w:color w:val="000000"/>
                <w:sz w:val="20"/>
                <w:szCs w:val="20"/>
              </w:rPr>
            </w:r>
            <w:r>
              <w:rPr>
                <w:color w:val="000000"/>
                <w:sz w:val="20"/>
                <w:szCs w:val="20"/>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Đơn giá đất ước tính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22.500.000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26.314.044</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24.545.455</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Điều chỉnh các yếu tố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Pháp lý</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Có Giấy chứng nhận Quyền sử dụng đất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Có Giấy chứng nhận Quyền sử dụng đất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Có Giấy chứng nhận Quyền sử dụng đất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Có Giấy chứng nhận Quyền sử dụng đất </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22.500.000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26.314.044</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24.545.455</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Mục đích sử dụng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nông thôn: 180m², Đất trồng cây hàng năm khác: 280,1m²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Đất ở nông thôn: 1</w:t>
            </w:r>
            <w:r>
              <w:rPr>
                <w:color w:val="000000" w:themeColor="text1"/>
                <w:sz w:val="22"/>
                <w:szCs w:val="22"/>
              </w:rPr>
              <w:t xml:space="preserve">44</w:t>
            </w:r>
            <w:r>
              <w:rPr>
                <w:color w:val="000000" w:themeColor="text1"/>
                <w:sz w:val="22"/>
                <w:szCs w:val="22"/>
              </w:rPr>
              <w:t xml:space="preserve">m², Đất trồng cây lâu năm khác: 2</w:t>
            </w:r>
            <w:r>
              <w:rPr>
                <w:color w:val="000000" w:themeColor="text1"/>
                <w:sz w:val="22"/>
                <w:szCs w:val="22"/>
              </w:rPr>
              <w:t xml:space="preserve">16</w:t>
            </w:r>
            <w:r>
              <w:rPr>
                <w:color w:val="000000" w:themeColor="text1"/>
                <w:sz w:val="22"/>
                <w:szCs w:val="22"/>
              </w:rPr>
              <w:t xml:space="preserve">,</w:t>
            </w:r>
            <w:r>
              <w:rPr>
                <w:color w:val="000000" w:themeColor="text1"/>
                <w:sz w:val="22"/>
                <w:szCs w:val="22"/>
              </w:rPr>
              <w:t xml:space="preserve">8</w:t>
            </w:r>
            <w:r>
              <w:rPr>
                <w:color w:val="000000" w:themeColor="text1"/>
                <w:sz w:val="22"/>
                <w:szCs w:val="22"/>
              </w:rPr>
              <w:t xml:space="preserve">m²</w:t>
            </w: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Đất ở nông thôn: </w:t>
            </w:r>
            <w:r>
              <w:rPr>
                <w:color w:val="000000" w:themeColor="text1"/>
                <w:sz w:val="22"/>
                <w:szCs w:val="22"/>
              </w:rPr>
              <w:t xml:space="preserve">85</w:t>
            </w:r>
            <w:r>
              <w:rPr>
                <w:color w:val="000000" w:themeColor="text1"/>
                <w:sz w:val="22"/>
                <w:szCs w:val="22"/>
              </w:rPr>
              <w:t xml:space="preserve">m², Đất trồng cây lâu năm khác: </w:t>
            </w:r>
            <w:r>
              <w:rPr>
                <w:color w:val="000000" w:themeColor="text1"/>
                <w:sz w:val="22"/>
                <w:szCs w:val="22"/>
              </w:rPr>
              <w:t xml:space="preserve">56,</w:t>
            </w:r>
            <w:r>
              <w:rPr>
                <w:color w:val="000000" w:themeColor="text1"/>
                <w:sz w:val="22"/>
                <w:szCs w:val="22"/>
              </w:rPr>
              <w:t xml:space="preserve">7</w:t>
            </w:r>
            <w:r>
              <w:rPr>
                <w:color w:val="000000" w:themeColor="text1"/>
                <w:sz w:val="22"/>
                <w:szCs w:val="22"/>
              </w:rPr>
              <w:t xml:space="preserve">m²</w:t>
            </w: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Đất ở nông thôn: </w:t>
            </w:r>
            <w:r>
              <w:rPr>
                <w:color w:val="000000" w:themeColor="text1"/>
                <w:sz w:val="22"/>
                <w:szCs w:val="22"/>
              </w:rPr>
              <w:t xml:space="preserve">99m</w:t>
            </w:r>
            <w:r>
              <w:rPr>
                <w:color w:val="000000" w:themeColor="text1"/>
                <w:sz w:val="22"/>
                <w:szCs w:val="22"/>
              </w:rPr>
              <w:t xml:space="preserve">²</w:t>
            </w: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22.500.000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26.314.044</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24.545.455</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Thời hạn sử dụng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Đất ở nông thôn – Lâu dài, Đất trồng cây hàng năm – Có thời hạn</w:t>
            </w:r>
            <w:r>
              <w:rPr>
                <w:b/>
                <w:bCs/>
                <w:color w:val="000000"/>
                <w:sz w:val="22"/>
                <w:szCs w:val="22"/>
              </w:rPr>
            </w: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Đất ở nông thôn – Lâu dài, Đất trồng cây lâu năm – Có thời hạn</w:t>
            </w:r>
            <w:r>
              <w:rPr>
                <w:b/>
                <w:bCs/>
                <w:color w:val="000000"/>
                <w:sz w:val="22"/>
                <w:szCs w:val="22"/>
              </w:rPr>
            </w: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Đất ở nông thôn – Lâu dài, Đất trồng cây lâu năm – Có thời hạn</w:t>
            </w:r>
            <w:r>
              <w:rPr>
                <w:b/>
                <w:bCs/>
                <w:color w:val="000000"/>
                <w:sz w:val="22"/>
                <w:szCs w:val="22"/>
              </w:rPr>
            </w: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nông thôn – Lâu dài</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22.500.000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26.314.044</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24.545.455</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Vị trí</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Tài sản cách mặt đường DT417 khoảng 800m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cách mặt đường DT417 khoảng 2300m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cách </w:t>
            </w:r>
            <w:r>
              <w:rPr>
                <w:color w:val="000000" w:themeColor="text1"/>
                <w:sz w:val="22"/>
                <w:szCs w:val="22"/>
              </w:rPr>
              <w:t xml:space="preserve">mặt </w:t>
            </w:r>
            <w:r>
              <w:rPr>
                <w:color w:val="000000" w:themeColor="text1"/>
                <w:sz w:val="22"/>
                <w:szCs w:val="22"/>
              </w:rPr>
              <w:t xml:space="preserve">đường </w:t>
            </w:r>
            <w:r>
              <w:rPr>
                <w:color w:val="000000" w:themeColor="text1"/>
                <w:sz w:val="22"/>
                <w:szCs w:val="22"/>
              </w:rPr>
              <w:t xml:space="preserve">DT417</w:t>
            </w:r>
            <w:r>
              <w:rPr>
                <w:color w:val="000000" w:themeColor="text1"/>
                <w:sz w:val="22"/>
                <w:szCs w:val="22"/>
              </w:rPr>
              <w:t xml:space="preserve"> khoảng 200m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cách </w:t>
            </w:r>
            <w:r>
              <w:rPr>
                <w:color w:val="000000" w:themeColor="text1"/>
                <w:sz w:val="22"/>
                <w:szCs w:val="22"/>
              </w:rPr>
              <w:t xml:space="preserve">mặt</w:t>
            </w:r>
            <w:r>
              <w:rPr>
                <w:color w:val="000000" w:themeColor="text1"/>
                <w:sz w:val="22"/>
                <w:szCs w:val="22"/>
              </w:rPr>
              <w:t xml:space="preserve"> đường </w:t>
            </w:r>
            <w:r>
              <w:rPr>
                <w:color w:val="000000" w:themeColor="text1"/>
                <w:sz w:val="22"/>
                <w:szCs w:val="22"/>
              </w:rPr>
              <w:t xml:space="preserve">DT417</w:t>
            </w:r>
            <w:r>
              <w:rPr>
                <w:color w:val="000000" w:themeColor="text1"/>
                <w:sz w:val="22"/>
                <w:szCs w:val="22"/>
              </w:rPr>
              <w:t xml:space="preserve"> khoảng 400m </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22.500.000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26.314.044</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24.545.455</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C.5</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Giao thông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22.500.000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26.314.044</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24.545.455</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C.6</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Độ rộng đường trước tài sản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4</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3,5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3,5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4</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22.500.000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26.314.044</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24.545.455</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C.7</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Diện tích đất (m²)</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(m2)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460,1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360,8</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141,7</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99</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-1.800.000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-3.947.107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-3.681.818</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20.700.000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22.366.937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20.863.637</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C.8</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Mặt tiền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22,88</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12,5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4,47</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6</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1.125.000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2.105.124</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1.718.182</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21.825.000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24.472.061</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22.581.819</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C.9</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Số lượng mặt tiếp giáp</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21.825.000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24.472.061</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22.581.819</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C.10</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Hình dáng thửa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Tương đối vuông vức</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21.825.000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24.472.061</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22.581.819</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Bất lợi thương mại</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Ngõ </w:t>
            </w:r>
            <w:r>
              <w:rPr>
                <w:color w:val="000000" w:themeColor="text1"/>
                <w:sz w:val="22"/>
                <w:szCs w:val="22"/>
              </w:rPr>
              <w:t xml:space="preserve">cụt</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Ngõ </w:t>
            </w:r>
            <w:r>
              <w:rPr>
                <w:color w:val="000000" w:themeColor="text1"/>
                <w:sz w:val="22"/>
                <w:szCs w:val="22"/>
              </w:rPr>
              <w:t xml:space="preserve">thông</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Ngõ </w:t>
            </w:r>
            <w:r>
              <w:rPr>
                <w:color w:val="000000" w:themeColor="text1"/>
                <w:sz w:val="22"/>
                <w:szCs w:val="22"/>
              </w:rPr>
              <w:t xml:space="preserve">thông</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Ngõ </w:t>
            </w:r>
            <w:r>
              <w:rPr>
                <w:color w:val="000000" w:themeColor="text1"/>
                <w:sz w:val="22"/>
                <w:szCs w:val="22"/>
              </w:rPr>
              <w:t xml:space="preserve">thông</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-1.800.000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-2.105.124</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-1.963.636</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20.025.000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22.366.937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20.618.183</w:t>
            </w:r>
            <w:r>
              <w:rPr>
                <w:color w:val="000000"/>
                <w:sz w:val="22"/>
                <w:szCs w:val="22"/>
              </w:rPr>
            </w:r>
            <w:r>
              <w:rPr>
                <w:color w:val="000000"/>
                <w:sz w:val="22"/>
                <w:szCs w:val="22"/>
              </w:rPr>
            </w:r>
          </w:p>
        </w:tc>
      </w:tr>
      <w:tr>
        <w:trPr>
          <w:trHeight w:val="214"/>
        </w:trPr>
        <w:tc>
          <w:tcPr>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w:t>
            </w:r>
            <w:r>
              <w:rPr>
                <w:color w:val="000000"/>
                <w:sz w:val="22"/>
                <w:szCs w:val="22"/>
              </w:rPr>
              <w:t xml:space="preserve">2</w:t>
            </w:r>
            <w:r>
              <w:rPr>
                <w:color w:val="000000"/>
                <w:sz w:val="22"/>
                <w:szCs w:val="22"/>
              </w:rPr>
            </w:r>
          </w:p>
          <w:p>
            <w:pPr>
              <w:pBdr/>
              <w:spacing/>
              <w:ind/>
              <w:jc w:val="center"/>
              <w:rPr>
                <w:color w:val="000000" w:themeColor="text1"/>
                <w:sz w:val="22"/>
                <w:szCs w:val="22"/>
                <w14:ligatures w14:val="none"/>
              </w:rPr>
            </w:pPr>
            <w:r>
              <w:rPr>
                <w:color w:val="000000" w:themeColor="text1"/>
                <w:sz w:val="22"/>
                <w:szCs w:val="22"/>
              </w:rPr>
            </w:r>
            <w:r>
              <w:rPr>
                <w:color w:val="000000" w:themeColor="text1"/>
                <w:sz w:val="22"/>
                <w:szCs w:val="22"/>
                <w14:ligatures w14:val="none"/>
              </w:rPr>
            </w:r>
            <w:r>
              <w:rPr>
                <w:color w:val="000000" w:themeColor="text1"/>
                <w:sz w:val="22"/>
                <w:szCs w:val="22"/>
                <w14:ligatures w14:val="none"/>
              </w:rPr>
            </w:r>
          </w:p>
        </w:tc>
        <w:tc>
          <w:tcPr>
            <w:shd w:val="clear" w:color="000000" w:fill="ffffff"/>
            <w:tcBorders/>
            <w:tcW w:w="1765"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Tỉ lệ đất ở/Tổng diện tích</w:t>
            </w:r>
            <w:r/>
          </w:p>
        </w:tc>
        <w:tc>
          <w:tcPr>
            <w:shd w:val="clear" w:color="000000" w:fill="ffffff"/>
            <w:tcBorders/>
            <w:tcW w:w="1030" w:type="dxa"/>
            <w:vAlign w:val="center"/>
            <w:vMerge w:val="restart"/>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000000" w:fill="ffffff"/>
            <w:tcBorders/>
            <w:tcW w:w="1522" w:type="dxa"/>
            <w:vAlign w:val="center"/>
            <w:vMerge w:val="restart"/>
            <w:textDirection w:val="lrTb"/>
            <w:noWrap w:val="false"/>
          </w:tcPr>
          <w:p>
            <w:pPr>
              <w:pBdr/>
              <w:spacing/>
              <w:ind/>
              <w:jc w:val="center"/>
              <w:rPr>
                <w:b w:val="0"/>
                <w:bCs w:val="0"/>
                <w:color w:val="000000"/>
                <w:sz w:val="22"/>
                <w:szCs w:val="22"/>
              </w:rPr>
            </w:pPr>
            <w:r>
              <w:rPr>
                <w:b w:val="0"/>
                <w:bCs w:val="0"/>
                <w:color w:val="000000" w:themeColor="text1"/>
                <w:sz w:val="22"/>
                <w:szCs w:val="22"/>
              </w:rPr>
              <w:t xml:space="preserve">~</w:t>
            </w:r>
            <w:r>
              <w:rPr>
                <w:b w:val="0"/>
                <w:bCs w:val="0"/>
                <w:color w:val="000000" w:themeColor="text1"/>
                <w:sz w:val="22"/>
                <w:szCs w:val="22"/>
              </w:rPr>
              <w:t xml:space="preserve">39,</w:t>
            </w:r>
            <w:r>
              <w:rPr>
                <w:b w:val="0"/>
                <w:bCs w:val="0"/>
                <w:color w:val="000000" w:themeColor="text1"/>
                <w:sz w:val="22"/>
                <w:szCs w:val="22"/>
              </w:rPr>
              <w:t xml:space="preserve">12%</w:t>
            </w:r>
            <w:r>
              <w:rPr>
                <w:b w:val="0"/>
                <w:bCs w:val="0"/>
                <w:color w:val="000000"/>
                <w:sz w:val="22"/>
                <w:szCs w:val="22"/>
              </w:rPr>
            </w:r>
            <w:r>
              <w:rPr>
                <w:b w:val="0"/>
                <w:bCs w:val="0"/>
                <w:color w:val="000000"/>
                <w:sz w:val="22"/>
                <w:szCs w:val="22"/>
              </w:rPr>
            </w:r>
          </w:p>
        </w:tc>
        <w:tc>
          <w:tcPr>
            <w:shd w:val="clear" w:color="000000" w:fill="ffffff"/>
            <w:tcBorders/>
            <w:tcW w:w="1522" w:type="dxa"/>
            <w:vAlign w:val="center"/>
            <w:vMerge w:val="restart"/>
            <w:textDirection w:val="lrTb"/>
            <w:noWrap/>
          </w:tcPr>
          <w:p>
            <w:pPr>
              <w:pBdr/>
              <w:spacing/>
              <w:ind/>
              <w:jc w:val="center"/>
              <w:rPr>
                <w:b w:val="0"/>
                <w:bCs w:val="0"/>
                <w:color w:val="000000"/>
                <w:sz w:val="22"/>
                <w:szCs w:val="22"/>
              </w:rPr>
            </w:pPr>
            <w:r>
              <w:rPr>
                <w:b w:val="0"/>
                <w:bCs w:val="0"/>
                <w:color w:val="000000" w:themeColor="text1"/>
                <w:sz w:val="22"/>
                <w:szCs w:val="22"/>
              </w:rPr>
              <w:t xml:space="preserve">~</w:t>
            </w:r>
            <w:r>
              <w:rPr>
                <w:b w:val="0"/>
                <w:bCs w:val="0"/>
                <w:color w:val="000000" w:themeColor="text1"/>
                <w:sz w:val="22"/>
                <w:szCs w:val="22"/>
              </w:rPr>
              <w:t xml:space="preserve">39,</w:t>
            </w:r>
            <w:r>
              <w:rPr>
                <w:b w:val="0"/>
                <w:bCs w:val="0"/>
                <w:color w:val="000000" w:themeColor="text1"/>
                <w:sz w:val="22"/>
                <w:szCs w:val="22"/>
              </w:rPr>
              <w:t xml:space="preserve">91%</w:t>
            </w:r>
            <w:r>
              <w:rPr>
                <w:b w:val="0"/>
                <w:bCs w:val="0"/>
                <w:color w:val="000000"/>
                <w:sz w:val="22"/>
                <w:szCs w:val="22"/>
              </w:rPr>
            </w:r>
            <w:r>
              <w:rPr>
                <w:b w:val="0"/>
                <w:bCs w:val="0"/>
                <w:color w:val="000000"/>
                <w:sz w:val="22"/>
                <w:szCs w:val="22"/>
              </w:rPr>
            </w:r>
          </w:p>
        </w:tc>
        <w:tc>
          <w:tcPr>
            <w:shd w:val="clear" w:color="000000" w:fill="ffffff"/>
            <w:tcBorders/>
            <w:tcW w:w="1522" w:type="dxa"/>
            <w:vAlign w:val="center"/>
            <w:vMerge w:val="restart"/>
            <w:textDirection w:val="lrTb"/>
            <w:noWrap/>
          </w:tcPr>
          <w:p>
            <w:pPr>
              <w:pBdr/>
              <w:spacing/>
              <w:ind/>
              <w:jc w:val="center"/>
              <w:rPr>
                <w:b w:val="0"/>
                <w:bCs w:val="0"/>
                <w:color w:val="000000"/>
                <w:sz w:val="22"/>
                <w:szCs w:val="22"/>
              </w:rPr>
            </w:pPr>
            <w:r>
              <w:rPr>
                <w:b w:val="0"/>
                <w:bCs w:val="0"/>
                <w:color w:val="000000" w:themeColor="text1"/>
                <w:sz w:val="22"/>
                <w:szCs w:val="22"/>
              </w:rPr>
              <w:t xml:space="preserve">~</w:t>
            </w:r>
            <w:r>
              <w:rPr>
                <w:b w:val="0"/>
                <w:bCs w:val="0"/>
                <w:color w:val="000000" w:themeColor="text1"/>
                <w:sz w:val="22"/>
                <w:szCs w:val="22"/>
              </w:rPr>
              <w:t xml:space="preserve">60%</w:t>
            </w:r>
            <w:r>
              <w:rPr>
                <w:b w:val="0"/>
                <w:bCs w:val="0"/>
                <w:color w:val="000000"/>
                <w:sz w:val="22"/>
                <w:szCs w:val="22"/>
              </w:rPr>
            </w:r>
            <w:r>
              <w:rPr>
                <w:b w:val="0"/>
                <w:bCs w:val="0"/>
                <w:color w:val="000000"/>
                <w:sz w:val="22"/>
                <w:szCs w:val="22"/>
              </w:rPr>
            </w:r>
          </w:p>
        </w:tc>
        <w:tc>
          <w:tcPr>
            <w:shd w:val="clear" w:color="000000" w:fill="ffffff"/>
            <w:tcBorders/>
            <w:tcW w:w="1522" w:type="dxa"/>
            <w:vAlign w:val="center"/>
            <w:vMerge w:val="restart"/>
            <w:textDirection w:val="lrTb"/>
            <w:noWrap/>
          </w:tcPr>
          <w:p>
            <w:pPr>
              <w:pBdr/>
              <w:spacing/>
              <w:ind/>
              <w:jc w:val="center"/>
              <w:rPr>
                <w:b w:val="0"/>
                <w:bCs w:val="0"/>
                <w:color w:val="000000"/>
                <w:sz w:val="22"/>
                <w:szCs w:val="22"/>
              </w:rPr>
            </w:pPr>
            <w:r>
              <w:rPr>
                <w:b w:val="0"/>
                <w:bCs w:val="0"/>
                <w:color w:val="000000" w:themeColor="text1"/>
                <w:sz w:val="22"/>
                <w:szCs w:val="22"/>
              </w:rPr>
              <w:t xml:space="preserve">100%</w:t>
            </w:r>
            <w:r>
              <w:rPr>
                <w:b w:val="0"/>
                <w:bCs w:val="0"/>
                <w:color w:val="000000"/>
                <w:sz w:val="22"/>
                <w:szCs w:val="22"/>
              </w:rPr>
            </w:r>
            <w:r>
              <w:rPr>
                <w:b w:val="0"/>
                <w:bCs w:val="0"/>
                <w:color w:val="000000"/>
                <w:sz w:val="22"/>
                <w:szCs w:val="22"/>
              </w:rPr>
            </w:r>
          </w:p>
        </w:tc>
      </w:tr>
      <w:tr>
        <w:trPr>
          <w:trHeight w:val="20"/>
        </w:trPr>
        <w:tc>
          <w:tcPr>
            <w:tcBorders/>
            <w:tcW w:w="632" w:type="dxa"/>
            <w:vAlign w:val="center"/>
            <w:vMerge w:val="continue"/>
            <w:textDirection w:val="lrTb"/>
            <w:noWrap w:val="false"/>
          </w:tcPr>
          <w:p>
            <w:pPr>
              <w:pBdr/>
              <w:spacing/>
              <w:ind/>
              <w:rPr/>
            </w:pPr>
            <w:r/>
            <w:r/>
          </w:p>
        </w:tc>
        <w:tc>
          <w:tcPr>
            <w:shd w:val="clear" w:color="000000" w:fill="ffffff"/>
            <w:tcBorders/>
            <w:tcW w:w="1765"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000000" w:fill="ffffff"/>
            <w:tcBorders/>
            <w:tcW w:w="1030" w:type="dxa"/>
            <w:vAlign w:val="center"/>
            <w:vMerge w:val="restart"/>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000000" w:fill="ffffff"/>
            <w:tcBorders/>
            <w:tcW w:w="152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000000" w:fill="ffffff"/>
            <w:tcBorders/>
            <w:tcW w:w="1522" w:type="dxa"/>
            <w:vAlign w:val="center"/>
            <w:vMerge w:val="restart"/>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000000" w:fill="ffffff"/>
            <w:tcBorders/>
            <w:tcW w:w="1522" w:type="dxa"/>
            <w:vAlign w:val="center"/>
            <w:vMerge w:val="restart"/>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-12%</w:t>
            </w:r>
            <w:r/>
          </w:p>
        </w:tc>
        <w:tc>
          <w:tcPr>
            <w:shd w:val="clear" w:color="000000" w:fill="ffffff"/>
            <w:tcBorders/>
            <w:tcW w:w="1522" w:type="dxa"/>
            <w:vAlign w:val="center"/>
            <w:vMerge w:val="restart"/>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rPr>
                <w:rFonts w:ascii="Times New Roman" w:hAnsi="Times New Roman" w:eastAsia="Times New Roman" w:cs="Times New Roman"/>
                <w:color w:val="000000"/>
                <w:sz w:val="22"/>
              </w:rPr>
              <w:t xml:space="preserve">16</w:t>
            </w:r>
            <w:r>
              <w:rPr>
                <w:rFonts w:ascii="Times New Roman" w:hAnsi="Times New Roman" w:eastAsia="Times New Roman" w:cs="Times New Roman"/>
                <w:color w:val="000000"/>
                <w:sz w:val="22"/>
              </w:rPr>
              <w:t xml:space="preserve">%</w:t>
            </w:r>
            <w:r/>
          </w:p>
        </w:tc>
      </w:tr>
      <w:tr>
        <w:trPr>
          <w:trHeight w:val="20"/>
        </w:trPr>
        <w:tc>
          <w:tcPr>
            <w:tcBorders/>
            <w:tcW w:w="632" w:type="dxa"/>
            <w:vAlign w:val="center"/>
            <w:vMerge w:val="continue"/>
            <w:textDirection w:val="lrTb"/>
            <w:noWrap w:val="false"/>
          </w:tcPr>
          <w:p>
            <w:pPr>
              <w:pBdr/>
              <w:spacing/>
              <w:ind/>
              <w:rPr/>
            </w:pPr>
            <w:r/>
            <w:r/>
          </w:p>
        </w:tc>
        <w:tc>
          <w:tcPr>
            <w:shd w:val="clear" w:color="000000" w:fill="ffffff"/>
            <w:tcBorders/>
            <w:tcW w:w="1765"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000000" w:fill="ffffff"/>
            <w:tcBorders/>
            <w:tcW w:w="1030" w:type="dxa"/>
            <w:vAlign w:val="center"/>
            <w:vMerge w:val="restart"/>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000000" w:fill="ffffff"/>
            <w:tcBorders/>
            <w:tcW w:w="152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000000" w:fill="ffffff"/>
            <w:tcBorders/>
            <w:tcW w:w="1522" w:type="dxa"/>
            <w:vAlign w:val="center"/>
            <w:vMerge w:val="restart"/>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c>
          <w:tcPr>
            <w:shd w:val="clear" w:color="000000" w:fill="ffffff"/>
            <w:tcBorders/>
            <w:tcW w:w="1522" w:type="dxa"/>
            <w:vAlign w:val="center"/>
            <w:vMerge w:val="restart"/>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-3.157.685 </w:t>
            </w:r>
            <w:r/>
          </w:p>
        </w:tc>
        <w:tc>
          <w:tcPr>
            <w:shd w:val="clear" w:color="000000" w:fill="ffffff"/>
            <w:tcBorders/>
            <w:tcW w:w="1522" w:type="dxa"/>
            <w:vAlign w:val="center"/>
            <w:vMerge w:val="restart"/>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-3.927.273</w:t>
            </w:r>
            <w:r/>
          </w:p>
        </w:tc>
      </w:tr>
      <w:tr>
        <w:trPr>
          <w:trHeight w:val="20"/>
        </w:trPr>
        <w:tc>
          <w:tcPr>
            <w:tcBorders/>
            <w:tcW w:w="632" w:type="dxa"/>
            <w:vAlign w:val="center"/>
            <w:vMerge w:val="continue"/>
            <w:textDirection w:val="lrTb"/>
            <w:noWrap w:val="false"/>
          </w:tcPr>
          <w:p>
            <w:pPr>
              <w:pBdr/>
              <w:spacing/>
              <w:ind/>
              <w:rPr/>
            </w:pPr>
            <w:r/>
            <w:r/>
          </w:p>
        </w:tc>
        <w:tc>
          <w:tcPr>
            <w:shd w:val="clear" w:color="000000" w:fill="ffffff"/>
            <w:tcBorders/>
            <w:tcW w:w="1765"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000000" w:fill="ffffff"/>
            <w:tcBorders/>
            <w:tcW w:w="1030" w:type="dxa"/>
            <w:vAlign w:val="center"/>
            <w:vMerge w:val="restart"/>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000000" w:fill="ffffff"/>
            <w:tcBorders/>
            <w:tcW w:w="152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000000" w:fill="ffffff"/>
            <w:tcBorders/>
            <w:tcW w:w="1522" w:type="dxa"/>
            <w:vAlign w:val="center"/>
            <w:vMerge w:val="restart"/>
            <w:textDirection w:val="lrTb"/>
            <w:noWrap/>
          </w:tcPr>
          <w:p>
            <w:pPr>
              <w:pBdr/>
              <w:spacing/>
              <w:ind/>
              <w:jc w:val="center"/>
              <w:rPr>
                <w:color w:val="000000"/>
                <w:sz w:val="22"/>
                <w:szCs w:val="22"/>
              </w:rPr>
            </w:pPr>
            <w:r>
              <w:rPr>
                <w:color w:val="000000" w:themeColor="text1"/>
                <w:sz w:val="22"/>
                <w:szCs w:val="22"/>
              </w:rPr>
              <w:t xml:space="preserve">20.025.000</w:t>
            </w:r>
            <w:r>
              <w:rPr>
                <w:rFonts w:ascii="Times New Roman" w:hAnsi="Times New Roman" w:eastAsia="Times New Roman" w:cs="Times New Roman"/>
                <w:color w:val="000000"/>
                <w:sz w:val="22"/>
              </w:rPr>
              <w:t xml:space="preserve"> </w:t>
            </w:r>
            <w:r>
              <w:rPr>
                <w:color w:val="000000"/>
                <w:sz w:val="22"/>
                <w:szCs w:val="22"/>
              </w:rPr>
            </w:r>
            <w:r>
              <w:rPr>
                <w:color w:val="000000"/>
                <w:sz w:val="22"/>
                <w:szCs w:val="22"/>
              </w:rPr>
            </w:r>
          </w:p>
        </w:tc>
        <w:tc>
          <w:tcPr>
            <w:shd w:val="clear" w:color="000000" w:fill="ffffff"/>
            <w:tcBorders/>
            <w:tcW w:w="1522" w:type="dxa"/>
            <w:vAlign w:val="center"/>
            <w:vMerge w:val="restart"/>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19.209.252</w:t>
            </w:r>
            <w:r/>
          </w:p>
        </w:tc>
        <w:tc>
          <w:tcPr>
            <w:shd w:val="clear" w:color="000000" w:fill="ffffff"/>
            <w:tcBorders/>
            <w:tcW w:w="1522" w:type="dxa"/>
            <w:vAlign w:val="center"/>
            <w:vMerge w:val="restart"/>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16.690.910</w:t>
            </w: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D</w:t>
            </w:r>
            <w:r>
              <w:rPr>
                <w:b/>
                <w:bCs/>
                <w:color w:val="000000"/>
                <w:sz w:val="22"/>
                <w:szCs w:val="22"/>
              </w:rPr>
            </w:r>
            <w:r>
              <w:rPr>
                <w:b/>
                <w:bCs/>
                <w:color w:val="000000"/>
                <w:sz w:val="22"/>
                <w:szCs w:val="22"/>
              </w:rPr>
            </w:r>
          </w:p>
        </w:tc>
        <w:tc>
          <w:tcPr>
            <w:shd w:val="clear" w:color="000000" w:fill="ffffff"/>
            <w:tcBorders/>
            <w:tcW w:w="1765" w:type="dxa"/>
            <w:vAlign w:val="center"/>
            <w:textDirection w:val="lrTb"/>
            <w:noWrap/>
          </w:tcPr>
          <w:p>
            <w:pPr>
              <w:pBdr/>
              <w:spacing/>
              <w:ind/>
              <w:rPr>
                <w:b/>
                <w:bCs/>
                <w:color w:val="000000"/>
                <w:sz w:val="22"/>
                <w:szCs w:val="22"/>
              </w:rPr>
            </w:pPr>
            <w:r>
              <w:rPr>
                <w:b/>
                <w:bCs/>
                <w:color w:val="000000"/>
                <w:sz w:val="22"/>
                <w:szCs w:val="22"/>
              </w:rPr>
              <w:t xml:space="preserve">Mức giá chỉ dẫn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20.025.000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19.209.252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16.690.910</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trị trung bình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gridSpan w:val="3"/>
            <w:shd w:val="clear" w:color="000000" w:fill="ffffff"/>
            <w:tcBorders/>
            <w:tcW w:w="4566"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18.641.721</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độ chênh lệch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7,42%</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3,04%</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-10,46%</w:t>
            </w:r>
            <w:r>
              <w:rPr>
                <w:color w:val="000000"/>
                <w:sz w:val="22"/>
                <w:szCs w:val="22"/>
              </w:rPr>
            </w:r>
            <w:r>
              <w:rPr>
                <w:color w:val="000000"/>
                <w:sz w:val="22"/>
                <w:szCs w:val="22"/>
              </w:rPr>
            </w:r>
          </w:p>
        </w:tc>
      </w:tr>
      <w:tr>
        <w:trPr>
          <w:trHeight w:val="285"/>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E</w:t>
            </w:r>
            <w:r>
              <w:rPr>
                <w:b/>
                <w:bCs/>
                <w:color w:val="000000"/>
                <w:sz w:val="22"/>
                <w:szCs w:val="22"/>
              </w:rPr>
            </w:r>
            <w:r>
              <w:rPr>
                <w:b/>
                <w:bCs/>
                <w:color w:val="000000"/>
                <w:sz w:val="22"/>
                <w:szCs w:val="22"/>
              </w:rPr>
            </w:r>
          </w:p>
        </w:tc>
        <w:tc>
          <w:tcPr>
            <w:gridSpan w:val="6"/>
            <w:shd w:val="clear" w:color="000000" w:fill="ffffff"/>
            <w:tcBorders/>
            <w:tcW w:w="8883" w:type="dxa"/>
            <w:vAlign w:val="center"/>
            <w:textDirection w:val="lrTb"/>
            <w:noWrap w:val="false"/>
          </w:tcPr>
          <w:p>
            <w:pPr>
              <w:pBdr/>
              <w:spacing/>
              <w:ind/>
              <w:rPr>
                <w:b/>
                <w:bCs/>
                <w:color w:val="000000"/>
                <w:sz w:val="22"/>
                <w:szCs w:val="22"/>
              </w:rPr>
            </w:pPr>
            <w:r>
              <w:rPr>
                <w:b/>
                <w:bCs/>
                <w:color w:val="000000"/>
                <w:sz w:val="22"/>
                <w:szCs w:val="22"/>
              </w:rPr>
              <w:t xml:space="preserve">Tổng hợp các số liệu điều chỉnh tại mục C</w:t>
            </w: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 giá trị điều chỉnh gộp</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4.725.000</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11.315.040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11.290.909</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 số lần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Lần</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3</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4</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4</w:t>
            </w:r>
            <w:r>
              <w:rPr>
                <w:sz w:val="22"/>
                <w:szCs w:val="22"/>
              </w:rPr>
            </w:r>
            <w:r>
              <w:rPr>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Biên độ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- 8%</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- 15%</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- 16%</w:t>
            </w:r>
            <w:r>
              <w:rPr>
                <w:sz w:val="22"/>
                <w:szCs w:val="22"/>
              </w:rPr>
            </w:r>
            <w:r>
              <w:rPr>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 giá trị điều chỉnh thuần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2.475.000</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7.104.792</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7.854.545</w:t>
            </w:r>
            <w:r>
              <w:rPr>
                <w:sz w:val="22"/>
                <w:szCs w:val="22"/>
              </w:rPr>
            </w:r>
            <w:r>
              <w:rPr>
                <w:sz w:val="22"/>
                <w:szCs w:val="22"/>
              </w:rPr>
            </w:r>
          </w:p>
        </w:tc>
      </w:tr>
    </w:tbl>
    <w:p>
      <w:pPr>
        <w:pBdr/>
        <w:spacing w:after="120" w:before="120" w:line="276" w:lineRule="auto"/>
        <w:ind/>
        <w:jc w:val="both"/>
        <w:rPr>
          <w:b/>
          <w:bCs/>
          <w:i/>
          <w:iCs/>
        </w:rPr>
      </w:pPr>
      <w:r>
        <w:rPr>
          <w:i/>
          <w:iCs/>
          <w:u w:val="single"/>
        </w:rPr>
        <w:t xml:space="preserve"> </w:t>
      </w:r>
      <w:r>
        <w:rPr>
          <w:b/>
          <w:bCs/>
          <w:i/>
          <w:iCs/>
          <w:u w:val="single"/>
        </w:rPr>
        <w:t xml:space="preserve">Về nguyên tắc khống chế</w:t>
      </w:r>
      <w:r>
        <w:rPr>
          <w:b/>
          <w:bCs/>
          <w:i/>
          <w:iCs/>
        </w:rPr>
        <w:t xml:space="preserve">: </w:t>
      </w:r>
      <w:r>
        <w:rPr>
          <w:b/>
          <w:bCs/>
          <w:i/>
          <w:iCs/>
        </w:rPr>
      </w:r>
      <w:r>
        <w:rPr>
          <w:b/>
          <w:bCs/>
          <w:i/>
          <w:iCs/>
        </w:rPr>
      </w:r>
    </w:p>
    <w:p>
      <w:pPr>
        <w:pBdr/>
        <w:spacing w:after="120" w:before="120" w:line="276" w:lineRule="auto"/>
        <w:ind/>
        <w:jc w:val="both"/>
        <w:rPr>
          <w:b/>
          <w:bCs/>
          <w:u w:val="single"/>
        </w:rPr>
      </w:pPr>
      <w:r>
        <w:t xml:space="preserve">Theo số liệu tại mục </w:t>
      </w:r>
      <w:r>
        <w:t xml:space="preserve">D</w:t>
      </w:r>
      <w:r>
        <w:t xml:space="preserve">2, chênh lệch giữa mức giá trung bình của các mức giá chỉ dẫn nằm trong khoảng </w:t>
      </w:r>
      <w:r>
        <w:t xml:space="preserve">từ </w:t>
      </w:r>
      <w:r>
        <w:t xml:space="preserve"> 3,04</w:t>
      </w:r>
      <w:r>
        <w:t xml:space="preserve">% đến</w:t>
      </w:r>
      <w:r>
        <w:t xml:space="preserve"> </w:t>
      </w:r>
      <w:r>
        <w:t xml:space="preserve">10,46%, đảm bảo không quá 15% (theo </w:t>
      </w:r>
      <w:r>
        <w:t xml:space="preserve">Thông tư số 32/2024</w:t>
      </w:r>
      <w:r>
        <w:t xml:space="preserve">/TT-BTC</w:t>
      </w:r>
      <w:r>
        <w:t xml:space="preserve"> ngày 16/5/2024 của Bộ Tài </w:t>
      </w:r>
      <w:r>
        <w:t xml:space="preserve">c</w:t>
      </w:r>
      <w:r>
        <w:t xml:space="preserve">hính)</w:t>
      </w:r>
      <w:r>
        <w:t xml:space="preserve">.</w:t>
      </w:r>
      <w:r>
        <w:rPr>
          <w:b/>
          <w:bCs/>
          <w:u w:val="single"/>
        </w:rPr>
      </w:r>
      <w:r>
        <w:rPr>
          <w:b/>
          <w:bCs/>
          <w:u w:val="single"/>
        </w:rPr>
      </w:r>
    </w:p>
    <w:p>
      <w:pPr>
        <w:pBdr/>
        <w:spacing w:after="120" w:before="120" w:line="276" w:lineRule="auto"/>
        <w:ind/>
        <w:rPr>
          <w:b/>
          <w:bCs/>
          <w:i/>
          <w:iCs/>
          <w:u w:val="single"/>
        </w:rPr>
      </w:pPr>
      <w:r>
        <w:rPr>
          <w:b/>
          <w:bCs/>
          <w:i/>
          <w:iCs/>
          <w:u w:val="single"/>
        </w:rPr>
        <w:t xml:space="preserve">Về thống nhất mức giá chỉ dẫn</w:t>
      </w:r>
      <w:r>
        <w:rPr>
          <w:b/>
          <w:bCs/>
          <w:i/>
          <w:iCs/>
          <w:u w:val="single"/>
        </w:rPr>
        <w:t xml:space="preserve">:</w:t>
      </w:r>
      <w:r>
        <w:rPr>
          <w:b/>
          <w:bCs/>
          <w:i/>
          <w:iCs/>
          <w:u w:val="single"/>
        </w:rPr>
      </w:r>
      <w:r>
        <w:rPr>
          <w:b/>
          <w:bCs/>
          <w:i/>
          <w:iCs/>
          <w:u w:val="single"/>
        </w:rPr>
      </w:r>
    </w:p>
    <w:p>
      <w:pPr>
        <w:pBdr/>
        <w:spacing/>
        <w:ind/>
        <w:jc w:val="right"/>
        <w:rPr>
          <w:i/>
          <w:iCs/>
        </w:rPr>
      </w:pPr>
      <w:r>
        <w:rPr>
          <w:i/>
          <w:iCs/>
        </w:rPr>
        <w:t xml:space="preserve">Đơn vị tính: Đồng/m²</w:t>
      </w:r>
      <w:r>
        <w:rPr>
          <w:i/>
          <w:iCs/>
        </w:rPr>
      </w:r>
      <w:r>
        <w:rPr>
          <w:i/>
          <w:iCs/>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b/>
                <w:bCs/>
                <w:color w:val="000000"/>
              </w:rPr>
            </w:pPr>
            <w:r>
              <w:rPr>
                <w:b/>
                <w:bCs/>
                <w:color w:val="000000"/>
              </w:rPr>
              <w:t xml:space="preserve">TT</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pPr>
              <w:pBdr/>
              <w:spacing/>
              <w:ind/>
              <w:jc w:val="center"/>
              <w:rPr>
                <w:b/>
                <w:bCs/>
                <w:color w:val="000000"/>
              </w:rPr>
            </w:pPr>
            <w:r>
              <w:rPr>
                <w:b/>
                <w:bCs/>
                <w:color w:val="000000"/>
              </w:rPr>
              <w:t xml:space="preserve">Tài sản</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b/>
                <w:bCs/>
                <w:color w:val="000000"/>
              </w:rPr>
            </w:pPr>
            <w:r>
              <w:rPr>
                <w:b/>
                <w:bCs/>
                <w:color w:val="000000"/>
              </w:rPr>
              <w:t xml:space="preserve">Mức giá chỉ dẫn của các TSSS</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b/>
                <w:bCs/>
                <w:color w:val="000000"/>
              </w:rPr>
            </w:pPr>
            <w:r>
              <w:rPr>
                <w:b/>
                <w:bCs/>
                <w:color w:val="000000"/>
              </w:rPr>
              <w:t xml:space="preserve">Trọng số của các TSSS sau điều chỉnh</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rPr>
              <w:t xml:space="preserve">Giá trị trung bình của mức giá chỉ dẫn sau điều chỉnh</w:t>
            </w:r>
            <w:r>
              <w:rPr>
                <w:b/>
                <w:bCs/>
                <w:color w:val="000000"/>
              </w:rPr>
            </w:r>
            <w:r>
              <w:rPr>
                <w:b/>
                <w:bCs/>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20.025.000</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6.676.335</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19.209.252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6.402.444</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16.690.910</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5.563.080</w:t>
            </w:r>
            <w:r>
              <w:rPr>
                <w:color w:val="000000"/>
              </w:rPr>
            </w:r>
            <w:r>
              <w:rPr>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Giá trị bình quân theo trọng số:</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18.641.859</w:t>
            </w:r>
            <w:r>
              <w:rPr>
                <w:b/>
                <w:bCs/>
                <w:color w:val="000000"/>
              </w:rPr>
            </w:r>
            <w:r>
              <w:rPr>
                <w:b/>
                <w:bCs/>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Làm tròn:</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18.600.000</w:t>
            </w:r>
            <w:r>
              <w:rPr>
                <w:b/>
                <w:bCs/>
                <w:color w:val="000000"/>
              </w:rPr>
            </w:r>
            <w:r>
              <w:rPr>
                <w:b/>
                <w:bCs/>
                <w:color w:val="000000"/>
              </w:rPr>
            </w:r>
          </w:p>
        </w:tc>
      </w:tr>
    </w:tbl>
    <w:p>
      <w:pPr>
        <w:pBdr/>
        <w:spacing w:after="120" w:before="120" w:line="276" w:lineRule="auto"/>
        <w:ind/>
        <w:jc w:val="both"/>
        <w:rPr>
          <w:b/>
          <w:bCs/>
        </w:rPr>
      </w:pPr>
      <w:r>
        <w:t xml:space="preserve">Tổ thẩm định sử dụng mức giá chỉ dẫn là mức giá bình quân có trọng số của 03 tài sản so sánh làm mức giá của tài sản thẩm định, tương ứng là</w:t>
      </w:r>
      <w:r>
        <w:t xml:space="preserve">:</w:t>
      </w:r>
      <w:r>
        <w:t xml:space="preserve"> </w:t>
      </w:r>
      <w:r>
        <w:rPr>
          <w:b/>
          <w:bCs/>
          <w:color w:val="000000" w:themeColor="text1"/>
          <w:lang w:val="vi-VN"/>
        </w:rPr>
        <w:t xml:space="preserve">18.600.000</w:t>
      </w:r>
      <w:r>
        <w:rPr>
          <w:b/>
          <w:bCs/>
          <w:color w:val="000000" w:themeColor="text1"/>
        </w:rPr>
        <w:t xml:space="preserve"> </w:t>
      </w:r>
      <w:r>
        <w:rPr>
          <w:b/>
          <w:bCs/>
        </w:rPr>
        <w:t xml:space="preserve">đồng/m².</w:t>
      </w:r>
      <w:r>
        <w:rPr>
          <w:b/>
          <w:bCs/>
        </w:rPr>
      </w:r>
      <w:r>
        <w:rPr>
          <w:b/>
          <w:bCs/>
        </w:rPr>
      </w:r>
    </w:p>
    <w:p>
      <w:pPr>
        <w:pStyle w:val="1039"/>
        <w:numPr>
          <w:ilvl w:val="0"/>
          <w:numId w:val="26"/>
        </w:numPr>
        <w:pBdr/>
        <w:spacing w:after="120" w:before="120" w:line="276" w:lineRule="auto"/>
        <w:ind w:hanging="357" w:left="357"/>
        <w:jc w:val="both"/>
        <w:rPr>
          <w:b/>
          <w:lang w:val="pt-BR"/>
        </w:rPr>
      </w:pPr>
      <w:r>
        <w:rPr>
          <w:b/>
          <w:lang w:val="pt-BR"/>
        </w:rPr>
        <w:t xml:space="preserve">Xác định đơn giá quyền sử dụng đất ở, quyền sử dụng đất trồng cây hàng năm khác:</w:t>
      </w:r>
      <w:r>
        <w:rPr>
          <w:b/>
          <w:lang w:val="pt-BR"/>
        </w:rPr>
      </w:r>
      <w:r>
        <w:rPr>
          <w:b/>
          <w:lang w:val="pt-BR"/>
        </w:rPr>
      </w:r>
    </w:p>
    <w:p>
      <w:pPr>
        <w:pBdr>
          <w:top w:val="none" w:color="000000" w:sz="4" w:space="0"/>
          <w:left w:val="none" w:color="000000" w:sz="4" w:space="0"/>
          <w:bottom w:val="none" w:color="000000" w:sz="4" w:space="0"/>
          <w:right w:val="none" w:color="000000" w:sz="4" w:space="0"/>
        </w:pBdr>
        <w:spacing w:after="120" w:before="120" w:line="276" w:lineRule="auto"/>
        <w:ind w:right="0" w:firstLine="360" w:left="0"/>
        <w:jc w:val="both"/>
        <w:rPr/>
      </w:pPr>
      <w:r>
        <w:rPr>
          <w:rFonts w:ascii="Times New Roman" w:hAnsi="Times New Roman" w:eastAsia="Times New Roman" w:cs="Times New Roman"/>
          <w:color w:val="000000"/>
          <w:sz w:val="24"/>
        </w:rPr>
        <w:t xml:space="preserve">Kh</w:t>
      </w:r>
      <w:r>
        <w:rPr>
          <w:rFonts w:ascii="Times New Roman" w:hAnsi="Times New Roman" w:eastAsia="Times New Roman" w:cs="Times New Roman"/>
          <w:color w:val="000000"/>
          <w:sz w:val="24"/>
        </w:rPr>
        <w:t xml:space="preserve">u vực tài sản thẩm định tọa lạc hạn chế giao dịch đất trồng cây hàng năm và đất ở riêng biệt mà hầu như chỉ có các giao dịch đất hỗn hợp, do vậy, cho mục đích định giá tại báo cáo này, Tổ thẩm định xác định giá trị đất trồng cây hàng năm và đất ở theo tỉ l</w:t>
      </w:r>
      <w:r>
        <w:rPr>
          <w:rFonts w:ascii="Times New Roman" w:hAnsi="Times New Roman" w:eastAsia="Times New Roman" w:cs="Times New Roman"/>
          <w:color w:val="000000"/>
          <w:sz w:val="24"/>
        </w:rPr>
        <w:t xml:space="preserve">ệ giữa giá đất trồng cây hàng năm với đất ở theo bảng giá UBND.</w:t>
      </w:r>
      <w:r/>
    </w:p>
    <w:p>
      <w:pPr>
        <w:pBdr>
          <w:top w:val="none" w:color="000000" w:sz="4" w:space="0"/>
          <w:left w:val="none" w:color="000000" w:sz="4" w:space="0"/>
          <w:bottom w:val="none" w:color="000000" w:sz="4" w:space="0"/>
          <w:right w:val="none" w:color="000000" w:sz="4" w:space="0"/>
        </w:pBdr>
        <w:spacing w:after="120" w:before="120" w:line="276" w:lineRule="auto"/>
        <w:ind w:right="0" w:firstLine="360" w:left="0"/>
        <w:jc w:val="both"/>
        <w:rPr/>
      </w:pPr>
      <w:r>
        <w:rPr>
          <w:rFonts w:ascii="Times New Roman" w:hAnsi="Times New Roman" w:eastAsia="Times New Roman" w:cs="Times New Roman"/>
          <w:color w:val="000000"/>
          <w:sz w:val="24"/>
        </w:rPr>
        <w:t xml:space="preserve">Vận dụng Nghị quyết số 52/2025/NQ-HĐND ngày 26/11/2025 của HĐND thành phố Hà Nội về việc quy định tiêu chí cụ thể để xác định vị trí từng loại đất, số lượng vị trí trong bảng giá đất; Quyết định bảng giá đất lần đầu trên địa bàn thành phố Hà Nội</w:t>
      </w:r>
      <w:r>
        <w:rPr>
          <w:rFonts w:ascii="Arial" w:hAnsi="Arial" w:eastAsia="Arial" w:cs="Arial"/>
          <w:color w:val="333333"/>
          <w:sz w:val="21"/>
          <w:highlight w:val="white"/>
        </w:rPr>
        <w:t xml:space="preserve">.</w:t>
      </w:r>
      <w:r/>
    </w:p>
    <w:p>
      <w:pPr>
        <w:pBdr>
          <w:top w:val="none" w:color="000000" w:sz="4" w:space="0"/>
          <w:left w:val="none" w:color="000000" w:sz="4" w:space="0"/>
          <w:bottom w:val="none" w:color="000000" w:sz="4" w:space="0"/>
          <w:right w:val="none" w:color="000000" w:sz="4" w:space="0"/>
        </w:pBdr>
        <w:spacing w:after="120" w:before="120" w:line="276" w:lineRule="auto"/>
        <w:ind w:right="0" w:firstLine="284" w:left="0"/>
        <w:jc w:val="both"/>
        <w:rPr>
          <w:rFonts w:ascii="Times New Roman" w:hAnsi="Times New Roman" w:eastAsia="Times New Roman" w:cs="Times New Roman"/>
          <w:b w:val="0"/>
          <w:bCs w:val="0"/>
          <w:color w:val="000000"/>
          <w:sz w:val="24"/>
          <w:szCs w:val="24"/>
          <w:highlight w:val="none"/>
        </w:rPr>
      </w:pPr>
      <w:r>
        <w:rPr>
          <w:rFonts w:ascii="Times New Roman" w:hAnsi="Times New Roman" w:eastAsia="Times New Roman" w:cs="Times New Roman"/>
          <w:color w:val="000000"/>
          <w:sz w:val="24"/>
        </w:rPr>
        <w:t xml:space="preserve">+ Đơn giá đất ở tại vị trí 2: “Đường tỉnh lộ 417 (đường tỉnh lộ 83 cũ): Đoạn từ đê sông Hồng  đến giáp xã Phúc Lộc” có đơn giá là: </w:t>
      </w:r>
      <w:r>
        <w:rPr>
          <w:rFonts w:ascii="Times New Roman" w:hAnsi="Times New Roman" w:eastAsia="Times New Roman" w:cs="Times New Roman"/>
          <w:b w:val="0"/>
          <w:bCs w:val="0"/>
          <w:color w:val="000000"/>
          <w:sz w:val="24"/>
        </w:rPr>
        <w:t xml:space="preserve">17.645.000 đồng. Khoảng cách từ tài sản đến đường </w:t>
      </w:r>
      <w:r>
        <w:rPr>
          <w:rFonts w:ascii="Times New Roman" w:hAnsi="Times New Roman" w:eastAsia="Times New Roman" w:cs="Times New Roman"/>
          <w:color w:val="000000"/>
          <w:sz w:val="24"/>
        </w:rPr>
        <w:t xml:space="preserve">“Đường tỉnh lộ 417 (đường tỉnh lộ 83 cũ): Đoạn từ đê sông Hồng  đến giáp xã Phúc Lộc”</w:t>
      </w:r>
      <w:r>
        <w:rPr>
          <w:rFonts w:ascii="Times New Roman" w:hAnsi="Times New Roman" w:eastAsia="Times New Roman" w:cs="Times New Roman"/>
          <w:b w:val="0"/>
          <w:bCs w:val="0"/>
          <w:color w:val="000000"/>
          <w:sz w:val="24"/>
        </w:rPr>
        <w:t xml:space="preserve"> &gt; 500m. Do đó tổ thẩm định xác định đơn giá đất ở theo UBND thành phố Hà Nội là: 17.645.000 * 0,8 =</w:t>
      </w:r>
      <w:r>
        <w:rPr>
          <w:rFonts w:ascii="Times New Roman" w:hAnsi="Times New Roman" w:eastAsia="Times New Roman" w:cs="Times New Roman"/>
          <w:b w:val="0"/>
          <w:bCs w:val="0"/>
          <w:color w:val="000000"/>
          <w:sz w:val="24"/>
        </w:rPr>
        <w:t xml:space="preserve"> </w:t>
      </w:r>
      <w:r>
        <w:rPr>
          <w:rFonts w:ascii="Times New Roman" w:hAnsi="Times New Roman" w:eastAsia="Times New Roman" w:cs="Times New Roman"/>
          <w:b w:val="0"/>
          <w:bCs w:val="0"/>
          <w:color w:val="000000"/>
          <w:sz w:val="24"/>
        </w:rPr>
        <w:t xml:space="preserve">14.116.000 đồng</w:t>
      </w:r>
      <w:r>
        <w:rPr>
          <w:rFonts w:ascii="Times New Roman" w:hAnsi="Times New Roman" w:eastAsia="Times New Roman" w:cs="Times New Roman"/>
          <w:b w:val="0"/>
          <w:bCs w:val="0"/>
          <w:color w:val="000000"/>
          <w:sz w:val="24"/>
        </w:rPr>
        <w:t xml:space="preserve">/m²</w:t>
      </w:r>
      <w:r>
        <w:rPr>
          <w:rFonts w:ascii="Times New Roman" w:hAnsi="Times New Roman" w:eastAsia="Times New Roman" w:cs="Times New Roman"/>
          <w:b w:val="0"/>
          <w:bCs w:val="0"/>
          <w:color w:val="000000"/>
          <w:sz w:val="24"/>
        </w:rPr>
        <w:t xml:space="preserve">.</w:t>
      </w:r>
      <w:r>
        <w:rPr>
          <w:rFonts w:ascii="Times New Roman" w:hAnsi="Times New Roman" w:eastAsia="Times New Roman" w:cs="Times New Roman"/>
          <w:b w:val="0"/>
          <w:bCs w:val="0"/>
          <w:sz w:val="24"/>
        </w:rPr>
      </w:r>
      <w:r>
        <w:rPr>
          <w:rFonts w:ascii="Times New Roman" w:hAnsi="Times New Roman" w:eastAsia="Times New Roman" w:cs="Times New Roman"/>
          <w:b w:val="0"/>
          <w:bCs w:val="0"/>
          <w:color w:val="000000"/>
          <w:sz w:val="24"/>
          <w:szCs w:val="24"/>
          <w:highlight w:val="none"/>
        </w:rPr>
      </w:r>
      <w:r>
        <w:rPr>
          <w:rFonts w:ascii="Times New Roman" w:hAnsi="Times New Roman" w:eastAsia="Times New Roman" w:cs="Times New Roman"/>
          <w:b/>
          <w:color w:val="000000"/>
          <w:sz w:val="24"/>
          <w:highlight w:val="none"/>
        </w:rPr>
      </w:r>
      <w:r>
        <w:rPr>
          <w:rFonts w:ascii="Times New Roman" w:hAnsi="Times New Roman" w:eastAsia="Times New Roman" w:cs="Times New Roman"/>
          <w:b/>
          <w:color w:val="000000"/>
          <w:sz w:val="24"/>
          <w:highlight w:val="none"/>
        </w:rPr>
      </w:r>
      <w:r>
        <w:rPr>
          <w:rFonts w:ascii="Times New Roman" w:hAnsi="Times New Roman" w:eastAsia="Times New Roman" w:cs="Times New Roman"/>
          <w:sz w:val="24"/>
          <w:szCs w:val="24"/>
        </w:rPr>
      </w:r>
      <w:r>
        <w:rPr>
          <w:rFonts w:ascii="Times New Roman" w:hAnsi="Times New Roman" w:eastAsia="Times New Roman" w:cs="Times New Roman"/>
          <w:b w:val="0"/>
          <w:bCs w:val="0"/>
          <w:color w:val="000000"/>
          <w:sz w:val="24"/>
          <w:szCs w:val="24"/>
          <w:highlight w:val="none"/>
        </w:rPr>
      </w:r>
    </w:p>
    <w:p>
      <w:pPr>
        <w:pBdr>
          <w:top w:val="none" w:color="000000" w:sz="4" w:space="0"/>
          <w:left w:val="none" w:color="000000" w:sz="4" w:space="0"/>
          <w:bottom w:val="none" w:color="000000" w:sz="4" w:space="0"/>
          <w:right w:val="none" w:color="000000" w:sz="4" w:space="0"/>
        </w:pBdr>
        <w:spacing w:after="120" w:before="120" w:line="276" w:lineRule="auto"/>
        <w:ind w:right="0" w:firstLine="284" w:left="0"/>
        <w:jc w:val="both"/>
        <w:rPr>
          <w:b w:val="0"/>
          <w:bCs w:val="0"/>
        </w:rPr>
      </w:pPr>
      <w:r>
        <w:rPr>
          <w:rFonts w:ascii="Times New Roman" w:hAnsi="Times New Roman" w:eastAsia="Times New Roman" w:cs="Times New Roman"/>
          <w:color w:val="000000"/>
          <w:sz w:val="24"/>
        </w:rPr>
        <w:t xml:space="preserve">+ Đơn giá đất trồng cây hàng năm tại huyện Đan Phượng (trước sắp xếp) có đơn giá : </w:t>
      </w:r>
      <w:r>
        <w:rPr>
          <w:rFonts w:ascii="Times New Roman" w:hAnsi="Times New Roman" w:eastAsia="Times New Roman" w:cs="Times New Roman"/>
          <w:b w:val="0"/>
          <w:bCs w:val="0"/>
          <w:color w:val="000000"/>
          <w:sz w:val="24"/>
        </w:rPr>
        <w:t xml:space="preserve">186.000 đồng/m².</w:t>
      </w:r>
      <w:r>
        <w:rPr>
          <w:b w:val="0"/>
          <w:bCs w:val="0"/>
        </w:rPr>
      </w:r>
    </w:p>
    <w:p>
      <w:pPr>
        <w:pBdr>
          <w:top w:val="none" w:color="000000" w:sz="4" w:space="0"/>
          <w:left w:val="none" w:color="000000" w:sz="4" w:space="0"/>
          <w:bottom w:val="none" w:color="000000" w:sz="4" w:space="0"/>
          <w:right w:val="none" w:color="000000" w:sz="4" w:space="0"/>
        </w:pBdr>
        <w:tabs>
          <w:tab w:val="left" w:leader="none" w:pos="426"/>
        </w:tabs>
        <w:spacing w:after="120" w:before="120"/>
        <w:ind w:right="0" w:firstLine="0" w:left="0"/>
        <w:jc w:val="both"/>
        <w:rPr/>
      </w:pPr>
      <w:r>
        <w:rPr>
          <w:rFonts w:ascii="Times New Roman" w:hAnsi="Times New Roman" w:eastAsia="Times New Roman" w:cs="Times New Roman"/>
          <w:color w:val="000000"/>
          <w:sz w:val="24"/>
        </w:rPr>
        <w:t xml:space="preserve">Gọi đơn giá đất ở là X, đơn giá đất trồng cây hàng năm khác là Y ta có tổng giá trị quyền sử dụng đất là:</w:t>
      </w:r>
      <w:r/>
    </w:p>
    <w:p>
      <w:pPr>
        <w:pBdr>
          <w:top w:val="none" w:color="000000" w:sz="4" w:space="0"/>
          <w:left w:val="none" w:color="000000" w:sz="4" w:space="0"/>
          <w:bottom w:val="none" w:color="000000" w:sz="4" w:space="0"/>
          <w:right w:val="none" w:color="000000" w:sz="4" w:space="0"/>
        </w:pBdr>
        <w:tabs>
          <w:tab w:val="left" w:leader="none" w:pos="426"/>
          <w:tab w:val="left" w:leader="none" w:pos="851"/>
        </w:tabs>
        <w:spacing w:after="120" w:before="120"/>
        <w:ind w:right="0" w:firstLine="284" w:left="0"/>
        <w:jc w:val="both"/>
        <w:rPr/>
      </w:pPr>
      <w:r>
        <w:rPr>
          <w:rFonts w:ascii="Times New Roman" w:hAnsi="Times New Roman" w:eastAsia="Times New Roman" w:cs="Times New Roman"/>
          <w:color w:val="000000"/>
          <w:sz w:val="24"/>
        </w:rPr>
        <w:tab/>
        <w:tab/>
        <w:t xml:space="preserve">180*X + 280,1*Y = 18.600.000* 460,1</w:t>
      </w:r>
      <w:r/>
    </w:p>
    <w:p>
      <w:pPr>
        <w:pBdr>
          <w:top w:val="none" w:color="000000" w:sz="4" w:space="0"/>
          <w:left w:val="none" w:color="000000" w:sz="4" w:space="0"/>
          <w:bottom w:val="none" w:color="000000" w:sz="4" w:space="0"/>
          <w:right w:val="none" w:color="000000" w:sz="4" w:space="0"/>
        </w:pBdr>
        <w:tabs>
          <w:tab w:val="left" w:leader="none" w:pos="851"/>
        </w:tabs>
        <w:spacing w:after="120" w:before="120"/>
        <w:ind w:right="0" w:firstLine="0" w:left="0"/>
        <w:jc w:val="both"/>
        <w:rPr/>
      </w:pPr>
      <w:r>
        <w:rPr>
          <w:rFonts w:ascii="Times New Roman" w:hAnsi="Times New Roman" w:eastAsia="Times New Roman" w:cs="Times New Roman"/>
          <w:color w:val="000000"/>
          <w:sz w:val="24"/>
        </w:rPr>
        <w:t xml:space="preserve">   </w:t>
        <w:tab/>
        <w:t xml:space="preserve">180*X + 280,1*Y = 8.557.860.000</w:t>
      </w:r>
      <w:r>
        <w:rPr>
          <w:rFonts w:ascii="Times New Roman" w:hAnsi="Times New Roman" w:eastAsia="Times New Roman" w:cs="Times New Roman"/>
          <w:color w:val="000000"/>
          <w:sz w:val="20"/>
          <w:vertAlign w:val="superscript"/>
        </w:rPr>
        <w:t xml:space="preserve">(1)</w:t>
      </w:r>
      <w:r/>
    </w:p>
    <w:p>
      <w:pPr>
        <w:pBdr>
          <w:top w:val="none" w:color="000000" w:sz="4" w:space="0"/>
          <w:left w:val="none" w:color="000000" w:sz="4" w:space="0"/>
          <w:bottom w:val="none" w:color="000000" w:sz="4" w:space="0"/>
          <w:right w:val="none" w:color="000000" w:sz="4" w:space="0"/>
        </w:pBdr>
        <w:tabs>
          <w:tab w:val="left" w:leader="none" w:pos="426"/>
        </w:tabs>
        <w:spacing w:after="120" w:before="120"/>
        <w:ind w:right="0" w:firstLine="0" w:left="0"/>
        <w:jc w:val="both"/>
        <w:rPr/>
      </w:pPr>
      <w:r>
        <w:rPr>
          <w:rFonts w:ascii="Times New Roman" w:hAnsi="Times New Roman" w:eastAsia="Times New Roman" w:cs="Times New Roman"/>
          <w:color w:val="000000"/>
          <w:sz w:val="24"/>
        </w:rPr>
        <w:t xml:space="preserve">Theo chênh lệch giá đất ở so với đất trồng cây lâu năm theo giá UBND:</w:t>
      </w:r>
      <w:r/>
    </w:p>
    <w:p>
      <w:pPr>
        <w:pBdr>
          <w:top w:val="none" w:color="000000" w:sz="4" w:space="0"/>
          <w:left w:val="none" w:color="000000" w:sz="4" w:space="0"/>
          <w:bottom w:val="none" w:color="000000" w:sz="4" w:space="0"/>
          <w:right w:val="none" w:color="000000" w:sz="4" w:space="0"/>
        </w:pBdr>
        <w:tabs>
          <w:tab w:val="left" w:leader="none" w:pos="851"/>
        </w:tabs>
        <w:spacing w:after="120" w:before="120"/>
        <w:ind w:right="0" w:firstLine="284" w:left="0"/>
        <w:jc w:val="both"/>
        <w:rPr/>
      </w:pPr>
      <w:r>
        <w:rPr>
          <w:rFonts w:ascii="Times New Roman" w:hAnsi="Times New Roman" w:eastAsia="Times New Roman" w:cs="Times New Roman"/>
          <w:color w:val="000000"/>
          <w:sz w:val="24"/>
        </w:rPr>
        <w:tab/>
        <w:t xml:space="preserve">X – Y = 14.116.000 - 186.000</w:t>
      </w:r>
      <w:r/>
    </w:p>
    <w:p>
      <w:pPr>
        <w:pBdr>
          <w:top w:val="none" w:color="000000" w:sz="4" w:space="0"/>
          <w:left w:val="none" w:color="000000" w:sz="4" w:space="0"/>
          <w:bottom w:val="none" w:color="000000" w:sz="4" w:space="0"/>
          <w:right w:val="none" w:color="000000" w:sz="4" w:space="0"/>
        </w:pBdr>
        <w:tabs>
          <w:tab w:val="left" w:leader="none" w:pos="851"/>
        </w:tabs>
        <w:spacing w:after="120" w:before="120"/>
        <w:ind w:right="0" w:firstLine="0" w:left="0"/>
        <w:jc w:val="both"/>
        <w:rPr/>
      </w:pPr>
      <w:r>
        <w:rPr>
          <w:rFonts w:ascii="Times New Roman" w:hAnsi="Times New Roman" w:eastAsia="Times New Roman" w:cs="Times New Roman"/>
          <w:color w:val="000000"/>
          <w:sz w:val="24"/>
        </w:rPr>
        <w:t xml:space="preserve">  </w:t>
        <w:tab/>
        <w:t xml:space="preserve">X – Y = 13.930.000 </w:t>
      </w:r>
      <w:r>
        <w:rPr>
          <w:rFonts w:ascii="Times New Roman" w:hAnsi="Times New Roman" w:eastAsia="Times New Roman" w:cs="Times New Roman"/>
          <w:color w:val="000000"/>
          <w:sz w:val="20"/>
          <w:vertAlign w:val="superscript"/>
        </w:rPr>
        <w:t xml:space="preserve">(2)</w:t>
      </w:r>
      <w:r/>
    </w:p>
    <w:p>
      <w:pPr>
        <w:pBdr/>
        <w:spacing w:after="120" w:before="120" w:line="276" w:lineRule="auto"/>
        <w:ind w:firstLine="0" w:left="357"/>
        <w:jc w:val="both"/>
        <w:rPr>
          <w:b w:val="0"/>
          <w:bCs w:val="0"/>
          <w:highlight w:val="none"/>
        </w:rPr>
      </w:pPr>
      <w:r>
        <w:rPr>
          <w:rFonts w:ascii="Times New Roman" w:hAnsi="Times New Roman" w:eastAsia="Times New Roman" w:cs="Times New Roman"/>
          <w:color w:val="000000"/>
          <w:sz w:val="24"/>
        </w:rPr>
        <w:t xml:space="preserve">Từ (1) và (2) suy ra : X = </w:t>
      </w:r>
      <w:r>
        <w:rPr>
          <w:rFonts w:ascii="Times New Roman" w:hAnsi="Times New Roman" w:eastAsia="Times New Roman" w:cs="Times New Roman"/>
          <w:b/>
          <w:color w:val="000000"/>
          <w:sz w:val="24"/>
        </w:rPr>
        <w:t xml:space="preserve">27.080.315 đồng/m</w:t>
      </w:r>
      <w:r>
        <w:rPr>
          <w:rFonts w:ascii="Times New Roman" w:hAnsi="Times New Roman" w:eastAsia="Times New Roman" w:cs="Times New Roman"/>
          <w:b/>
          <w:color w:val="000000"/>
          <w:sz w:val="20"/>
          <w:vertAlign w:val="superscript"/>
        </w:rPr>
        <w:t xml:space="preserve">2</w:t>
      </w:r>
      <w:r>
        <w:rPr>
          <w:rFonts w:ascii="Times New Roman" w:hAnsi="Times New Roman" w:eastAsia="Times New Roman" w:cs="Times New Roman"/>
          <w:b/>
          <w:color w:val="000000"/>
          <w:sz w:val="24"/>
        </w:rPr>
        <w:t xml:space="preserve"> </w:t>
      </w:r>
      <w:r>
        <w:rPr>
          <w:rFonts w:ascii="Times New Roman" w:hAnsi="Times New Roman" w:eastAsia="Times New Roman" w:cs="Times New Roman"/>
          <w:color w:val="000000"/>
          <w:sz w:val="24"/>
        </w:rPr>
        <w:t xml:space="preserve">và Y =</w:t>
      </w:r>
      <w:r>
        <w:rPr>
          <w:rFonts w:ascii="Times New Roman" w:hAnsi="Times New Roman" w:eastAsia="Times New Roman" w:cs="Times New Roman"/>
          <w:b/>
          <w:color w:val="000000"/>
          <w:sz w:val="24"/>
        </w:rPr>
        <w:t xml:space="preserve"> 13.150.315 đồng/m</w:t>
      </w:r>
      <w:r>
        <w:rPr>
          <w:rFonts w:ascii="Times New Roman" w:hAnsi="Times New Roman" w:eastAsia="Times New Roman" w:cs="Times New Roman"/>
          <w:b/>
          <w:color w:val="000000"/>
          <w:sz w:val="20"/>
          <w:vertAlign w:val="superscript"/>
        </w:rPr>
        <w:t xml:space="preserve">2</w:t>
      </w:r>
      <w:r>
        <w:rPr>
          <w:b w:val="0"/>
          <w:bCs w:val="0"/>
        </w:rPr>
      </w:r>
      <w:r>
        <w:rPr>
          <w:b w:val="0"/>
          <w:bCs w:val="0"/>
          <w:highlight w:val="none"/>
        </w:rPr>
      </w:r>
    </w:p>
    <w:p>
      <w:pPr>
        <w:pBdr/>
        <w:spacing w:after="120" w:before="120" w:line="276" w:lineRule="auto"/>
        <w:ind w:right="0" w:firstLine="0" w:left="0"/>
        <w:jc w:val="both"/>
        <w:rPr>
          <w:b w:val="0"/>
          <w:bCs/>
          <w:i/>
          <w:highlight w:val="none"/>
        </w:rPr>
      </w:pPr>
      <w:r>
        <w:rPr>
          <w:b w:val="0"/>
          <w:bCs w:val="0"/>
          <w:i/>
          <w:iCs/>
          <w:highlight w:val="none"/>
        </w:rPr>
      </w:r>
      <w:r>
        <w:rPr>
          <w:b w:val="0"/>
          <w:bCs w:val="0"/>
          <w:i/>
          <w:iCs/>
          <w:highlight w:val="none"/>
        </w:rPr>
        <w:t xml:space="preserve">Ghi chú: Trong quá trình sử dụng kết quả chứng thư và báo cáo thẩm định này, giá trị phần đất ở và đất trồng cây hàng năm không được tách rời nhau.</w:t>
      </w:r>
      <w:r>
        <w:rPr>
          <w:b w:val="0"/>
          <w:bCs w:val="0"/>
          <w:i/>
          <w:iCs/>
          <w:highlight w:val="none"/>
        </w:rPr>
      </w:r>
      <w:r>
        <w:rPr>
          <w:b w:val="0"/>
          <w:bCs w:val="0"/>
          <w:i/>
          <w:iCs/>
          <w:highlight w:val="none"/>
        </w:rPr>
      </w:r>
    </w:p>
    <w:p>
      <w:pPr>
        <w:pStyle w:val="1039"/>
        <w:numPr>
          <w:ilvl w:val="0"/>
          <w:numId w:val="44"/>
        </w:numPr>
        <w:pBdr/>
        <w:spacing w:after="120" w:before="120" w:line="276" w:lineRule="auto"/>
        <w:ind w:hanging="357" w:left="357"/>
        <w:jc w:val="both"/>
        <w:rPr>
          <w:b/>
          <w:lang w:val="pt-BR"/>
        </w:rPr>
      </w:pPr>
      <w:r>
        <w:rPr>
          <w:b/>
          <w:lang w:val="pt-BR"/>
        </w:rPr>
        <w:t xml:space="preserve">Kết quả thẩm định giá:</w:t>
      </w:r>
      <w:r>
        <w:rPr>
          <w:b/>
          <w:lang w:val="pt-BR"/>
        </w:rPr>
      </w:r>
      <w:r>
        <w:rPr>
          <w:b/>
          <w:lang w:val="pt-BR"/>
        </w:rPr>
      </w:r>
    </w:p>
    <w:p>
      <w:pPr>
        <w:pStyle w:val="1039"/>
        <w:pBdr/>
        <w:tabs>
          <w:tab w:val="left" w:leader="none" w:pos="993"/>
        </w:tabs>
        <w:spacing w:after="120" w:before="120" w:line="276" w:lineRule="auto"/>
        <w:ind w:left="0"/>
        <w:jc w:val="both"/>
        <w:rPr/>
      </w:pPr>
      <w:r>
        <w:rPr>
          <w:lang w:val="pt-BR"/>
        </w:rPr>
        <w:t xml:space="preserve">Dựa trên các lập luận trên, </w:t>
      </w:r>
      <w:r>
        <w:rPr>
          <w:lang w:val="pt-BR"/>
        </w:rPr>
        <w:t xml:space="preserve">T</w:t>
      </w:r>
      <w:r>
        <w:rPr>
          <w:lang w:val="pt-BR"/>
        </w:rPr>
        <w:t xml:space="preserve">ổ</w:t>
      </w:r>
      <w:r>
        <w:rPr>
          <w:lang w:val="pt-BR"/>
        </w:rPr>
        <w:t xml:space="preserve"> thẩm định ước tính giá trị </w:t>
      </w:r>
      <w:r>
        <w:rPr>
          <w:lang w:val="vi-VN"/>
        </w:rPr>
        <w:t xml:space="preserve">tài sản thẩm định giá</w:t>
      </w:r>
      <w:r>
        <w:rPr>
          <w:lang w:val="pt-BR"/>
        </w:rPr>
        <w:t xml:space="preserve"> </w:t>
      </w:r>
      <w:r>
        <w:rPr>
          <w:lang w:val="de-DE"/>
        </w:rPr>
        <w:t xml:space="preserve">chưa bao gồm các loại thuế, phí và lệ phí liên quan đến việc chuyển nhượng tài sản</w:t>
      </w:r>
      <w:r>
        <w:rPr>
          <w:lang w:val="pt-BR"/>
        </w:rPr>
        <w:t xml:space="preserve"> tại thời điểm thẩm định giá </w:t>
      </w:r>
      <w:r>
        <w:t xml:space="preserve">Tháng 07/2026</w:t>
      </w:r>
      <w:r>
        <w:t xml:space="preserve"> </w:t>
      </w:r>
      <w:r>
        <w:t xml:space="preserve">ước tính </w:t>
      </w:r>
      <w:r>
        <w:t xml:space="preserve">như sau</w:t>
      </w:r>
      <w:r>
        <w:t xml:space="preserve">:</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2"/>
        <w:gridCol w:w="1801"/>
        <w:gridCol w:w="2578"/>
        <w:gridCol w:w="2162"/>
      </w:tblGrid>
      <w:tr>
        <w:trPr>
          <w:trHeight w:val="20"/>
        </w:trPr>
        <w:tc>
          <w:tcPr>
            <w:shd w:val="clear" w:color="000000" w:fill="ffffff"/>
            <w:tcBorders/>
            <w:tcW w:w="363" w:type="pct"/>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1097" w:type="pct"/>
            <w:vAlign w:val="center"/>
            <w:textDirection w:val="lrTb"/>
            <w:noWrap w:val="false"/>
          </w:tcPr>
          <w:p>
            <w:pPr>
              <w:pBdr/>
              <w:spacing w:after="40" w:before="40" w:line="288" w:lineRule="auto"/>
              <w:ind/>
              <w:jc w:val="center"/>
              <w:rPr>
                <w:b/>
                <w:bCs/>
              </w:rPr>
            </w:pPr>
            <w:r>
              <w:rPr>
                <w:b/>
                <w:bCs/>
              </w:rPr>
              <w:t xml:space="preserve">Tài sản</w:t>
            </w:r>
            <w:r>
              <w:rPr>
                <w:b/>
                <w:bCs/>
              </w:rPr>
            </w:r>
            <w:r>
              <w:rPr>
                <w:b/>
                <w:bCs/>
              </w:rPr>
            </w:r>
          </w:p>
        </w:tc>
        <w:tc>
          <w:tcPr>
            <w:shd w:val="clear" w:color="000000" w:fill="ffffff"/>
            <w:tcBorders/>
            <w:tcW w:w="981" w:type="pct"/>
            <w:vAlign w:val="center"/>
            <w:textDirection w:val="lrTb"/>
            <w:noWrap w:val="false"/>
          </w:tcPr>
          <w:p>
            <w:pPr>
              <w:pBdr/>
              <w:spacing w:after="40" w:before="40" w:line="288" w:lineRule="auto"/>
              <w:ind/>
              <w:jc w:val="center"/>
              <w:rPr>
                <w:b/>
                <w:bCs/>
              </w:rPr>
            </w:pPr>
            <w:r>
              <w:rPr>
                <w:b/>
                <w:bCs/>
              </w:rPr>
              <w:t xml:space="preserve">Diện tích (m²)</w:t>
            </w:r>
            <w:r>
              <w:rPr>
                <w:b/>
                <w:bCs/>
              </w:rPr>
            </w:r>
            <w:r>
              <w:rPr>
                <w:b/>
                <w:bCs/>
              </w:rPr>
            </w:r>
          </w:p>
        </w:tc>
        <w:tc>
          <w:tcPr>
            <w:shd w:val="clear" w:color="000000" w:fill="ffffff"/>
            <w:tcBorders/>
            <w:tcW w:w="1389" w:type="pct"/>
            <w:vAlign w:val="center"/>
            <w:textDirection w:val="lrTb"/>
            <w:noWrap w:val="false"/>
          </w:tcPr>
          <w:p>
            <w:pPr>
              <w:pBdr/>
              <w:spacing w:after="40" w:before="40" w:line="288" w:lineRule="auto"/>
              <w:ind/>
              <w:jc w:val="center"/>
              <w:rPr>
                <w:b/>
                <w:bCs/>
              </w:rPr>
            </w:pPr>
            <w:r>
              <w:rPr>
                <w:b/>
                <w:bCs/>
              </w:rPr>
              <w:t xml:space="preserve">Đơn giá (đồng/m²)</w:t>
            </w:r>
            <w:r>
              <w:rPr>
                <w:b/>
                <w:bCs/>
              </w:rPr>
            </w:r>
            <w:r>
              <w:rPr>
                <w:b/>
                <w:bCs/>
              </w:rPr>
            </w:r>
          </w:p>
        </w:tc>
        <w:tc>
          <w:tcPr>
            <w:shd w:val="clear" w:color="000000" w:fill="ffffff"/>
            <w:tcBorders/>
            <w:tcW w:w="1170" w:type="pct"/>
            <w:vAlign w:val="center"/>
            <w:textDirection w:val="lrTb"/>
            <w:noWrap w:val="false"/>
          </w:tcPr>
          <w:p>
            <w:pPr>
              <w:pBdr/>
              <w:spacing w:after="40" w:before="40" w:line="288" w:lineRule="auto"/>
              <w:ind/>
              <w:jc w:val="center"/>
              <w:rPr>
                <w:b/>
                <w:bCs/>
              </w:rPr>
            </w:pPr>
            <w:r>
              <w:rPr>
                <w:b/>
                <w:bCs/>
              </w:rPr>
              <w:t xml:space="preserve">Thành tiền (đồng)</w:t>
            </w:r>
            <w:r>
              <w:rPr>
                <w:b/>
                <w:bCs/>
              </w:rPr>
            </w:r>
            <w:r>
              <w:rPr>
                <w:b/>
                <w:bCs/>
              </w:rPr>
            </w:r>
          </w:p>
        </w:tc>
      </w:tr>
      <w:tr>
        <w:trPr>
          <w:trHeight w:val="20"/>
        </w:trPr>
        <w:tc>
          <w:tcPr>
            <w:shd w:val="clear" w:color="000000" w:fill="ffffff"/>
            <w:tcBorders/>
            <w:tcW w:w="363" w:type="pct"/>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3467" w:type="pct"/>
            <w:vAlign w:val="center"/>
            <w:textDirection w:val="lrTb"/>
            <w:noWrap w:val="false"/>
          </w:tcPr>
          <w:p>
            <w:pPr>
              <w:pBdr/>
              <w:spacing w:after="40" w:before="40" w:line="288" w:lineRule="auto"/>
              <w:ind/>
              <w:jc w:val="both"/>
              <w:rPr>
                <w:b/>
                <w:bCs/>
              </w:rPr>
            </w:pPr>
            <w:r>
              <w:rPr>
                <w:b/>
                <w:bCs/>
                <w:color w:val="000000"/>
              </w:rPr>
              <w:t xml:space="preserve">Quyền sử dụng đất tại thửa đất số: 26, tờ bản đồ số: 23, có địa chỉ: Thôn 4, xã Trung Châu, huyện Đan Phượng, thành phố Hà Nội ( Nay là: Thôn 4, xã Liê</w:t>
            </w:r>
            <w:r>
              <w:rPr>
                <w:b/>
                <w:bCs/>
                <w:color w:val="000000"/>
              </w:rPr>
              <w:t xml:space="preserve">n Minh, thành phố Hà Nội) theo Giấy chứng nhận quyền sử dụng đất quyền sở hữu nhà ở và tài sản khác gắn liền với đất số: CH 670784, số vào sổ cấp GCN: CH-03178 do Ủy ban nhân dân huyện Đan Phượng cấp ngày 14/07/2017; Chủ sử dụng đất là Ông Nguyễn Văn Lịch.</w:t>
            </w:r>
            <w:r>
              <w:rPr>
                <w:b/>
                <w:bCs/>
              </w:rPr>
            </w:r>
            <w:r>
              <w:rPr>
                <w:b/>
                <w:bCs/>
              </w:rPr>
            </w:r>
          </w:p>
        </w:tc>
        <w:tc>
          <w:tcPr>
            <w:shd w:val="clear" w:color="000000" w:fill="ffffff"/>
            <w:tcBorders/>
            <w:tcW w:w="1170" w:type="pct"/>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363" w:type="pct"/>
            <w:vAlign w:val="center"/>
            <w:textDirection w:val="lrTb"/>
            <w:noWrap w:val="false"/>
          </w:tcPr>
          <w:p>
            <w:pPr>
              <w:pBdr/>
              <w:spacing w:after="40" w:before="40" w:line="288" w:lineRule="auto"/>
              <w:ind/>
              <w:jc w:val="center"/>
              <w:rPr>
                <w:b w:val="0"/>
                <w:bCs w:val="0"/>
              </w:rPr>
            </w:pPr>
            <w:r>
              <w:rPr>
                <w:b w:val="0"/>
                <w:bCs w:val="0"/>
              </w:rPr>
              <w:t xml:space="preserve">-</w:t>
            </w:r>
            <w:r>
              <w:rPr>
                <w:b w:val="0"/>
                <w:bCs w:val="0"/>
              </w:rPr>
            </w:r>
          </w:p>
        </w:tc>
        <w:tc>
          <w:tcPr>
            <w:shd w:val="clear" w:color="000000" w:fill="ffffff"/>
            <w:tcBorders/>
            <w:tcW w:w="1097" w:type="pct"/>
            <w:vAlign w:val="center"/>
            <w:textDirection w:val="lrTb"/>
            <w:noWrap w:val="false"/>
          </w:tcPr>
          <w:p>
            <w:pPr>
              <w:pBdr/>
              <w:spacing w:after="40" w:before="40" w:line="288" w:lineRule="auto"/>
              <w:ind/>
              <w:rPr>
                <w:b w:val="0"/>
                <w:bCs w:val="0"/>
              </w:rPr>
            </w:pPr>
            <w:r>
              <w:rPr>
                <w:b w:val="0"/>
                <w:bCs w:val="0"/>
              </w:rPr>
              <w:t xml:space="preserve">Đất ở nông thôn</w:t>
            </w:r>
            <w:r>
              <w:rPr>
                <w:b w:val="0"/>
                <w:bCs w:val="0"/>
              </w:rPr>
            </w:r>
          </w:p>
        </w:tc>
        <w:tc>
          <w:tcPr>
            <w:tcBorders/>
            <w:tcW w:w="981" w:type="pct"/>
            <w:vAlign w:val="center"/>
            <w:textDirection w:val="lrTb"/>
            <w:noWrap/>
          </w:tcPr>
          <w:p>
            <w:pPr>
              <w:pBdr/>
              <w:spacing w:after="40" w:before="40" w:line="288" w:lineRule="auto"/>
              <w:ind/>
              <w:jc w:val="center"/>
              <w:rPr>
                <w:color w:val="000000"/>
              </w:rPr>
            </w:pPr>
            <w:r>
              <w:rPr>
                <w:color w:val="000000" w:themeColor="text1"/>
              </w:rPr>
              <w:t xml:space="preserve">180</w:t>
            </w:r>
            <w:r>
              <w:rPr>
                <w:color w:val="000000"/>
              </w:rPr>
            </w:r>
            <w:r>
              <w:rPr>
                <w:color w:val="000000"/>
              </w:rPr>
            </w:r>
          </w:p>
        </w:tc>
        <w:tc>
          <w:tcPr>
            <w:shd w:val="clear" w:color="000000" w:fill="ffffff"/>
            <w:tcBorders/>
            <w:tcW w:w="1389" w:type="pct"/>
            <w:vAlign w:val="center"/>
            <w:textDirection w:val="lrTb"/>
            <w:noWrap w:val="false"/>
          </w:tcPr>
          <w:p>
            <w:pPr>
              <w:pBdr/>
              <w:spacing w:after="40" w:before="40" w:line="288" w:lineRule="auto"/>
              <w:ind/>
              <w:jc w:val="center"/>
              <w:rPr/>
            </w:pPr>
            <w:r>
              <w:rPr>
                <w:color w:val="000000" w:themeColor="text1"/>
              </w:rPr>
              <w:t xml:space="preserve">27.080.315</w:t>
            </w:r>
            <w:r/>
          </w:p>
        </w:tc>
        <w:tc>
          <w:tcPr>
            <w:shd w:val="clear" w:color="000000" w:fill="ffffff"/>
            <w:tcBorders/>
            <w:tcW w:w="1170" w:type="pct"/>
            <w:vAlign w:val="center"/>
            <w:textDirection w:val="lrTb"/>
            <w:noWrap w:val="false"/>
          </w:tcPr>
          <w:p>
            <w:pPr>
              <w:pBdr/>
              <w:spacing w:after="40" w:before="40" w:line="288" w:lineRule="auto"/>
              <w:ind/>
              <w:jc w:val="center"/>
              <w:rPr/>
            </w:pPr>
            <w:r>
              <w:rPr>
                <w:color w:val="000000" w:themeColor="text1"/>
              </w:rPr>
              <w:t xml:space="preserve">4.874.456.727</w:t>
            </w:r>
            <w:r/>
          </w:p>
        </w:tc>
      </w:tr>
      <w:tr>
        <w:trPr>
          <w:trHeight w:val="20"/>
        </w:trPr>
        <w:tc>
          <w:tcPr>
            <w:shd w:val="clear" w:color="000000" w:fill="ffffff"/>
            <w:tcBorders/>
            <w:tcW w:w="363" w:type="pct"/>
            <w:vAlign w:val="center"/>
            <w:textDirection w:val="lrTb"/>
            <w:noWrap w:val="false"/>
          </w:tcPr>
          <w:p>
            <w:pPr>
              <w:pBdr/>
              <w:spacing w:after="40" w:before="40" w:line="288" w:lineRule="auto"/>
              <w:ind/>
              <w:jc w:val="center"/>
              <w:rPr>
                <w:b w:val="0"/>
                <w:bCs w:val="0"/>
              </w:rPr>
            </w:pPr>
            <w:r>
              <w:rPr>
                <w:b w:val="0"/>
                <w:bCs w:val="0"/>
              </w:rPr>
              <w:t xml:space="preserve">-</w:t>
            </w:r>
            <w:r>
              <w:rPr>
                <w:b w:val="0"/>
                <w:bCs w:val="0"/>
              </w:rPr>
            </w:r>
          </w:p>
        </w:tc>
        <w:tc>
          <w:tcPr>
            <w:shd w:val="clear" w:color="000000" w:fill="ffffff"/>
            <w:tcBorders/>
            <w:tcW w:w="1097" w:type="pct"/>
            <w:vAlign w:val="center"/>
            <w:textDirection w:val="lrTb"/>
            <w:noWrap w:val="false"/>
          </w:tcPr>
          <w:p>
            <w:pPr>
              <w:pBdr/>
              <w:spacing w:after="40" w:before="40" w:line="288" w:lineRule="auto"/>
              <w:ind/>
              <w:rPr>
                <w:b w:val="0"/>
                <w:bCs w:val="0"/>
              </w:rPr>
            </w:pPr>
            <w:r>
              <w:rPr>
                <w:b w:val="0"/>
                <w:bCs w:val="0"/>
              </w:rPr>
              <w:t xml:space="preserve">Đất trồng cây hàng năm khác</w:t>
            </w:r>
            <w:r>
              <w:rPr>
                <w:b w:val="0"/>
                <w:bCs w:val="0"/>
              </w:rPr>
            </w:r>
          </w:p>
        </w:tc>
        <w:tc>
          <w:tcPr>
            <w:tcBorders/>
            <w:tcW w:w="981" w:type="pct"/>
            <w:vAlign w:val="center"/>
            <w:textDirection w:val="lrTb"/>
            <w:noWrap/>
          </w:tcPr>
          <w:p>
            <w:pPr>
              <w:pBdr/>
              <w:spacing w:after="40" w:before="40" w:line="288" w:lineRule="auto"/>
              <w:ind/>
              <w:jc w:val="center"/>
              <w:rPr>
                <w:color w:val="000000"/>
              </w:rPr>
            </w:pPr>
            <w:r>
              <w:rPr>
                <w:color w:val="000000" w:themeColor="text1"/>
              </w:rPr>
              <w:t xml:space="preserve">280,1</w:t>
            </w:r>
            <w:r>
              <w:rPr>
                <w:color w:val="000000"/>
              </w:rPr>
            </w:r>
            <w:r>
              <w:rPr>
                <w:color w:val="000000"/>
              </w:rPr>
            </w:r>
          </w:p>
        </w:tc>
        <w:tc>
          <w:tcPr>
            <w:shd w:val="clear" w:color="000000" w:fill="ffffff"/>
            <w:tcBorders/>
            <w:tcW w:w="1389" w:type="pct"/>
            <w:vAlign w:val="center"/>
            <w:textDirection w:val="lrTb"/>
            <w:noWrap w:val="false"/>
          </w:tcPr>
          <w:p>
            <w:pPr>
              <w:pBdr/>
              <w:spacing w:after="40" w:before="40" w:line="288" w:lineRule="auto"/>
              <w:ind/>
              <w:jc w:val="center"/>
              <w:rPr/>
            </w:pPr>
            <w:r>
              <w:rPr>
                <w:color w:val="000000" w:themeColor="text1"/>
              </w:rPr>
              <w:t xml:space="preserve">13.150.315</w:t>
            </w:r>
            <w:r/>
          </w:p>
        </w:tc>
        <w:tc>
          <w:tcPr>
            <w:shd w:val="clear" w:color="000000" w:fill="ffffff"/>
            <w:tcBorders/>
            <w:tcW w:w="1170" w:type="pct"/>
            <w:vAlign w:val="center"/>
            <w:textDirection w:val="lrTb"/>
            <w:noWrap w:val="false"/>
          </w:tcPr>
          <w:p>
            <w:pPr>
              <w:pBdr/>
              <w:spacing w:after="40" w:before="40" w:line="288" w:lineRule="auto"/>
              <w:ind/>
              <w:jc w:val="center"/>
              <w:rPr/>
            </w:pPr>
            <w:r>
              <w:rPr>
                <w:color w:val="000000" w:themeColor="text1"/>
              </w:rPr>
              <w:t xml:space="preserve">3.683.403.273</w:t>
            </w:r>
            <w:r/>
          </w:p>
        </w:tc>
      </w:tr>
      <w:tr>
        <w:trPr>
          <w:trHeight w:val="20"/>
        </w:trPr>
        <w:tc>
          <w:tcPr>
            <w:gridSpan w:val="4"/>
            <w:tcBorders/>
            <w:tcW w:w="3830" w:type="pct"/>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1170" w:type="pct"/>
            <w:vAlign w:val="center"/>
            <w:textDirection w:val="lrTb"/>
            <w:noWrap/>
          </w:tcPr>
          <w:p>
            <w:pPr>
              <w:pBdr/>
              <w:spacing w:after="40" w:before="40" w:line="288" w:lineRule="auto"/>
              <w:ind/>
              <w:jc w:val="center"/>
              <w:rPr>
                <w:b/>
                <w:bCs/>
                <w:color w:val="000000"/>
              </w:rPr>
            </w:pPr>
            <w:r>
              <w:rPr>
                <w:b/>
                <w:bCs/>
              </w:rPr>
              <w:t xml:space="preserve">8.557.860.000</w:t>
            </w:r>
            <w:r>
              <w:rPr>
                <w:b/>
                <w:bCs/>
                <w:color w:val="000000"/>
              </w:rPr>
            </w:r>
            <w:r>
              <w:rPr>
                <w:b/>
                <w:bCs/>
                <w:color w:val="000000"/>
              </w:rPr>
            </w:r>
          </w:p>
        </w:tc>
      </w:tr>
      <w:tr>
        <w:trPr>
          <w:trHeight w:val="20"/>
        </w:trPr>
        <w:tc>
          <w:tcPr>
            <w:gridSpan w:val="4"/>
            <w:tcBorders/>
            <w:tcW w:w="3830" w:type="pct"/>
            <w:vAlign w:val="center"/>
            <w:textDirection w:val="lrTb"/>
            <w:noWrap/>
          </w:tcPr>
          <w:p>
            <w:pPr>
              <w:pBdr/>
              <w:spacing w:after="40" w:before="40" w:line="288" w:lineRule="auto"/>
              <w:ind/>
              <w:jc w:val="center"/>
              <w:rPr>
                <w:b/>
                <w:bCs/>
                <w:color w:val="000000"/>
              </w:rPr>
            </w:pPr>
            <w:r>
              <w:rPr>
                <w:b/>
                <w:bCs/>
                <w:color w:val="000000"/>
              </w:rPr>
              <w:t xml:space="preserve">LÀM TRÒN</w:t>
            </w:r>
            <w:r>
              <w:rPr>
                <w:b/>
                <w:bCs/>
                <w:color w:val="000000"/>
              </w:rPr>
            </w:r>
            <w:r>
              <w:rPr>
                <w:b/>
                <w:bCs/>
                <w:color w:val="000000"/>
              </w:rPr>
            </w:r>
          </w:p>
        </w:tc>
        <w:tc>
          <w:tcPr>
            <w:tcBorders/>
            <w:tcW w:w="1170" w:type="pct"/>
            <w:vAlign w:val="center"/>
            <w:textDirection w:val="lrTb"/>
            <w:noWrap/>
          </w:tcPr>
          <w:p>
            <w:pPr>
              <w:pBdr/>
              <w:spacing w:after="40" w:before="40" w:line="288" w:lineRule="auto"/>
              <w:ind/>
              <w:jc w:val="center"/>
              <w:rPr>
                <w:b/>
                <w:bCs/>
                <w:color w:val="000000"/>
              </w:rPr>
            </w:pPr>
            <w:r>
              <w:rPr>
                <w:b/>
                <w:bCs/>
                <w:color w:val="000000"/>
              </w:rPr>
              <w:t xml:space="preserve">8.557.900.000</w:t>
            </w:r>
            <w:r>
              <w:rPr>
                <w:b/>
                <w:bCs/>
                <w:color w:val="000000"/>
              </w:rPr>
            </w:r>
            <w:r>
              <w:rPr>
                <w:b/>
                <w:bCs/>
                <w:color w:val="000000"/>
              </w:rPr>
            </w:r>
          </w:p>
        </w:tc>
      </w:tr>
      <w:tr>
        <w:trPr>
          <w:trHeight w:val="20"/>
        </w:trPr>
        <w:tc>
          <w:tcPr>
            <w:gridSpan w:val="5"/>
            <w:tcBorders/>
            <w:tcW w:w="5000" w:type="pct"/>
            <w:vAlign w:val="center"/>
            <w:textDirection w:val="lrTb"/>
            <w:noWrap w:val="false"/>
          </w:tcPr>
          <w:p>
            <w:pPr>
              <w:pBdr/>
              <w:spacing w:after="40" w:before="40" w:line="288" w:lineRule="auto"/>
              <w:ind/>
              <w:jc w:val="center"/>
              <w:rPr>
                <w:b/>
                <w:bCs/>
                <w:i/>
                <w:iCs/>
                <w:color w:val="000000"/>
              </w:rPr>
            </w:pPr>
            <w:r>
              <w:rPr>
                <w:b/>
                <w:bCs/>
                <w:i/>
                <w:iCs/>
                <w:color w:val="000000"/>
              </w:rPr>
              <w:t xml:space="preserve">(Bằng chữ: </w:t>
            </w:r>
            <w:r>
              <w:rPr>
                <w:b/>
                <w:bCs/>
                <w:i/>
                <w:iCs/>
                <w:color w:val="000000"/>
              </w:rPr>
              <w:t xml:space="preserve">Tám tỷ năm trăm năm mươi bảy triệu chín trăm nghìn </w:t>
            </w:r>
            <w:r>
              <w:rPr>
                <w:b/>
                <w:bCs/>
                <w:i/>
                <w:iCs/>
                <w:color w:val="000000"/>
              </w:rPr>
              <w:t xml:space="preserve">đồng</w:t>
            </w:r>
            <w:r>
              <w:rPr>
                <w:b/>
                <w:bCs/>
                <w:i/>
                <w:iCs/>
                <w:color w:val="000000"/>
              </w:rPr>
              <w:t xml:space="preserve">./.)</w:t>
            </w:r>
            <w:r>
              <w:rPr>
                <w:b/>
                <w:bCs/>
                <w:i/>
                <w:iCs/>
                <w:color w:val="000000"/>
              </w:rPr>
            </w:r>
            <w:r>
              <w:rPr>
                <w:b/>
                <w:bCs/>
                <w:i/>
                <w:iCs/>
                <w:color w:val="000000"/>
              </w:rPr>
            </w:r>
          </w:p>
        </w:tc>
      </w:tr>
    </w:tbl>
    <w:p>
      <w:pPr>
        <w:pStyle w:val="1039"/>
        <w:pBdr/>
        <w:tabs>
          <w:tab w:val="left" w:leader="none" w:pos="993"/>
        </w:tabs>
        <w:spacing w:after="120" w:before="120" w:line="288"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pPr>
        <w:pStyle w:val="1039"/>
        <w:numPr>
          <w:ilvl w:val="0"/>
          <w:numId w:val="4"/>
        </w:numPr>
        <w:pBdr/>
        <w:tabs>
          <w:tab w:val="left" w:leader="none" w:pos="993"/>
        </w:tabs>
        <w:spacing w:after="120" w:before="120" w:line="288" w:lineRule="auto"/>
        <w:ind/>
        <w:jc w:val="both"/>
        <w:rPr>
          <w:b/>
          <w:lang w:val="pt-BR"/>
        </w:rPr>
      </w:pPr>
      <w:r>
        <w:rPr>
          <w:lang w:val="pt-BR"/>
        </w:rPr>
        <w:t xml:space="preserve">Tối đa 06 (sáu) tháng tính từ ngày ký đối với tài sản là Bất động sản.</w:t>
      </w:r>
      <w:r>
        <w:rPr>
          <w:b/>
          <w:lang w:val="pt-BR"/>
        </w:rPr>
      </w:r>
      <w:r>
        <w:rPr>
          <w:b/>
          <w:lang w:val="pt-BR"/>
        </w:rPr>
      </w:r>
    </w:p>
    <w:p>
      <w:pPr>
        <w:pStyle w:val="1039"/>
        <w:pBdr/>
        <w:tabs>
          <w:tab w:val="left" w:leader="none" w:pos="993"/>
        </w:tabs>
        <w:spacing w:after="120" w:before="120" w:line="288"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pPr>
        <w:pStyle w:val="1039"/>
        <w:numPr>
          <w:ilvl w:val="0"/>
          <w:numId w:val="5"/>
        </w:numPr>
        <w:pBdr/>
        <w:tabs>
          <w:tab w:val="left" w:leader="none" w:pos="993"/>
        </w:tabs>
        <w:spacing w:after="120" w:before="120" w:line="288" w:lineRule="auto"/>
        <w:ind/>
        <w:jc w:val="both"/>
        <w:rPr>
          <w:lang w:val="pt-BR"/>
        </w:rPr>
      </w:pPr>
      <w:r>
        <w:rPr>
          <w:lang w:val="pt-BR"/>
        </w:rPr>
        <w:t xml:space="preserve">Công ty </w:t>
      </w:r>
      <w:r>
        <w:rPr>
          <w:lang w:val="pt-BR"/>
        </w:rPr>
        <w:t xml:space="preserve">Cổ phần Thẩm định</w:t>
      </w:r>
      <w:r>
        <w:rPr>
          <w:lang w:val="pt-BR"/>
        </w:rPr>
        <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r>
        <w:rPr>
          <w:lang w:val="pt-BR"/>
        </w:rPr>
      </w:r>
      <w:r>
        <w:rPr>
          <w:lang w:val="pt-BR"/>
        </w:rPr>
      </w:r>
    </w:p>
    <w:p>
      <w:pPr>
        <w:pStyle w:val="1039"/>
        <w:numPr>
          <w:ilvl w:val="0"/>
          <w:numId w:val="5"/>
        </w:numPr>
        <w:pBdr/>
        <w:tabs>
          <w:tab w:val="left" w:leader="none" w:pos="993"/>
        </w:tabs>
        <w:spacing w:after="120" w:before="120" w:line="288" w:lineRule="auto"/>
        <w:ind/>
        <w:jc w:val="both"/>
        <w:rPr>
          <w:lang w:val="pt-BR"/>
        </w:rPr>
      </w:pPr>
      <w:r>
        <w:rPr>
          <w:lang w:val="pt-BR"/>
        </w:rPr>
        <w:t xml:space="preserve">Thẩm định giá không phải là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w:t>
      </w:r>
      <w:r>
        <w:rPr>
          <w:lang w:val="pt-BR"/>
        </w:rPr>
        <w:t xml:space="preserve">ẩm định giá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r>
        <w:rPr>
          <w:lang w:val="pt-BR"/>
        </w:rPr>
      </w:r>
      <w:r>
        <w:rPr>
          <w:lang w:val="pt-BR"/>
        </w:rPr>
      </w:r>
    </w:p>
    <w:p>
      <w:pPr>
        <w:pStyle w:val="1039"/>
        <w:numPr>
          <w:ilvl w:val="0"/>
          <w:numId w:val="5"/>
        </w:numPr>
        <w:pBdr/>
        <w:tabs>
          <w:tab w:val="left" w:leader="none" w:pos="993"/>
        </w:tabs>
        <w:spacing w:after="120" w:before="120" w:line="288" w:lineRule="auto"/>
        <w:ind/>
        <w:jc w:val="both"/>
        <w:rPr>
          <w:lang w:val="pt-BR"/>
        </w:rPr>
      </w:pPr>
      <w:r>
        <w:rPr>
          <w:lang w:val="pt-BR"/>
        </w:rPr>
        <w:t xml:space="preserve">Chứng thư, Báo cáo này được soạn thảo theo Hợp đồng được ký kết</w:t>
      </w:r>
      <w:r>
        <w:rPr>
          <w:lang w:val="pt-BR"/>
        </w:rPr>
        <w:t xml:space="preserve"> </w:t>
      </w:r>
      <w:r>
        <w:rPr>
          <w:lang w:val="pt-BR"/>
        </w:rPr>
        <w:t xml:space="preserve">và tuâ</w:t>
      </w:r>
      <w:r>
        <w:rPr>
          <w:lang w:val="pt-BR"/>
        </w:rPr>
        <w:t xml:space="preserve">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r>
        <w:rPr>
          <w:lang w:val="pt-BR"/>
        </w:rPr>
      </w:r>
      <w:r>
        <w:rPr>
          <w:lang w:val="pt-BR"/>
        </w:rPr>
      </w:r>
    </w:p>
    <w:p>
      <w:pPr>
        <w:pStyle w:val="1039"/>
        <w:numPr>
          <w:ilvl w:val="0"/>
          <w:numId w:val="5"/>
        </w:numPr>
        <w:pBdr/>
        <w:tabs>
          <w:tab w:val="left" w:leader="none" w:pos="993"/>
        </w:tabs>
        <w:spacing w:after="120" w:before="120" w:line="288" w:lineRule="auto"/>
        <w:ind/>
        <w:jc w:val="both"/>
        <w:rPr>
          <w:lang w:val="pt-BR"/>
        </w:rPr>
      </w:pPr>
      <w:r>
        <w:rPr>
          <w:lang w:val="pt-BR"/>
        </w:rPr>
        <w:t xml:space="preserve">Các bên liên quan khi đọc và thực hiện sử dụng sản phẩm tư vấn này, tức là đã chấp nhận và đồng ý với những điều khoản sau:</w:t>
      </w:r>
      <w:r>
        <w:rPr>
          <w:lang w:val="pt-BR"/>
        </w:rPr>
      </w:r>
      <w:r>
        <w:rPr>
          <w:lang w:val="pt-BR"/>
        </w:rPr>
      </w:r>
    </w:p>
    <w:p>
      <w:pPr>
        <w:pStyle w:val="1039"/>
        <w:numPr>
          <w:ilvl w:val="0"/>
          <w:numId w:val="10"/>
        </w:numPr>
        <w:pBdr/>
        <w:spacing w:after="120" w:before="120" w:line="288" w:lineRule="auto"/>
        <w:ind w:hanging="284" w:left="426"/>
        <w:jc w:val="both"/>
        <w:rPr>
          <w:lang w:val="pt-BR"/>
        </w:rPr>
      </w:pPr>
      <w:r>
        <w:rPr>
          <w:lang w:val="pt-BR"/>
        </w:rPr>
        <w:t xml:space="preserve">Sản phẩm tư vấn của Chúng tôi chỉ nhằm mục đích duy nhất đã ghi tại Mục 4 của Chứng thư mà không nhằm bất kỳ mục đích nào khác và mọi hành</w:t>
      </w:r>
      <w:r>
        <w:rPr>
          <w:lang w:val="pt-BR"/>
        </w:rPr>
        <w:t xml:space="preserve">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w:t>
      </w:r>
      <w:r>
        <w:rPr>
          <w:lang w:val="pt-BR"/>
        </w:rPr>
        <w:t xml:space="preserve">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r>
        <w:rPr>
          <w:lang w:val="pt-BR"/>
        </w:rPr>
      </w:r>
      <w:r>
        <w:rPr>
          <w:lang w:val="pt-BR"/>
        </w:rPr>
      </w:r>
    </w:p>
    <w:p>
      <w:pPr>
        <w:pStyle w:val="1039"/>
        <w:numPr>
          <w:ilvl w:val="0"/>
          <w:numId w:val="10"/>
        </w:numPr>
        <w:pBdr/>
        <w:spacing w:after="120" w:before="120" w:line="288" w:lineRule="auto"/>
        <w:ind w:hanging="284" w:left="426"/>
        <w:jc w:val="both"/>
        <w:rPr>
          <w:lang w:val="pt-BR"/>
        </w:rPr>
      </w:pPr>
      <w:r>
        <w:rPr>
          <w:lang w:val="pt-BR"/>
        </w:rPr>
        <w:t xml:space="preserve">Lotus VFI, Ban Lãnh đạo, toàn thể nhân viên, Thẩm định viên và đại diện pháp luật của Lotus VFI khôn</w:t>
      </w:r>
      <w:r>
        <w:rPr>
          <w:lang w:val="pt-BR"/>
        </w:rPr>
        <w:t xml:space="preserve">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w:t>
      </w:r>
      <w:r>
        <w:rPr>
          <w:lang w:val="pt-BR"/>
        </w:rPr>
        <w:t xml:space="preserve">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r>
        <w:rPr>
          <w:lang w:val="pt-BR"/>
        </w:rPr>
      </w:r>
      <w:r>
        <w:rPr>
          <w:lang w:val="pt-BR"/>
        </w:rPr>
      </w:r>
    </w:p>
    <w:p>
      <w:pPr>
        <w:pStyle w:val="1039"/>
        <w:numPr>
          <w:ilvl w:val="0"/>
          <w:numId w:val="10"/>
        </w:numPr>
        <w:pBdr/>
        <w:spacing w:after="120" w:before="120" w:line="288" w:lineRule="auto"/>
        <w:ind w:hanging="284" w:left="426"/>
        <w:jc w:val="both"/>
        <w:rPr>
          <w:lang w:val="pt-BR"/>
        </w:rPr>
      </w:pPr>
      <w:r>
        <w:rPr>
          <w:lang w:val="pt-BR"/>
        </w:rPr>
        <w:t xml:space="preserve">Khách hàng hoặc bất kỳ bên nào khác sử dụng báo cáo này và bất kỳ hoạt động nào của bất kỳ bên liên q</w:t>
      </w:r>
      <w:r>
        <w:rPr>
          <w:lang w:val="pt-BR"/>
        </w:rPr>
        <w:t xml:space="preserve">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w:t>
      </w:r>
      <w:r>
        <w:rPr>
          <w:lang w:val="pt-BR"/>
        </w:rPr>
        <w:t xml:space="preserve">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w:t>
      </w:r>
      <w:r>
        <w:rPr>
          <w:lang w:val="pt-BR"/>
        </w:rPr>
        <w:t xml:space="preserve">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r>
        <w:rPr>
          <w:lang w:val="pt-BR"/>
        </w:rPr>
      </w:r>
      <w:r>
        <w:rPr>
          <w:lang w:val="pt-BR"/>
        </w:rPr>
      </w:r>
    </w:p>
    <w:p>
      <w:pPr>
        <w:pStyle w:val="1039"/>
        <w:pBdr/>
        <w:tabs>
          <w:tab w:val="left" w:leader="none" w:pos="993"/>
        </w:tabs>
        <w:spacing w:after="120" w:before="120" w:line="288"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pPr>
        <w:pStyle w:val="1039"/>
        <w:numPr>
          <w:ilvl w:val="0"/>
          <w:numId w:val="5"/>
        </w:numPr>
        <w:pBdr/>
        <w:tabs>
          <w:tab w:val="left" w:leader="none" w:pos="993"/>
        </w:tabs>
        <w:spacing w:after="120" w:before="120" w:line="288" w:lineRule="auto"/>
        <w:ind w:hanging="357" w:left="357"/>
        <w:jc w:val="both"/>
        <w:rPr>
          <w:lang w:val="pt-BR"/>
        </w:rPr>
      </w:pPr>
      <w:r>
        <w:rPr>
          <w:lang w:val="pt-BR"/>
        </w:rPr>
        <w:t xml:space="preserve">Chứng thư này chỉ được cung cấp theo yêu cầu của khách hàng. Chỉ bản chính và bản sao Chứng thư thẩm định giá do Công ty </w:t>
      </w:r>
      <w:r>
        <w:rPr>
          <w:lang w:val="pt-BR"/>
        </w:rPr>
        <w:t xml:space="preserve">Cổ phần Thẩm định</w:t>
      </w:r>
      <w:r>
        <w:rPr>
          <w:lang w:val="pt-BR"/>
        </w:rPr>
        <w:t xml:space="preserve"> và Đầu tư Tài chính Hoa Sen cấp mới có giá trị. Mọi hành vi sử dụng bản sao Chứng thư/Báo cáo kết quả thẩm định giá mà không có xác nhận của Công ty </w:t>
      </w:r>
      <w:r>
        <w:rPr>
          <w:lang w:val="pt-BR"/>
        </w:rPr>
        <w:t xml:space="preserve">Cổ phần Thẩm định</w:t>
      </w:r>
      <w:r>
        <w:rPr>
          <w:lang w:val="pt-BR"/>
        </w:rPr>
        <w:t xml:space="preserve"> và Đầu tư Tài chính Hoa Sen đều vi phạm pháp luật và không có giá trị.</w:t>
      </w:r>
      <w:r>
        <w:rPr>
          <w:lang w:val="pt-BR"/>
        </w:rPr>
      </w:r>
      <w:r>
        <w:rPr>
          <w:lang w:val="pt-BR"/>
        </w:rPr>
      </w:r>
    </w:p>
    <w:p>
      <w:pPr>
        <w:pStyle w:val="1039"/>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trên chỉ xác nhận khi khách hàng hoàn tất các thủ tục pháp lý và nghĩa vụ tài chính liên quan đến tài sản thẩm định theo quy định của pháp luật hiện hành.</w:t>
      </w:r>
      <w:r>
        <w:rPr>
          <w:lang w:val="pt-BR"/>
        </w:rPr>
      </w:r>
      <w:r>
        <w:rPr>
          <w:lang w:val="pt-BR"/>
        </w:rPr>
      </w:r>
    </w:p>
    <w:p>
      <w:pPr>
        <w:pStyle w:val="1039"/>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r>
        <w:rPr>
          <w:lang w:val="pt-BR"/>
        </w:rPr>
      </w:r>
      <w:r>
        <w:rPr>
          <w:lang w:val="pt-BR"/>
        </w:rPr>
      </w:r>
    </w:p>
    <w:p>
      <w:pPr>
        <w:pStyle w:val="1039"/>
        <w:numPr>
          <w:ilvl w:val="0"/>
          <w:numId w:val="5"/>
        </w:numPr>
        <w:pBdr/>
        <w:tabs>
          <w:tab w:val="left" w:leader="none" w:pos="993"/>
        </w:tabs>
        <w:spacing w:after="120" w:before="120" w:line="288" w:lineRule="auto"/>
        <w:ind/>
        <w:jc w:val="both"/>
        <w:rPr>
          <w:b/>
          <w:lang w:val="pt-BR"/>
        </w:rPr>
      </w:pPr>
      <w:r>
        <w:rPr>
          <w:lang w:val="pt-BR"/>
        </w:rPr>
        <w:t xml:space="preserve">Các phương pháp tính toán trên cơ sở tài liệu được cung cấp bởi khách hàng và dựa trên các tài liệu khác có liên quan do tổ</w:t>
      </w:r>
      <w:r>
        <w:rPr>
          <w:lang w:val="vi-VN"/>
        </w:rPr>
        <w:t xml:space="preserve"> </w:t>
      </w:r>
      <w:r>
        <w:rPr>
          <w:lang w:val="pt-BR"/>
        </w:rPr>
        <w:t xml:space="preserve">thẩm định thu thập, cũng như các điều kiện và kỳ vọng tại thời điểm thẩm định giá phù hợp với các luật định, chính sách quản lý của Nhà nước hiện hành và các điều </w:t>
      </w:r>
      <w:r>
        <w:rPr>
          <w:lang w:val="pt-BR"/>
        </w:rPr>
        <w:t xml:space="preserve">kiện, giả định theo quan điểm hợp lý của tổ</w:t>
      </w:r>
      <w:r>
        <w:rPr>
          <w:lang w:val="vi-VN"/>
        </w:rPr>
        <w:t xml:space="preserve"> </w:t>
      </w:r>
      <w:r>
        <w:rPr>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Pr>
          <w:lang w:val="vi-VN"/>
        </w:rPr>
        <w:t xml:space="preserve">tổ </w:t>
      </w:r>
      <w:r>
        <w:rPr>
          <w:lang w:val="pt-BR"/>
        </w:rPr>
        <w:t xml:space="preserve">thẩm định không đảm bảo là các giả định làm cơ sở thẩm định giá là chính xác hoàn toàn.</w:t>
      </w:r>
      <w:r>
        <w:rPr>
          <w:b/>
          <w:lang w:val="pt-BR"/>
        </w:rPr>
      </w:r>
      <w:r>
        <w:rPr>
          <w:b/>
          <w:lang w:val="pt-BR"/>
        </w:rPr>
      </w:r>
    </w:p>
    <w:p>
      <w:pPr>
        <w:pStyle w:val="1039"/>
        <w:numPr>
          <w:ilvl w:val="0"/>
          <w:numId w:val="5"/>
        </w:numPr>
        <w:pBdr/>
        <w:tabs>
          <w:tab w:val="left" w:leader="none" w:pos="993"/>
        </w:tabs>
        <w:spacing w:after="120" w:before="120" w:line="288" w:lineRule="auto"/>
        <w:ind/>
        <w:jc w:val="both"/>
        <w:rPr>
          <w:b/>
          <w:spacing w:val="2"/>
          <w:lang w:val="pt-BR"/>
        </w:rPr>
      </w:pPr>
      <w:r>
        <w:rPr>
          <w:spacing w:val="2"/>
          <w:lang w:val="pt-BR"/>
        </w:rPr>
        <w:t xml:space="preserve">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w:t>
      </w:r>
      <w:r>
        <w:rPr>
          <w:spacing w:val="2"/>
          <w:lang w:val="pt-BR"/>
        </w:rPr>
        <w:t xml:space="preserve">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w:t>
      </w:r>
      <w:r>
        <w:rPr>
          <w:spacing w:val="2"/>
          <w:lang w:val="pt-BR"/>
        </w:rPr>
        <w:t xml:space="preserve">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r>
        <w:rPr>
          <w:b/>
          <w:spacing w:val="2"/>
          <w:lang w:val="pt-BR"/>
        </w:rPr>
      </w:r>
      <w:r>
        <w:rPr>
          <w:b/>
          <w:spacing w:val="2"/>
          <w:lang w:val="pt-BR"/>
        </w:rPr>
      </w:r>
    </w:p>
    <w:p>
      <w:pPr>
        <w:pStyle w:val="1039"/>
        <w:numPr>
          <w:ilvl w:val="0"/>
          <w:numId w:val="5"/>
        </w:numPr>
        <w:pBdr/>
        <w:tabs>
          <w:tab w:val="left" w:leader="none" w:pos="993"/>
        </w:tabs>
        <w:spacing w:after="120" w:before="120" w:line="288" w:lineRule="auto"/>
        <w:ind w:hanging="357" w:left="357"/>
        <w:jc w:val="both"/>
        <w:rPr>
          <w:b/>
          <w:lang w:val="pt-BR"/>
        </w:rPr>
      </w:pPr>
      <w:r>
        <w:rPr>
          <w:lang w:val="pt-BR"/>
        </w:rPr>
        <w:t xml:space="preserve">Khách hàng yêu cầu thẩm định giá và người hướng dẫn tổ</w:t>
      </w:r>
      <w:r>
        <w:rPr>
          <w:lang w:val="vi-VN"/>
        </w:rPr>
        <w:t xml:space="preserve"> </w:t>
      </w:r>
      <w:r>
        <w:rPr>
          <w:lang w:val="pt-BR"/>
        </w:rPr>
        <w:t xml:space="preserve">thẩm định thực hiện thẩm định hiện trạng tà</w:t>
      </w:r>
      <w:r>
        <w:rPr>
          <w:lang w:val="pt-BR"/>
        </w:rPr>
        <w:t xml:space="preserve">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r>
        <w:rPr>
          <w:b/>
          <w:lang w:val="pt-BR"/>
        </w:rPr>
      </w:r>
      <w:r>
        <w:rPr>
          <w:b/>
          <w:lang w:val="pt-BR"/>
        </w:rPr>
      </w:r>
    </w:p>
    <w:p>
      <w:pPr>
        <w:pStyle w:val="1039"/>
        <w:numPr>
          <w:ilvl w:val="0"/>
          <w:numId w:val="5"/>
        </w:numPr>
        <w:pBdr/>
        <w:spacing w:after="120" w:before="120" w:line="288" w:lineRule="auto"/>
        <w:ind w:hanging="357" w:left="357"/>
        <w:jc w:val="both"/>
        <w:rPr>
          <w:lang w:val="pt-BR"/>
        </w:rPr>
      </w:pPr>
      <w:r>
        <w:rPr>
          <w:shd w:val="clear" w:color="auto" w:fill="ffffff"/>
          <w:lang w:val="pt-BR"/>
        </w:rPr>
        <w:t xml:space="preserve">Chúng tôi nhấn mạnh rằng việc thẩm định giá không phải là môn khoa học chính xác, m</w:t>
      </w:r>
      <w:r>
        <w:rPr>
          <w:shd w:val="clear" w:color="auto" w:fill="ffffff"/>
          <w:lang w:val="pt-BR"/>
        </w:rPr>
        <w:t xml:space="preserve">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Pr>
          <w:shd w:val="clear" w:color="auto" w:fill="ffffff"/>
          <w:lang w:val="vi-VN"/>
        </w:rPr>
        <w:t xml:space="preserve">.</w:t>
      </w:r>
      <w:r>
        <w:rPr>
          <w:lang w:val="pt-BR"/>
        </w:rPr>
      </w:r>
      <w:r>
        <w:rPr>
          <w:lang w:val="pt-BR"/>
        </w:rPr>
      </w:r>
    </w:p>
    <w:p>
      <w:pPr>
        <w:pStyle w:val="1039"/>
        <w:numPr>
          <w:ilvl w:val="0"/>
          <w:numId w:val="5"/>
        </w:numPr>
        <w:pBdr/>
        <w:tabs>
          <w:tab w:val="left" w:leader="none" w:pos="993"/>
        </w:tabs>
        <w:spacing w:after="120" w:before="120" w:line="288" w:lineRule="auto"/>
        <w:ind/>
        <w:jc w:val="both"/>
        <w:rPr>
          <w:shd w:val="clear" w:color="auto" w:fill="ffffff"/>
          <w:lang w:val="pt-BR"/>
        </w:rPr>
      </w:pPr>
      <w:r>
        <w:rPr>
          <w:shd w:val="clear" w:color="auto" w:fill="ffffff"/>
          <w:lang w:val="pt-BR"/>
        </w:rPr>
        <w:t xml:space="preserve">Chúng tôi chỉ hoạt động trong lĩnh</w:t>
      </w:r>
      <w:r>
        <w:rPr>
          <w:shd w:val="clear" w:color="auto" w:fill="ffffff"/>
          <w:lang w:val="pt-BR"/>
        </w:rPr>
        <w:t xml:space="preserve">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Pr>
          <w:iCs/>
          <w:lang w:val="pt-BR"/>
        </w:rPr>
        <w:t xml:space="preserve">Giấy chứng nhận quyền sử dụng </w:t>
      </w:r>
      <w:r>
        <w:rPr>
          <w:iCs/>
          <w:lang w:val="pt-BR"/>
        </w:rPr>
        <w:t xml:space="preserve">đất  đã</w:t>
      </w:r>
      <w:r>
        <w:rPr>
          <w:iCs/>
          <w:lang w:val="pt-BR"/>
        </w:rPr>
        <w:t xml:space="preserve"> cung cấp cho chúng tôi.</w:t>
      </w:r>
      <w:r>
        <w:rPr>
          <w:shd w:val="clear" w:color="auto" w:fill="ffffff"/>
          <w:lang w:val="pt-BR"/>
        </w:rPr>
      </w:r>
      <w:r>
        <w:rPr>
          <w:shd w:val="clear" w:color="auto" w:fill="ffffff"/>
          <w:lang w:val="pt-BR"/>
        </w:rPr>
      </w:r>
    </w:p>
    <w:p>
      <w:pPr>
        <w:pStyle w:val="1039"/>
        <w:numPr>
          <w:ilvl w:val="0"/>
          <w:numId w:val="5"/>
        </w:numPr>
        <w:pBdr/>
        <w:spacing w:after="120" w:before="120" w:line="288"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pPr>
        <w:numPr>
          <w:ilvl w:val="0"/>
          <w:numId w:val="40"/>
        </w:numPr>
        <w:pBdr>
          <w:top w:val="none" w:color="000000" w:sz="4" w:space="0"/>
          <w:left w:val="none" w:color="000000" w:sz="4" w:space="0"/>
          <w:bottom w:val="none" w:color="000000" w:sz="4" w:space="0"/>
          <w:right w:val="none" w:color="000000" w:sz="4" w:space="0"/>
        </w:pBdr>
        <w:tabs>
          <w:tab w:val="left" w:leader="none" w:pos="993"/>
        </w:tabs>
        <w:spacing w:after="120" w:before="120" w:line="264" w:lineRule="auto"/>
        <w:ind/>
        <w:jc w:val="both"/>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Tại thời điểm thẩm định giá, tổ thẩm định nhận thấy </w:t>
      </w:r>
      <w:r>
        <w:rPr>
          <w:rFonts w:ascii="Times New Roman" w:hAnsi="Times New Roman" w:eastAsia="Times New Roman" w:cs="Times New Roman"/>
          <w:color w:val="000000"/>
          <w:sz w:val="24"/>
        </w:rPr>
        <w:t xml:space="preserve">t</w:t>
      </w:r>
      <w:r>
        <w:rPr>
          <w:rFonts w:ascii="Times New Roman" w:hAnsi="Times New Roman" w:eastAsia="Times New Roman" w:cs="Times New Roman"/>
          <w:color w:val="000000"/>
          <w:sz w:val="24"/>
        </w:rPr>
        <w:t xml:space="preserve">rên đất có 01 nhà 2 tầng kết cấu BTCT, tường gạch chịu lực, sàn lát gạch men. Diện tích xây dựng tầng 1 khoảng 100m2, diện tích xây dựng tầng 2 khoảng 50m2. Công trình đươc xây dựng năm 2014. Hiện công trình đang được sử dụng để ở. </w:t>
      </w:r>
      <w:r>
        <w:rPr>
          <w:rFonts w:ascii="Times New Roman" w:hAnsi="Times New Roman" w:eastAsia="Times New Roman" w:cs="Times New Roman"/>
          <w:color w:val="000000"/>
          <w:sz w:val="24"/>
        </w:rPr>
        <w:t xml:space="preserve">C</w:t>
      </w:r>
      <w:r>
        <w:rPr>
          <w:rFonts w:ascii="Times New Roman" w:hAnsi="Times New Roman" w:eastAsia="Times New Roman" w:cs="Times New Roman"/>
          <w:color w:val="000000"/>
          <w:sz w:val="24"/>
        </w:rPr>
        <w:t xml:space="preserve">ông trình chưa được c</w:t>
      </w:r>
      <w:r>
        <w:rPr>
          <w:rFonts w:ascii="Times New Roman" w:hAnsi="Times New Roman" w:eastAsia="Times New Roman" w:cs="Times New Roman"/>
          <w:color w:val="000000"/>
          <w:sz w:val="24"/>
        </w:rPr>
        <w:t xml:space="preserve">hứng nhận trên GCN QSDĐ.</w:t>
      </w:r>
      <w:r>
        <w:rPr>
          <w:rFonts w:ascii="Times New Roman" w:hAnsi="Times New Roman" w:eastAsia="Times New Roman" w:cs="Times New Roman"/>
          <w:color w:val="000000"/>
          <w:sz w:val="24"/>
        </w:rPr>
        <w:t xml:space="preserve"> Do vậy, t</w:t>
      </w:r>
      <w:r>
        <w:rPr>
          <w:rFonts w:ascii="Times New Roman" w:hAnsi="Times New Roman" w:eastAsia="Times New Roman" w:cs="Times New Roman"/>
          <w:color w:val="000000"/>
          <w:sz w:val="24"/>
        </w:rPr>
        <w:t xml:space="preserve">heo đề nghị của Ngân hàng/Khách hàng, Tổ thẩm định không xác định giá trị của công trình xây dựng vào tổng giá trị, nhưng vẫn coi đó là phần không thể tách rời của tài sản thẩm định. Kính đề nghị đơn vị sử dụng kết quả lưu ý.</w:t>
      </w:r>
      <w:r>
        <w:rPr>
          <w:rFonts w:ascii="Times New Roman" w:hAnsi="Times New Roman" w:eastAsia="Times New Roman" w:cs="Times New Roman"/>
          <w:sz w:val="24"/>
        </w:rPr>
      </w:r>
      <w:r>
        <w:rPr>
          <w:rFonts w:ascii="Times New Roman" w:hAnsi="Times New Roman" w:eastAsia="Times New Roman" w:cs="Times New Roman"/>
          <w:sz w:val="24"/>
        </w:rPr>
      </w:r>
    </w:p>
    <w:p>
      <w:pPr>
        <w:numPr>
          <w:ilvl w:val="0"/>
          <w:numId w:val="40"/>
        </w:numPr>
        <w:pBdr>
          <w:top w:val="none" w:color="000000" w:sz="4" w:space="0"/>
          <w:left w:val="none" w:color="000000" w:sz="4" w:space="0"/>
          <w:bottom w:val="none" w:color="000000" w:sz="4" w:space="0"/>
          <w:right w:val="none" w:color="000000" w:sz="4" w:space="0"/>
        </w:pBdr>
        <w:tabs>
          <w:tab w:val="left" w:leader="none" w:pos="993"/>
        </w:tabs>
        <w:spacing w:after="120" w:before="120" w:line="264" w:lineRule="auto"/>
        <w:ind/>
        <w:jc w:val="both"/>
        <w:rPr>
          <w:rFonts w:ascii="Times New Roman" w:hAnsi="Times New Roman" w:eastAsia="Times New Roman" w:cs="Times New Roman"/>
          <w:sz w:val="24"/>
          <w:szCs w:val="24"/>
        </w:rPr>
      </w:pPr>
      <w:r>
        <w:rPr>
          <w:rFonts w:ascii="Times New Roman" w:hAnsi="Times New Roman" w:eastAsia="Times New Roman" w:cs="Times New Roman"/>
          <w:sz w:val="24"/>
          <w:highlight w:val="none"/>
        </w:rPr>
      </w:r>
      <w:r>
        <w:rPr>
          <w:rFonts w:ascii="Times New Roman" w:hAnsi="Times New Roman" w:eastAsia="Times New Roman" w:cs="Times New Roman"/>
          <w:color w:val="000000"/>
          <w:sz w:val="24"/>
        </w:rPr>
        <w:t xml:space="preserve">Tại thời điểm khảo sát, tổ thẩm định không được Khách hàng cung cấp các thông tin quy hoạch liên quan đến thửa đất, dựa trên định vị của tài sản sau khi khảo sát, tổ thẩm định kiểm tra quy hoạch online thông qua các trang mạng như Guland, Meeymap, xác định</w:t>
      </w:r>
      <w:r>
        <w:rPr>
          <w:rFonts w:ascii="Times New Roman" w:hAnsi="Times New Roman" w:eastAsia="Times New Roman" w:cs="Times New Roman"/>
          <w:color w:val="000000"/>
          <w:sz w:val="24"/>
        </w:rPr>
        <w:t xml:space="preserve"> vị trí tài sản thuộc quy hoạch đất ở. Tổ thẩm định giả định thửa đất phù hợp quy hoạch. Đề nghị Khách hàng sử dụng kết quả lưu ý kiểm tra xác minh thêm thông tin quy hoạch nếu thấy cần thiết. Trong trường hợp Khách hàng/Ngân hàng cung cấp được Văn bản xác</w:t>
      </w:r>
      <w:r>
        <w:rPr>
          <w:rFonts w:ascii="Times New Roman" w:hAnsi="Times New Roman" w:eastAsia="Times New Roman" w:cs="Times New Roman"/>
          <w:color w:val="000000"/>
          <w:sz w:val="24"/>
        </w:rPr>
        <w:t xml:space="preserve"> nhận rõ tình trạng quy hoạch thì kết quả thẩm định giá cần được xem xét, điều chỉnh phù hợp, đồng thời chúng tôi bảo lưu quyền xem xét lại kết quả thẩm định giá</w:t>
      </w:r>
      <w:r>
        <w:rPr>
          <w:rFonts w:ascii="Times New Roman" w:hAnsi="Times New Roman" w:eastAsia="Times New Roman" w:cs="Times New Roman"/>
          <w:sz w:val="24"/>
          <w:highlight w:val="none"/>
        </w:rPr>
        <w:t xml:space="preserve">.</w:t>
      </w:r>
      <w:r>
        <w:rPr>
          <w:rFonts w:ascii="Times New Roman" w:hAnsi="Times New Roman" w:eastAsia="Times New Roman" w:cs="Times New Roman"/>
          <w:sz w:val="24"/>
          <w:highlight w:val="none"/>
        </w:rPr>
      </w:r>
      <w:r>
        <w:rPr>
          <w:rFonts w:ascii="Times New Roman" w:hAnsi="Times New Roman" w:eastAsia="Times New Roman" w:cs="Times New Roman"/>
          <w:sz w:val="24"/>
          <w:szCs w:val="24"/>
        </w:rPr>
      </w:r>
    </w:p>
    <w:p>
      <w:pPr>
        <w:pStyle w:val="1039"/>
        <w:numPr>
          <w:ilvl w:val="0"/>
          <w:numId w:val="3"/>
        </w:numPr>
        <w:pBdr/>
        <w:tabs>
          <w:tab w:val="left" w:leader="none" w:pos="993"/>
        </w:tabs>
        <w:spacing w:after="120" w:before="120" w:line="288"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pPr>
        <w:pStyle w:val="1039"/>
        <w:numPr>
          <w:ilvl w:val="0"/>
          <w:numId w:val="5"/>
        </w:numPr>
        <w:pBdr/>
        <w:tabs>
          <w:tab w:val="left" w:leader="none" w:pos="993"/>
        </w:tabs>
        <w:spacing w:after="120" w:before="120" w:line="288" w:lineRule="auto"/>
        <w:ind w:hanging="357" w:left="357"/>
        <w:jc w:val="both"/>
        <w:rPr>
          <w:bCs/>
          <w:lang w:val="pt-BR"/>
        </w:rPr>
      </w:pPr>
      <w:r>
        <w:rPr>
          <w:bCs/>
          <w:lang w:val="pt-BR"/>
        </w:rPr>
        <w:t xml:space="preserve">Kết quả t</w:t>
      </w:r>
      <w:r>
        <w:rPr>
          <w:bCs/>
          <w:lang w:val="pt-BR"/>
        </w:rPr>
        <w:t xml:space="preserve">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r>
        <w:rPr>
          <w:bCs/>
          <w:lang w:val="pt-BR"/>
        </w:rPr>
      </w:r>
      <w:r>
        <w:rPr>
          <w:bCs/>
          <w:lang w:val="pt-BR"/>
        </w:rPr>
      </w:r>
    </w:p>
    <w:p>
      <w:pPr>
        <w:pStyle w:val="1039"/>
        <w:numPr>
          <w:ilvl w:val="0"/>
          <w:numId w:val="5"/>
        </w:numPr>
        <w:pBdr/>
        <w:tabs>
          <w:tab w:val="left" w:leader="none" w:pos="993"/>
        </w:tabs>
        <w:spacing w:after="120" w:before="120" w:line="288" w:lineRule="auto"/>
        <w:ind w:hanging="357" w:left="357"/>
        <w:jc w:val="both"/>
        <w:rPr>
          <w:lang w:val="pt-BR"/>
        </w:rPr>
      </w:pPr>
      <w:r/>
      <w:bookmarkStart w:id="4" w:name="_Hlk151374072"/>
      <w:r>
        <w:rPr>
          <w:lang w:val="pt-BR"/>
        </w:rPr>
        <w:t xml:space="preserve">Tổ thẩm định đã gửi các bản dự thảo chứng thư cho các đơn vị sử dụng chứng thư đọc</w:t>
      </w:r>
      <w:r>
        <w:rPr>
          <w:lang w:val="pt-BR"/>
        </w:rPr>
        <w:t xml:space="preserve">,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4"/>
      <w:r>
        <w:rPr>
          <w:lang w:val="pt-BR"/>
        </w:rPr>
      </w:r>
      <w:r>
        <w:rPr>
          <w:lang w:val="pt-BR"/>
        </w:rPr>
      </w:r>
    </w:p>
    <w:p>
      <w:pPr>
        <w:pBdr/>
        <w:spacing w:after="120" w:before="120" w:line="288"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pPr>
        <w:pStyle w:val="1039"/>
        <w:pBdr/>
        <w:tabs>
          <w:tab w:val="left" w:leader="none" w:pos="993"/>
        </w:tabs>
        <w:spacing w:after="120" w:before="120" w:line="288" w:lineRule="auto"/>
        <w:ind w:left="0"/>
        <w:jc w:val="both"/>
        <w:rPr>
          <w:bCs/>
          <w:lang w:val="pt-BR"/>
        </w:rPr>
      </w:pPr>
      <w:r>
        <w:rPr>
          <w:bCs/>
          <w:lang w:val="pt-BR"/>
        </w:rPr>
        <w:t xml:space="preserve">Phụ lục 1: Hình ảnh hiện trạng của tài sản.</w:t>
      </w:r>
      <w:r>
        <w:rPr>
          <w:bCs/>
          <w:lang w:val="pt-BR"/>
        </w:rPr>
      </w:r>
      <w:r>
        <w:rPr>
          <w:bCs/>
          <w:lang w:val="pt-BR"/>
        </w:rPr>
      </w:r>
    </w:p>
    <w:p>
      <w:pPr>
        <w:pStyle w:val="1039"/>
        <w:pBdr/>
        <w:tabs>
          <w:tab w:val="left" w:leader="none" w:pos="993"/>
        </w:tabs>
        <w:spacing w:after="120" w:before="120" w:line="288" w:lineRule="auto"/>
        <w:ind w:left="0"/>
        <w:jc w:val="both"/>
        <w:rPr>
          <w:lang w:val="pt-BR"/>
        </w:rPr>
      </w:pPr>
      <w:r>
        <w:rPr>
          <w:lang w:val="pt-BR"/>
        </w:rPr>
        <w:t xml:space="preserve">Phụ lục 2: Thông tin </w:t>
      </w:r>
      <w:r>
        <w:rPr>
          <w:lang w:val="pt-BR"/>
        </w:rPr>
        <w:t xml:space="preserve">thu thập thị trường</w:t>
      </w:r>
      <w:r>
        <w:rPr>
          <w:lang w:val="pt-BR"/>
        </w:rPr>
        <w:t xml:space="preserve">.</w:t>
      </w:r>
      <w:r>
        <w:rPr>
          <w:lang w:val="pt-BR"/>
        </w:rPr>
      </w:r>
      <w:r>
        <w:rPr>
          <w:lang w:val="pt-BR"/>
        </w:rPr>
      </w:r>
    </w:p>
    <w:p>
      <w:pPr>
        <w:pBdr/>
        <w:shd w:val="nil"/>
        <w:spacing/>
        <w:ind/>
        <w:rPr>
          <w:lang w:val="vi-VN"/>
        </w:rPr>
      </w:pPr>
      <w:r>
        <w:rPr>
          <w:highlight w:val="none"/>
          <w:lang w:val="vi-VN"/>
        </w:rPr>
        <w:br w:type="page" w:clear="all"/>
      </w:r>
      <w:r>
        <w:rPr>
          <w:highlight w:val="none"/>
          <w:lang w:val="vi-VN"/>
        </w:rPr>
      </w:r>
      <w:r>
        <w:rPr>
          <w:highlight w:val="none"/>
          <w:lang w:val="vi-VN"/>
        </w:rPr>
      </w:r>
    </w:p>
    <w:p>
      <w:pPr>
        <w:pStyle w:val="1039"/>
        <w:pBdr/>
        <w:tabs>
          <w:tab w:val="left" w:leader="none" w:pos="993"/>
        </w:tabs>
        <w:spacing w:after="120" w:before="120" w:line="288" w:lineRule="auto"/>
        <w:ind w:left="0"/>
        <w:jc w:val="both"/>
        <w:rPr>
          <w:highlight w:val="none"/>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275/2026/1043/VFI-CT.36.A</w:t>
      </w:r>
      <w:r>
        <w:rPr>
          <w:color w:val="ff0000"/>
          <w:lang w:val="vi-VN"/>
        </w:rPr>
        <w:t xml:space="preserve"> </w:t>
      </w:r>
      <w:r>
        <w:rPr>
          <w:color w:val="000000" w:themeColor="text1"/>
        </w:rPr>
        <w:t xml:space="preserve">ngày 10 tháng 7 năm 2026</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lang w:val="vi-VN"/>
        </w:rPr>
      </w:r>
      <w:r>
        <w:rPr>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Nguyễn Thị Thùy Dương</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 thẻ thẩm định viên về giá: </w:t>
            </w:r>
            <w:r>
              <w:rPr>
                <w:rFonts w:eastAsia="Calibri"/>
                <w:lang w:val="pt-BR"/>
              </w:rPr>
              <w:t xml:space="preserve">XII17.1825</w:t>
            </w:r>
            <w:r>
              <w:rPr>
                <w:rFonts w:eastAsia="Calibri"/>
                <w:b/>
                <w:lang w:val="pt-BR"/>
              </w:rPr>
            </w:r>
            <w:r>
              <w:rPr>
                <w:rFonts w:eastAsia="Calibri"/>
                <w:b/>
                <w:lang w:val="pt-BR"/>
              </w:rPr>
            </w:r>
          </w:p>
        </w:tc>
      </w:tr>
    </w:tbl>
    <w:p>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Nguyễn Tấn Sang</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pt-BR"/>
              </w:rPr>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Nguyễn Thị Thùy</w:t>
            </w:r>
            <w:r>
              <w:rPr>
                <w:rFonts w:eastAsia="Calibri"/>
                <w:b/>
              </w:rPr>
            </w:r>
            <w:r>
              <w:rPr>
                <w:rFonts w:eastAsia="Calibri"/>
                <w:b/>
              </w:rPr>
            </w:r>
          </w:p>
          <w:p>
            <w:pPr>
              <w:pBdr/>
              <w:spacing w:line="276" w:lineRule="auto"/>
              <w:ind/>
              <w:rPr>
                <w:rFonts w:eastAsia="Calibri"/>
                <w:b/>
                <w:lang w:val="pt-BR"/>
              </w:rPr>
            </w:pPr>
            <w:r>
              <w:rPr>
                <w:rFonts w:eastAsia="Calibri"/>
                <w:b/>
                <w:lang w:val="pt-BR"/>
              </w:rPr>
            </w:r>
            <w:r>
              <w:rPr>
                <w:rFonts w:eastAsia="Calibri"/>
                <w:b/>
                <w:lang w:val="pt-BR"/>
              </w:rPr>
            </w:r>
            <w:r>
              <w:rPr>
                <w:rFonts w:eastAsia="Calibri"/>
                <w:b/>
                <w:lang w:val="pt-BR"/>
              </w:rPr>
            </w:r>
          </w:p>
        </w:tc>
      </w:tr>
    </w:tbl>
    <w:p>
      <w:pPr>
        <w:pBdr/>
        <w:spacing w:after="200" w:line="276" w:lineRule="auto"/>
        <w:ind/>
        <w:rPr>
          <w:b/>
          <w:u w:val="single"/>
          <w:lang w:val="vi-VN"/>
        </w:rPr>
      </w:pPr>
      <w:r>
        <w:rPr>
          <w:b/>
          <w:u w:val="single"/>
          <w:lang w:val="vi-VN"/>
        </w:rPr>
      </w:r>
      <w:r>
        <w:rPr>
          <w:b/>
          <w:u w:val="single"/>
          <w:lang w:val="vi-VN"/>
        </w:rPr>
      </w:r>
      <w:r>
        <w:rPr>
          <w:b/>
          <w:u w:val="single"/>
          <w:lang w:val="vi-VN"/>
        </w:rPr>
      </w:r>
    </w:p>
    <w:p>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pPr>
        <w:pBdr/>
        <w:spacing/>
        <w:ind/>
        <w:jc w:val="center"/>
        <w:rPr>
          <w:i/>
          <w:lang w:val="pt-BR"/>
        </w:rPr>
      </w:pPr>
      <w:r>
        <w:rPr>
          <w:i/>
          <w:lang w:val="pt-BR"/>
        </w:rPr>
        <w:t xml:space="preserve">(Kèm theo Báo cáo thẩm định số</w:t>
      </w:r>
      <w:r>
        <w:rPr>
          <w:i/>
          <w:lang w:val="pt-BR"/>
        </w:rPr>
        <w:t xml:space="preserve"> </w:t>
      </w:r>
      <w:r>
        <w:rPr>
          <w:i/>
        </w:rPr>
        <w:t xml:space="preserve">275/2026/1043/VFI-BC.36.A ngày</w:t>
      </w:r>
      <w:r>
        <w:rPr>
          <w:i/>
          <w:lang w:val="pt-BR"/>
        </w:rPr>
        <w:t xml:space="preserve"> </w:t>
      </w:r>
      <w:r>
        <w:rPr>
          <w:i/>
          <w:lang w:val="pt-BR"/>
        </w:rPr>
        <w:t xml:space="preserve">10 tháng 7 năm 2026</w:t>
      </w:r>
      <w:r>
        <w:rPr>
          <w:i/>
          <w:lang w:val="pt-BR"/>
        </w:rPr>
        <w:t xml:space="preserve">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tbl>
      <w:tblPr>
        <w:tblStyle w:val="1043"/>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pPr>
              <w:pBdr/>
              <w:spacing w:after="120"/>
              <w:ind/>
              <w:jc w:val="center"/>
              <w:rPr>
                <w:b/>
                <w:bCs/>
                <w:i/>
                <w:lang w:val="pt-BR"/>
              </w:rPr>
            </w:pPr>
            <w:r>
              <w:rPr>
                <w:b/>
                <w:bCs/>
                <w:i/>
                <w:lang w:val="pt-BR"/>
              </w:rPr>
              <w:t xml:space="preserve">Hướng</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Tổng quan tài</w:t>
            </w:r>
            <w:r>
              <w:rPr>
                <w:b/>
                <w:bCs/>
                <w:i/>
                <w:lang w:val="pt-BR"/>
              </w:rPr>
              <w:t xml:space="preserve">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1177404" cy="2240781"/>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4934334" name=""/>
                              <pic:cNvPicPr>
                                <a:picLocks noChangeAspect="1"/>
                              </pic:cNvPicPr>
                              <pic:nvPr/>
                            </pic:nvPicPr>
                            <pic:blipFill rotWithShape="1">
                              <a:blip r:embed="rId20"/>
                              <a:stretch/>
                            </pic:blipFill>
                            <pic:spPr bwMode="auto">
                              <a:xfrm flipH="0" flipV="0">
                                <a:off x="0" y="0"/>
                                <a:ext cx="1177404" cy="224078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92.71pt;height:176.44pt;mso-wrap-distance-left:0.00pt;mso-wrap-distance-top:0.00pt;mso-wrap-distance-right:0.00pt;mso-wrap-distance-bottom:0.00pt;z-index:1;" stroked="false">
                      <v:imagedata r:id="rId20"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339206" cy="1754404"/>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1496553" name=""/>
                              <pic:cNvPicPr>
                                <a:picLocks noChangeAspect="1"/>
                              </pic:cNvPicPr>
                              <pic:nvPr/>
                            </pic:nvPicPr>
                            <pic:blipFill rotWithShape="1">
                              <a:blip r:embed="rId21"/>
                              <a:stretch/>
                            </pic:blipFill>
                            <pic:spPr bwMode="auto">
                              <a:xfrm flipH="0" flipV="0">
                                <a:off x="0" y="0"/>
                                <a:ext cx="2339205" cy="175440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184.19pt;height:138.14pt;mso-wrap-distance-left:0.00pt;mso-wrap-distance-top:0.00pt;mso-wrap-distance-right:0.00pt;mso-wrap-distance-bottom:0.00pt;z-index:1;" stroked="false">
                      <v:imagedata r:id="rId21"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Người khảo sát</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Đường trước tài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509870" cy="1882402"/>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1354029" name=""/>
                              <pic:cNvPicPr>
                                <a:picLocks noChangeAspect="1"/>
                              </pic:cNvPicPr>
                              <pic:nvPr/>
                            </pic:nvPicPr>
                            <pic:blipFill rotWithShape="1">
                              <a:blip r:embed="rId22"/>
                              <a:stretch/>
                            </pic:blipFill>
                            <pic:spPr bwMode="auto">
                              <a:xfrm flipH="0" flipV="0">
                                <a:off x="0" y="0"/>
                                <a:ext cx="2509869" cy="188240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197.63pt;height:148.22pt;mso-wrap-distance-left:0.00pt;mso-wrap-distance-top:0.00pt;mso-wrap-distance-right:0.00pt;mso-wrap-distance-bottom:0.00pt;z-index:1;" stroked="false">
                      <v:imagedata r:id="rId22"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468823" cy="1851617"/>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4264377" name=""/>
                              <pic:cNvPicPr>
                                <a:picLocks noChangeAspect="1"/>
                              </pic:cNvPicPr>
                              <pic:nvPr/>
                            </pic:nvPicPr>
                            <pic:blipFill rotWithShape="1">
                              <a:blip r:embed="rId23"/>
                              <a:stretch/>
                            </pic:blipFill>
                            <pic:spPr bwMode="auto">
                              <a:xfrm flipH="0" flipV="0">
                                <a:off x="0" y="0"/>
                                <a:ext cx="2468822" cy="185161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194.40pt;height:145.80pt;mso-wrap-distance-left:0.00pt;mso-wrap-distance-top:0.00pt;mso-wrap-distance-right:0.00pt;mso-wrap-distance-bottom:0.00pt;z-index:1;" stroked="false">
                      <v:imagedata r:id="rId23"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2498337" cy="1873753"/>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6722874" name=""/>
                              <pic:cNvPicPr>
                                <a:picLocks noChangeAspect="1"/>
                              </pic:cNvPicPr>
                              <pic:nvPr/>
                            </pic:nvPicPr>
                            <pic:blipFill rotWithShape="1">
                              <a:blip r:embed="rId24"/>
                              <a:stretch/>
                            </pic:blipFill>
                            <pic:spPr bwMode="auto">
                              <a:xfrm flipH="0" flipV="0">
                                <a:off x="0" y="0"/>
                                <a:ext cx="2498337" cy="187375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196.72pt;height:147.54pt;mso-wrap-distance-left:0.00pt;mso-wrap-distance-top:0.00pt;mso-wrap-distance-right:0.00pt;mso-wrap-distance-bottom:0.00pt;z-index:1;" stroked="false">
                      <v:imagedata r:id="rId24"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b/>
                <w:bCs/>
                <w:i/>
                <w:lang w:val="pt-BR"/>
              </w:rPr>
            </w:pPr>
            <w:r>
              <w:rPr>
                <w:i/>
                <w:lang w:val="pt-BR"/>
              </w:rPr>
              <mc:AlternateContent>
                <mc:Choice Requires="wpg">
                  <w:drawing>
                    <wp:inline xmlns:wp="http://schemas.openxmlformats.org/drawingml/2006/wordprocessingDrawing" distT="0" distB="0" distL="0" distR="0">
                      <wp:extent cx="2575260" cy="1931445"/>
                      <wp:effectExtent l="0" t="0" r="0" b="0"/>
                      <wp:docPr id="1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328519" name=""/>
                              <pic:cNvPicPr>
                                <a:picLocks noChangeAspect="1"/>
                              </pic:cNvPicPr>
                              <pic:nvPr/>
                            </pic:nvPicPr>
                            <pic:blipFill rotWithShape="1">
                              <a:blip r:embed="rId25"/>
                              <a:stretch/>
                            </pic:blipFill>
                            <pic:spPr bwMode="auto">
                              <a:xfrm flipH="0" flipV="0">
                                <a:off x="0" y="0"/>
                                <a:ext cx="2575259" cy="193144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202.78pt;height:152.08pt;mso-wrap-distance-left:0.00pt;mso-wrap-distance-top:0.00pt;mso-wrap-distance-right:0.00pt;mso-wrap-distance-bottom:0.00pt;z-index:1;" stroked="false">
                      <v:imagedata r:id="rId25" o:title=""/>
                      <o:lock v:ext="edit" rotation="t"/>
                    </v:shape>
                  </w:pict>
                </mc:Fallback>
              </mc:AlternateContent>
            </w:r>
            <w:r>
              <w:rPr>
                <w:b/>
                <w:bCs/>
                <w:i/>
                <w:lang w:val="pt-BR"/>
              </w:rPr>
            </w:r>
            <w:r>
              <w:rPr>
                <w:b/>
                <w:bCs/>
                <w:i/>
                <w:lang w:val="pt-BR"/>
              </w:rPr>
            </w:r>
          </w:p>
        </w:tc>
      </w:tr>
    </w:tbl>
    <w:p>
      <w:pPr>
        <w:pBdr/>
        <w:spacing/>
        <w:ind/>
        <w:rPr/>
      </w:pPr>
      <w:r/>
      <w:r/>
    </w:p>
    <w:p>
      <w:pPr>
        <w:pBdr/>
        <w:spacing w:after="200" w:line="276" w:lineRule="auto"/>
        <w:ind/>
        <w:rPr>
          <w:highlight w:val="none"/>
        </w:rPr>
      </w:pPr>
      <w:r>
        <w:br w:type="page" w:clear="all"/>
      </w:r>
      <w:r>
        <w:rPr>
          <w:highlight w:val="none"/>
        </w:rPr>
      </w:r>
      <w:r>
        <w:rPr>
          <w:highlight w:val="none"/>
        </w:rPr>
      </w:r>
    </w:p>
    <w:p>
      <w:pPr>
        <w:pBdr/>
        <w:shd w:val="nil" w:color="auto"/>
        <w:spacing/>
        <w:ind/>
        <w:jc w:val="center"/>
        <w:rPr/>
      </w:pPr>
      <w:r>
        <w:rPr>
          <w:rFonts w:ascii="Times New Roman" w:hAnsi="Times New Roman" w:eastAsia="Times New Roman" w:cs="Times New Roman"/>
          <w:b/>
          <w:color w:val="000000"/>
          <w:sz w:val="24"/>
        </w:rPr>
        <w:t xml:space="preserve">GIẤY CHỨNG NHẬN QUYỀN SỬ DỤNG ĐẤT</w:t>
      </w:r>
      <w:r/>
    </w:p>
    <w:p>
      <w:pPr>
        <w:pBdr/>
        <w:shd w:val="nil" w:color="auto"/>
        <w:spacing/>
        <w:ind/>
        <w:rPr/>
      </w:pPr>
      <w:r/>
      <w:r/>
    </w:p>
    <w:p>
      <w:pPr>
        <w:pBdr/>
        <w:shd w:val="nil" w:color="auto"/>
        <w:spacing/>
        <w:ind/>
        <w:rPr/>
      </w:pPr>
      <w:r>
        <mc:AlternateContent>
          <mc:Choice Requires="wpg">
            <w:drawing>
              <wp:inline xmlns:wp="http://schemas.openxmlformats.org/drawingml/2006/wordprocessingDrawing" distT="0" distB="0" distL="0" distR="0">
                <wp:extent cx="6048375" cy="8064500"/>
                <wp:effectExtent l="0" t="0" r="0" b="0"/>
                <wp:docPr id="1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0137794" name=""/>
                        <pic:cNvPicPr>
                          <a:picLocks noChangeAspect="1"/>
                        </pic:cNvPicPr>
                        <pic:nvPr/>
                      </pic:nvPicPr>
                      <pic:blipFill rotWithShape="1">
                        <a:blip r:embed="rId26"/>
                        <a:stretch/>
                      </pic:blipFill>
                      <pic:spPr bwMode="auto">
                        <a:xfrm>
                          <a:off x="0" y="0"/>
                          <a:ext cx="6048374" cy="80644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476.25pt;height:635.00pt;mso-wrap-distance-left:0.00pt;mso-wrap-distance-top:0.00pt;mso-wrap-distance-right:0.00pt;mso-wrap-distance-bottom:0.00pt;z-index:1;" stroked="false">
                <v:imagedata r:id="rId26" o:title=""/>
                <o:lock v:ext="edit" rotation="t"/>
              </v:shape>
            </w:pict>
          </mc:Fallback>
        </mc:AlternateContent>
      </w:r>
      <w:r/>
    </w:p>
    <w:p>
      <w:pPr>
        <w:pBdr/>
        <w:shd w:val="nil" w:color="auto"/>
        <w:spacing/>
        <w:ind/>
        <w:rPr/>
      </w:pPr>
      <w:r>
        <w:rPr>
          <w:highlight w:val="none"/>
        </w:rPr>
        <w:br w:type="page" w:clear="all"/>
      </w:r>
      <w:r>
        <w:rPr>
          <w:highlight w:val="none"/>
        </w:rPr>
      </w:r>
      <w:r/>
    </w:p>
    <w:p>
      <w:pPr>
        <w:pBdr/>
        <w:shd w:val="nil" w:color="000000"/>
        <w:spacing/>
        <w:ind/>
        <w:rPr/>
      </w:pPr>
      <w:r>
        <mc:AlternateContent>
          <mc:Choice Requires="wpg">
            <w:drawing>
              <wp:inline xmlns:wp="http://schemas.openxmlformats.org/drawingml/2006/wordprocessingDrawing" distT="0" distB="0" distL="0" distR="0">
                <wp:extent cx="6048375" cy="8064500"/>
                <wp:effectExtent l="0" t="0" r="0" b="0"/>
                <wp:docPr id="1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3424541" name=""/>
                        <pic:cNvPicPr>
                          <a:picLocks noChangeAspect="1"/>
                        </pic:cNvPicPr>
                        <pic:nvPr/>
                      </pic:nvPicPr>
                      <pic:blipFill rotWithShape="1">
                        <a:blip r:embed="rId27"/>
                        <a:stretch/>
                      </pic:blipFill>
                      <pic:spPr bwMode="auto">
                        <a:xfrm>
                          <a:off x="0" y="0"/>
                          <a:ext cx="6048374" cy="80644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476.25pt;height:635.00pt;mso-wrap-distance-left:0.00pt;mso-wrap-distance-top:0.00pt;mso-wrap-distance-right:0.00pt;mso-wrap-distance-bottom:0.00pt;z-index:1;" stroked="false">
                <v:imagedata r:id="rId27" o:title=""/>
                <o:lock v:ext="edit" rotation="t"/>
              </v:shape>
            </w:pict>
          </mc:Fallback>
        </mc:AlternateContent>
      </w:r>
      <w:r>
        <w:rPr>
          <w:highlight w:val="none"/>
        </w:rPr>
      </w:r>
      <w:r/>
    </w:p>
    <w:p>
      <w:pPr>
        <w:pBdr/>
        <w:shd w:val="nil" w:color="auto"/>
        <w:spacing/>
        <w:ind/>
        <w:rPr>
          <w:highlight w:val="none"/>
        </w:rPr>
      </w:pPr>
      <w:r>
        <w:rPr>
          <w:highlight w:val="none"/>
        </w:rPr>
        <w:br w:type="page" w:clear="all"/>
      </w:r>
      <w:r>
        <w:rPr>
          <w:highlight w:val="none"/>
        </w:rPr>
      </w:r>
      <w:r>
        <w:rPr>
          <w:highlight w:val="none"/>
        </w:rPr>
      </w:r>
    </w:p>
    <w:p>
      <w:pPr>
        <w:pBdr/>
        <w:shd w:val="nil" w:color="000000"/>
        <w:spacing/>
        <w:ind/>
        <w:rPr/>
      </w:pPr>
      <w:r>
        <mc:AlternateContent>
          <mc:Choice Requires="wpg">
            <w:drawing>
              <wp:inline xmlns:wp="http://schemas.openxmlformats.org/drawingml/2006/wordprocessingDrawing" distT="0" distB="0" distL="0" distR="0">
                <wp:extent cx="6048375" cy="8064500"/>
                <wp:effectExtent l="0" t="0" r="0" b="0"/>
                <wp:docPr id="1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3123448" name=""/>
                        <pic:cNvPicPr>
                          <a:picLocks noChangeAspect="1"/>
                        </pic:cNvPicPr>
                        <pic:nvPr/>
                      </pic:nvPicPr>
                      <pic:blipFill rotWithShape="1">
                        <a:blip r:embed="rId28"/>
                        <a:stretch/>
                      </pic:blipFill>
                      <pic:spPr bwMode="auto">
                        <a:xfrm>
                          <a:off x="0" y="0"/>
                          <a:ext cx="6048374" cy="80644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476.25pt;height:635.00pt;mso-wrap-distance-left:0.00pt;mso-wrap-distance-top:0.00pt;mso-wrap-distance-right:0.00pt;mso-wrap-distance-bottom:0.00pt;z-index:1;" stroked="false">
                <v:imagedata r:id="rId28" o:title=""/>
                <o:lock v:ext="edit" rotation="t"/>
              </v:shape>
            </w:pict>
          </mc:Fallback>
        </mc:AlternateContent>
      </w:r>
      <w:r>
        <w:rPr>
          <w:highlight w:val="none"/>
        </w:rPr>
      </w:r>
      <w:r/>
    </w:p>
    <w:p>
      <w:pPr>
        <w:pBdr/>
        <w:shd w:val="nil" w:color="auto"/>
        <w:spacing/>
        <w:ind/>
        <w:rPr>
          <w:highlight w:val="none"/>
        </w:rPr>
      </w:pPr>
      <w:r>
        <w:rPr>
          <w:highlight w:val="none"/>
        </w:rPr>
        <w:br w:type="page" w:clear="all"/>
      </w:r>
      <w:r>
        <w:rPr>
          <w:highlight w:val="none"/>
        </w:rPr>
      </w:r>
      <w:r>
        <w:rPr>
          <w:highlight w:val="none"/>
        </w:rPr>
      </w:r>
    </w:p>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BIÊN BẢN KHẢO SÁT HIỆN TRẠNG TÀI SẢN</w:t>
      </w:r>
      <w:r/>
    </w:p>
    <w:p>
      <w:pPr>
        <w:pBdr/>
        <w:shd w:val="nil" w:color="000000"/>
        <w:spacing/>
        <w:ind/>
        <w:rPr>
          <w:highlight w:val="none"/>
        </w:rPr>
      </w:pPr>
      <w:r>
        <mc:AlternateContent>
          <mc:Choice Requires="wpg">
            <w:drawing>
              <wp:inline xmlns:wp="http://schemas.openxmlformats.org/drawingml/2006/wordprocessingDrawing" distT="0" distB="0" distL="0" distR="0">
                <wp:extent cx="6048375" cy="8331871"/>
                <wp:effectExtent l="0" t="0" r="0" b="0"/>
                <wp:docPr id="1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4010782" name=""/>
                        <pic:cNvPicPr>
                          <a:picLocks noChangeAspect="1"/>
                        </pic:cNvPicPr>
                        <pic:nvPr/>
                      </pic:nvPicPr>
                      <pic:blipFill rotWithShape="1">
                        <a:blip r:embed="rId29"/>
                        <a:stretch/>
                      </pic:blipFill>
                      <pic:spPr bwMode="auto">
                        <a:xfrm>
                          <a:off x="0" y="0"/>
                          <a:ext cx="6048374" cy="833187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476.25pt;height:656.05pt;mso-wrap-distance-left:0.00pt;mso-wrap-distance-top:0.00pt;mso-wrap-distance-right:0.00pt;mso-wrap-distance-bottom:0.00pt;z-index:1;" stroked="false">
                <v:imagedata r:id="rId29" o:title=""/>
                <o:lock v:ext="edit" rotation="t"/>
              </v:shape>
            </w:pict>
          </mc:Fallback>
        </mc:AlternateContent>
      </w:r>
      <w:r>
        <w:br w:type="page" w:clear="all"/>
      </w:r>
      <w:r>
        <w:rPr>
          <w:highlight w:val="none"/>
        </w:rPr>
      </w:r>
      <w:r>
        <w:rPr>
          <w:highlight w:val="none"/>
        </w:rPr>
      </w:r>
    </w:p>
    <w:p>
      <w:pPr>
        <w:pBdr/>
        <w:spacing w:after="200" w:line="276" w:lineRule="auto"/>
        <w:ind/>
        <w:rPr/>
      </w:pPr>
      <w:r>
        <w:rPr>
          <w:highlight w:val="none"/>
        </w:rPr>
      </w:r>
      <w:r>
        <w:rPr>
          <w:highlight w:val="none"/>
        </w:rPr>
      </w:r>
      <w:r/>
    </w:p>
    <w:p>
      <w:pPr>
        <w:pBdr/>
        <w:spacing w:after="200" w:line="276" w:lineRule="auto"/>
        <w:ind/>
        <w:jc w:val="center"/>
        <w:rPr>
          <w:i/>
          <w:lang w:val="pt-BR"/>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i/>
          <w:lang w:val="pt-BR"/>
        </w:rPr>
      </w:r>
      <w:r>
        <w:rPr>
          <w:i/>
          <w:lang w:val="pt-BR"/>
        </w:rPr>
      </w:r>
    </w:p>
    <w:p>
      <w:pPr>
        <w:pBdr/>
        <w:spacing/>
        <w:ind/>
        <w:jc w:val="center"/>
        <w:rPr>
          <w:i/>
          <w:lang w:val="pt-BR"/>
        </w:rPr>
      </w:pPr>
      <w:r>
        <w:rPr>
          <w:i/>
          <w:lang w:val="pt-BR"/>
        </w:rPr>
        <w:t xml:space="preserve">(Kèm theo Báo cáo thẩm định số </w:t>
      </w:r>
      <w:r>
        <w:rPr>
          <w:i/>
        </w:rPr>
        <w:t xml:space="preserve">275/2026/1043/VFI-BC.36.A ngày</w:t>
      </w:r>
      <w:r>
        <w:rPr>
          <w:i/>
          <w:lang w:val="pt-BR"/>
        </w:rPr>
        <w:t xml:space="preserve"> </w:t>
      </w:r>
      <w:r>
        <w:rPr>
          <w:i/>
          <w:lang w:val="pt-BR"/>
        </w:rPr>
        <w:t xml:space="preserve">10 tháng 7 năm 2026</w:t>
      </w:r>
      <w:r>
        <w:rPr>
          <w:i/>
          <w:lang w:val="pt-BR"/>
        </w:rPr>
        <w:t xml:space="preserve">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p>
      <w:pPr>
        <w:pBdr/>
        <w:spacing w:after="120"/>
        <w:ind/>
        <w:jc w:val="center"/>
        <w:rPr>
          <w:b/>
          <w:bCs/>
          <w:iCs/>
          <w:lang w:val="pt-BR"/>
        </w:rPr>
      </w:pPr>
      <w:r>
        <w:rPr>
          <w:b/>
          <w:bCs/>
          <w:iCs/>
          <w:lang w:val="pt-BR"/>
        </w:rPr>
        <w:t xml:space="preserve">TSSS1</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L</w:t>
            </w:r>
            <w:r>
              <w:rPr>
                <w:color w:val="000000" w:themeColor="text1"/>
                <w:sz w:val="22"/>
                <w:szCs w:val="22"/>
              </w:rPr>
              <w:t xml:space="preserve">iên hệ trực tiếp</w:t>
            </w:r>
            <w:r>
              <w:rPr>
                <w:color w:val="000000" w:themeColor="text1"/>
                <w:sz w:val="22"/>
                <w:szCs w:val="22"/>
              </w:rPr>
              <w:br/>
              <w:t xml:space="preserve">0986984265</w:t>
            </w:r>
            <w:r>
              <w:rPr>
                <w:sz w:val="22"/>
                <w:szCs w:val="22"/>
              </w:rPr>
              <w:t xml:space="preserve"> </w:t>
            </w:r>
            <w:r>
              <w:rPr>
                <w:sz w:val="22"/>
                <w:szCs w:val="22"/>
              </w:rPr>
              <w:t xml:space="preserve"> (Trần Thúy</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9.020.000.000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8.118.000.000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w:t>
            </w:r>
            <w:r>
              <w:rPr>
                <w:color w:val="000000" w:themeColor="text1"/>
                <w:sz w:val="22"/>
                <w:szCs w:val="22"/>
              </w:rPr>
              <w:t xml:space="preserve">giao </w:t>
            </w:r>
            <w:r>
              <w:rPr>
                <w:color w:val="000000" w:themeColor="text1"/>
                <w:sz w:val="22"/>
                <w:szCs w:val="22"/>
              </w:rPr>
              <w:t xml:space="preserve">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w:t>
            </w:r>
            <w:r>
              <w:rPr>
                <w:color w:val="000000" w:themeColor="text1"/>
                <w:sz w:val="22"/>
                <w:szCs w:val="22"/>
              </w:rPr>
              <w:t xml:space="preserve">7</w:t>
            </w:r>
            <w:r>
              <w:rPr>
                <w:color w:val="000000" w:themeColor="text1"/>
                <w:sz w:val="22"/>
                <w:szCs w:val="22"/>
              </w:rPr>
              <w:t xml:space="preserve">/2026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Có Giấy chứng nhận Quyền sử dụng đất </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nông thôn (144m²), Đất trồng cây lâu năm (216,8m²)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nông thôn – Lâu dài, Đất trồng cây lâu năm – Có thời hạn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cách mặt đường DT417 khoảng 2300m </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360,8</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12,5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Tương đối vuông vức</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jc w:val="center"/>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2397465" cy="2718821"/>
                      <wp:effectExtent l="0" t="0" r="0" b="0"/>
                      <wp:docPr id="17"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0"/>
                              <a:stretch/>
                            </pic:blipFill>
                            <pic:spPr bwMode="auto">
                              <a:xfrm flipH="0" flipV="0">
                                <a:off x="0" y="0"/>
                                <a:ext cx="2397465" cy="2718821"/>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188.78pt;height:214.08pt;mso-wrap-distance-left:0.00pt;mso-wrap-distance-top:0.00pt;mso-wrap-distance-right:0.00pt;mso-wrap-distance-bottom:0.00pt;z-index:1;" stroked="false">
                      <v:imagedata r:id="rId30" o:title=""/>
                      <o:lock v:ext="edit" rotation="t"/>
                    </v:shape>
                  </w:pict>
                </mc:Fallback>
              </mc:AlternateContent>
              <w:t xml:space="preserve">         </w:t>
            </w:r>
            <w:r>
              <w:rPr>
                <w:color w:val="000000"/>
                <w:sz w:val="22"/>
                <w:szCs w:val="22"/>
              </w:rPr>
              <mc:AlternateContent>
                <mc:Choice Requires="wpg">
                  <w:drawing>
                    <wp:inline xmlns:wp="http://schemas.openxmlformats.org/drawingml/2006/wordprocessingDrawing" distT="0" distB="0" distL="0" distR="0">
                      <wp:extent cx="2613335" cy="2716992"/>
                      <wp:effectExtent l="0" t="0" r="0" b="0"/>
                      <wp:docPr id="18" name=""/>
                      <wp:cNvGraphicFramePr/>
                      <a:graphic xmlns:a="http://schemas.openxmlformats.org/drawingml/2006/main">
                        <a:graphicData uri="http://schemas.openxmlformats.org/drawingml/2006/picture">
                          <pic:pic xmlns:pic="http://schemas.openxmlformats.org/drawingml/2006/picture">
                            <pic:nvPicPr>
                              <pic:cNvPr id="560394112" name="" descr=""/>
                              <pic:cNvPicPr/>
                              <pic:nvPr/>
                            </pic:nvPicPr>
                            <pic:blipFill rotWithShape="1">
                              <a:blip r:embed="rId31"/>
                              <a:stretch/>
                            </pic:blipFill>
                            <pic:spPr bwMode="auto">
                              <a:xfrm flipH="0" flipV="0">
                                <a:off x="0" y="0"/>
                                <a:ext cx="2613334" cy="2716992"/>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205.77pt;height:213.94pt;mso-wrap-distance-left:0.00pt;mso-wrap-distance-top:0.00pt;mso-wrap-distance-right:0.00pt;mso-wrap-distance-bottom:0.00pt;z-index:1;" stroked="false">
                      <v:imagedata r:id="rId31"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584573" cy="3403060"/>
                      <wp:effectExtent l="0" t="0" r="0" b="0"/>
                      <wp:docPr id="19" name=""/>
                      <wp:cNvGraphicFramePr/>
                      <a:graphic xmlns:a="http://schemas.openxmlformats.org/drawingml/2006/main">
                        <a:graphicData uri="http://schemas.openxmlformats.org/drawingml/2006/picture">
                          <pic:pic xmlns:pic="http://schemas.openxmlformats.org/drawingml/2006/picture">
                            <pic:nvPicPr>
                              <pic:cNvPr id="1759087297" name="" descr=""/>
                              <pic:cNvPicPr/>
                              <pic:nvPr/>
                            </pic:nvPicPr>
                            <pic:blipFill rotWithShape="1">
                              <a:blip r:embed="rId32"/>
                              <a:stretch/>
                            </pic:blipFill>
                            <pic:spPr bwMode="auto">
                              <a:xfrm flipH="0" flipV="0">
                                <a:off x="0" y="0"/>
                                <a:ext cx="2584573" cy="340305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203.51pt;height:267.96pt;mso-wrap-distance-left:0.00pt;mso-wrap-distance-top:0.00pt;mso-wrap-distance-right:0.00pt;mso-wrap-distance-bottom:0.00pt;z-index:1;" stroked="false">
                      <v:imagedata r:id="rId32"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663222" cy="3370797"/>
                      <wp:effectExtent l="0" t="0" r="0" b="0"/>
                      <wp:docPr id="20" name=""/>
                      <wp:cNvGraphicFramePr/>
                      <a:graphic xmlns:a="http://schemas.openxmlformats.org/drawingml/2006/main">
                        <a:graphicData uri="http://schemas.openxmlformats.org/drawingml/2006/picture">
                          <pic:pic xmlns:pic="http://schemas.openxmlformats.org/drawingml/2006/picture">
                            <pic:nvPicPr>
                              <pic:cNvPr id="1721552354" name="" descr=""/>
                              <pic:cNvPicPr/>
                              <pic:nvPr/>
                            </pic:nvPicPr>
                            <pic:blipFill rotWithShape="1">
                              <a:blip r:embed="rId33"/>
                              <a:stretch/>
                            </pic:blipFill>
                            <pic:spPr bwMode="auto">
                              <a:xfrm flipH="0" flipV="0">
                                <a:off x="0" y="0"/>
                                <a:ext cx="2663221" cy="3370797"/>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209.70pt;height:265.42pt;mso-wrap-distance-left:0.00pt;mso-wrap-distance-top:0.00pt;mso-wrap-distance-right:0.00pt;mso-wrap-distance-bottom:0.00pt;z-index:1;" stroked="false">
                      <v:imagedata r:id="rId33"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tc>
      </w:tr>
    </w:tbl>
    <w:p>
      <w:pPr>
        <w:pBdr/>
        <w:spacing w:after="200" w:line="276" w:lineRule="auto"/>
        <w:ind/>
        <w:jc w:val="left"/>
        <w:rPr>
          <w:i/>
          <w:lang w:val="pt-BR"/>
        </w:rPr>
      </w:pPr>
      <w:r>
        <w:rPr>
          <w:i/>
          <w:lang w:val="pt-BR"/>
        </w:rPr>
      </w:r>
      <w:r>
        <w:rPr>
          <w:i/>
          <w:lang w:val="pt-BR"/>
        </w:rPr>
      </w:r>
      <w:r>
        <w:rPr>
          <w:i/>
          <w:lang w:val="pt-BR"/>
        </w:rPr>
      </w:r>
    </w:p>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t xml:space="preserve">Người thu thập thông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tc>
      </w:tr>
      <w:tr>
        <w:trPr>
          <w:trHeight w:val="30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pPr>
            <w:r>
              <w:t xml:space="preserve">Nguyễn </w:t>
            </w:r>
            <w:r>
              <w:t xml:space="preserve">T</w:t>
            </w:r>
            <w:r>
              <w:t xml:space="preserve">ấn </w:t>
            </w:r>
            <w:r>
              <w:t xml:space="preserve">Sang</w:t>
            </w:r>
            <w:r/>
          </w:p>
        </w:tc>
      </w:tr>
    </w:tbl>
    <w:p>
      <w:pPr>
        <w:pBdr/>
        <w:spacing w:after="200" w:line="276" w:lineRule="auto"/>
        <w:ind/>
        <w:jc w:val="center"/>
        <w:rPr>
          <w:b/>
          <w:bCs/>
          <w:iCs/>
          <w:lang w:val="pt-BR"/>
        </w:rPr>
      </w:pPr>
      <w:r>
        <w:rPr>
          <w:b/>
          <w:bCs/>
          <w:iCs/>
          <w:lang w:val="pt-BR"/>
        </w:rPr>
      </w:r>
      <w:r>
        <w:rPr>
          <w:b/>
          <w:bCs/>
          <w:iCs/>
          <w:lang w:val="pt-BR"/>
        </w:rPr>
      </w:r>
      <w:r>
        <w:rPr>
          <w:b/>
          <w:bCs/>
          <w:iCs/>
          <w:lang w:val="pt-BR"/>
        </w:rPr>
      </w:r>
    </w:p>
    <w:p>
      <w:pPr>
        <w:pBdr/>
        <w:spacing w:after="200" w:line="276" w:lineRule="auto"/>
        <w:ind/>
        <w:rPr>
          <w:b/>
          <w:bCs/>
          <w:iCs/>
          <w:lang w:val="pt-BR"/>
        </w:rPr>
      </w:pPr>
      <w:r>
        <w:rPr>
          <w:b/>
          <w:bCs/>
          <w:iCs/>
          <w:lang w:val="pt-BR"/>
        </w:rPr>
        <w:br w:type="page" w:clear="all"/>
      </w:r>
      <w:r>
        <w:rPr>
          <w:b/>
          <w:bCs/>
          <w:iCs/>
          <w:lang w:val="pt-BR"/>
        </w:rPr>
      </w:r>
      <w:r>
        <w:rPr>
          <w:b/>
          <w:bCs/>
          <w:iCs/>
          <w:lang w:val="pt-BR"/>
        </w:rPr>
      </w:r>
    </w:p>
    <w:p>
      <w:pPr>
        <w:pBdr/>
        <w:spacing w:after="200" w:line="276" w:lineRule="auto"/>
        <w:ind/>
        <w:jc w:val="center"/>
        <w:rPr>
          <w:iCs/>
          <w:lang w:val="pt-BR"/>
        </w:rPr>
      </w:pPr>
      <w:r>
        <w:rPr>
          <w:b/>
          <w:bCs/>
          <w:iCs/>
          <w:lang w:val="pt-BR"/>
        </w:rPr>
        <w:t xml:space="preserve">TSSS2</w:t>
      </w:r>
      <w:r>
        <w:rPr>
          <w:iCs/>
          <w:lang w:val="pt-BR"/>
        </w:rPr>
      </w:r>
      <w:r>
        <w:rPr>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L</w:t>
            </w:r>
            <w:r>
              <w:rPr>
                <w:color w:val="000000" w:themeColor="text1"/>
                <w:sz w:val="22"/>
                <w:szCs w:val="22"/>
              </w:rPr>
              <w:t xml:space="preserve">iên hệ trực tiếp</w:t>
            </w:r>
            <w:r>
              <w:rPr>
                <w:color w:val="000000" w:themeColor="text1"/>
                <w:sz w:val="22"/>
                <w:szCs w:val="22"/>
              </w:rPr>
              <w:br/>
              <w:t xml:space="preserve">0986984265</w:t>
            </w:r>
            <w:r>
              <w:rPr>
                <w:sz w:val="22"/>
                <w:szCs w:val="22"/>
              </w:rPr>
              <w:t xml:space="preserve"> </w:t>
            </w:r>
            <w:r>
              <w:rPr>
                <w:sz w:val="22"/>
                <w:szCs w:val="22"/>
              </w:rPr>
              <w:br/>
              <w:t xml:space="preserve">(Trần Thúy</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4.143.000.000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3.728.700.000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w:t>
            </w:r>
            <w:r>
              <w:rPr>
                <w:color w:val="000000" w:themeColor="text1"/>
                <w:sz w:val="22"/>
                <w:szCs w:val="22"/>
              </w:rPr>
              <w:t xml:space="preserve">giao </w:t>
            </w:r>
            <w:r>
              <w:rPr>
                <w:color w:val="000000" w:themeColor="text1"/>
                <w:sz w:val="22"/>
                <w:szCs w:val="22"/>
              </w:rPr>
              <w:t xml:space="preserve">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w:t>
            </w:r>
            <w:r>
              <w:rPr>
                <w:color w:val="000000" w:themeColor="text1"/>
                <w:sz w:val="22"/>
                <w:szCs w:val="22"/>
              </w:rPr>
              <w:t xml:space="preserve">7</w:t>
            </w:r>
            <w:r>
              <w:rPr>
                <w:color w:val="000000" w:themeColor="text1"/>
                <w:sz w:val="22"/>
                <w:szCs w:val="22"/>
              </w:rPr>
              <w:t xml:space="preserve">/2026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Có Giấy chứng nhận Quyền sử dụng đất </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color w:val="000000" w:themeColor="text1"/>
                <w:sz w:val="22"/>
                <w:szCs w:val="22"/>
              </w:rPr>
              <w:t xml:space="preserve">Đất ở nông thôn (85m²)</w:t>
            </w:r>
            <w:r>
              <w:rPr>
                <w:color w:val="000000" w:themeColor="text1"/>
                <w:sz w:val="22"/>
                <w:szCs w:val="22"/>
              </w:rPr>
              <w:t xml:space="preserve">,Đất trồng cây lâu năm (56,7m²)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trồng cây lâu năm – Có thời hạn, Đất ở nông thôn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cách đường DT 427 khoảng 200m </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141,7</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4,47</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jc w:val="center"/>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2743152" cy="2631385"/>
                      <wp:effectExtent l="0" t="0" r="0" b="0"/>
                      <wp:docPr id="21"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4"/>
                              <a:stretch/>
                            </pic:blipFill>
                            <pic:spPr bwMode="auto">
                              <a:xfrm flipH="0" flipV="0">
                                <a:off x="0" y="0"/>
                                <a:ext cx="2743151" cy="2631384"/>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 o:spid="_x0000_s20" type="#_x0000_t75" style="width:216.00pt;height:207.20pt;mso-wrap-distance-left:0.00pt;mso-wrap-distance-top:0.00pt;mso-wrap-distance-right:0.00pt;mso-wrap-distance-bottom:0.00pt;z-index:1;" stroked="false">
                      <v:imagedata r:id="rId34" o:title=""/>
                      <o:lock v:ext="edit" rotation="t"/>
                    </v:shape>
                  </w:pict>
                </mc:Fallback>
              </mc:AlternateContent>
              <w:t xml:space="preserve">     </w:t>
            </w:r>
            <w:r>
              <w:rPr>
                <w:color w:val="000000"/>
                <w:sz w:val="22"/>
                <w:szCs w:val="22"/>
              </w:rPr>
              <mc:AlternateContent>
                <mc:Choice Requires="wpg">
                  <w:drawing>
                    <wp:inline xmlns:wp="http://schemas.openxmlformats.org/drawingml/2006/wordprocessingDrawing" distT="0" distB="0" distL="0" distR="0">
                      <wp:extent cx="2555866" cy="2520122"/>
                      <wp:effectExtent l="0" t="0" r="0" b="0"/>
                      <wp:docPr id="22" name=""/>
                      <wp:cNvGraphicFramePr/>
                      <a:graphic xmlns:a="http://schemas.openxmlformats.org/drawingml/2006/main">
                        <a:graphicData uri="http://schemas.openxmlformats.org/drawingml/2006/picture">
                          <pic:pic xmlns:pic="http://schemas.openxmlformats.org/drawingml/2006/picture">
                            <pic:nvPicPr>
                              <pic:cNvPr id="316121847" name="" descr=""/>
                              <pic:cNvPicPr/>
                              <pic:nvPr/>
                            </pic:nvPicPr>
                            <pic:blipFill rotWithShape="1">
                              <a:blip r:embed="rId35"/>
                              <a:stretch/>
                            </pic:blipFill>
                            <pic:spPr bwMode="auto">
                              <a:xfrm flipH="0" flipV="0">
                                <a:off x="0" y="0"/>
                                <a:ext cx="2555866" cy="252012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1" o:spid="_x0000_s21" type="#_x0000_t75" style="width:201.25pt;height:198.43pt;mso-wrap-distance-left:0.00pt;mso-wrap-distance-top:0.00pt;mso-wrap-distance-right:0.00pt;mso-wrap-distance-bottom:0.00pt;z-index:1;" stroked="false">
                      <v:imagedata r:id="rId35"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tc>
      </w:tr>
    </w:tbl>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 thu thập thông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rPr>
                <w:b/>
                <w:bCs/>
              </w:rPr>
            </w:pPr>
            <w:r>
              <w:rPr>
                <w:b/>
                <w:bCs/>
              </w:rPr>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t xml:space="preserve">Nguyễn </w:t>
            </w:r>
            <w:r>
              <w:t xml:space="preserve">T</w:t>
            </w:r>
            <w:r>
              <w:t xml:space="preserve">ấn </w:t>
            </w:r>
            <w:r>
              <w:t xml:space="preserve">Sang</w:t>
            </w:r>
            <w:r/>
          </w:p>
        </w:tc>
      </w:tr>
    </w:tbl>
    <w:p>
      <w:pPr>
        <w:pBdr/>
        <w:spacing w:after="200" w:line="276" w:lineRule="auto"/>
        <w:ind/>
        <w:rPr>
          <w:iCs/>
          <w:lang w:val="pt-BR"/>
        </w:rPr>
      </w:pPr>
      <w:r>
        <w:rPr>
          <w:iCs/>
          <w:lang w:val="pt-BR"/>
        </w:rPr>
      </w:r>
      <w:r>
        <w:rPr>
          <w:iCs/>
          <w:lang w:val="pt-BR"/>
        </w:rPr>
      </w:r>
      <w:r>
        <w:rPr>
          <w:iCs/>
          <w:lang w:val="pt-BR"/>
        </w:rPr>
      </w:r>
    </w:p>
    <w:p>
      <w:pPr>
        <w:pBdr/>
        <w:spacing w:after="200" w:line="276" w:lineRule="auto"/>
        <w:ind/>
        <w:rPr>
          <w:iCs/>
          <w:lang w:val="pt-BR"/>
        </w:rPr>
      </w:pPr>
      <w:r>
        <w:rPr>
          <w:iCs/>
          <w:lang w:val="pt-BR"/>
        </w:rPr>
        <w:br w:type="page" w:clear="all"/>
      </w:r>
      <w:r>
        <w:rPr>
          <w:iCs/>
          <w:lang w:val="pt-BR"/>
        </w:rPr>
      </w:r>
      <w:r>
        <w:rPr>
          <w:iCs/>
          <w:lang w:val="pt-BR"/>
        </w:rPr>
      </w:r>
    </w:p>
    <w:p>
      <w:pPr>
        <w:pBdr/>
        <w:spacing w:after="200" w:line="276" w:lineRule="auto"/>
        <w:ind/>
        <w:jc w:val="center"/>
        <w:rPr>
          <w:b/>
          <w:bCs/>
          <w:iCs/>
          <w:lang w:val="pt-BR"/>
        </w:rPr>
      </w:pPr>
      <w:r>
        <w:rPr>
          <w:b/>
          <w:bCs/>
          <w:iCs/>
          <w:lang w:val="pt-BR"/>
        </w:rPr>
        <w:t xml:space="preserve">TSSS 3</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https://www.facebook.com/groups/1661244883976693/permalink/26219237547750752/?rdid=jRB5kfmeJNEaXHnA&amp;share_url=https%3A%2F%2Fwww.facebook.com%2Fshare%2Fp%2F1bYSsFJRvN%2F#</w:t>
            </w:r>
            <w:r>
              <w:rPr>
                <w:color w:val="000000" w:themeColor="text1"/>
                <w:sz w:val="22"/>
                <w:szCs w:val="22"/>
              </w:rPr>
              <w:br/>
            </w:r>
            <w:r>
              <w:rPr>
                <w:sz w:val="22"/>
                <w:szCs w:val="22"/>
              </w:rPr>
              <w:t xml:space="preserve">SĐT: </w:t>
            </w:r>
            <w:r>
              <w:rPr>
                <w:color w:val="000000" w:themeColor="text1"/>
                <w:sz w:val="22"/>
                <w:szCs w:val="22"/>
              </w:rPr>
              <w:t xml:space="preserve">0814143999</w:t>
            </w:r>
            <w:r>
              <w:rPr>
                <w:sz w:val="22"/>
                <w:szCs w:val="22"/>
              </w:rPr>
              <w:t xml:space="preserve"> </w:t>
            </w:r>
            <w:r>
              <w:rPr>
                <w:sz w:val="22"/>
                <w:szCs w:val="22"/>
              </w:rPr>
              <w:br/>
              <w:t xml:space="preserve">(Minh Châu</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2.700.000.000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2.430.000.000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w:t>
            </w:r>
            <w:r>
              <w:rPr>
                <w:color w:val="000000" w:themeColor="text1"/>
                <w:sz w:val="22"/>
                <w:szCs w:val="22"/>
              </w:rPr>
              <w:t xml:space="preserve">giao </w:t>
            </w:r>
            <w:r>
              <w:rPr>
                <w:color w:val="000000" w:themeColor="text1"/>
                <w:sz w:val="22"/>
                <w:szCs w:val="22"/>
              </w:rPr>
              <w:t xml:space="preserve">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w:t>
            </w:r>
            <w:r>
              <w:rPr>
                <w:color w:val="000000" w:themeColor="text1"/>
                <w:sz w:val="22"/>
                <w:szCs w:val="22"/>
              </w:rPr>
              <w:t xml:space="preserve">7</w:t>
            </w:r>
            <w:r>
              <w:rPr>
                <w:color w:val="000000" w:themeColor="text1"/>
                <w:sz w:val="22"/>
                <w:szCs w:val="22"/>
              </w:rPr>
              <w:t xml:space="preserve">/2026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Có Giấy chứng nhận Quyền sử dụng đất </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nông thôn (99m²)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nông thôn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cách đường DT427 khoảng 400m </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99</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6</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jc w:val="center"/>
              <w:rPr>
                <w:color w:val="000000"/>
                <w:sz w:val="22"/>
                <w:szCs w:val="22"/>
              </w:rPr>
            </w:pPr>
            <w:r>
              <w:rPr>
                <w:color w:val="000000"/>
                <w:sz w:val="22"/>
                <w:szCs w:val="22"/>
              </w:rPr>
            </w:r>
            <w:r>
              <w:rPr>
                <w:color w:val="000000"/>
                <w:sz w:val="22"/>
                <w:szCs w:val="22"/>
              </w:rPr>
              <mc:AlternateContent>
                <mc:Choice Requires="wpg">
                  <w:drawing>
                    <wp:inline xmlns:wp="http://schemas.openxmlformats.org/drawingml/2006/wordprocessingDrawing" distT="0" distB="0" distL="0" distR="0">
                      <wp:extent cx="2263612" cy="2723669"/>
                      <wp:effectExtent l="0" t="0" r="0" b="0"/>
                      <wp:docPr id="23" name=""/>
                      <wp:cNvGraphicFramePr/>
                      <a:graphic xmlns:a="http://schemas.openxmlformats.org/drawingml/2006/main">
                        <a:graphicData uri="http://schemas.openxmlformats.org/drawingml/2006/picture">
                          <pic:pic xmlns:pic="http://schemas.openxmlformats.org/drawingml/2006/picture">
                            <pic:nvPicPr>
                              <pic:cNvPr id="1539557636" name="" descr=""/>
                              <pic:cNvPicPr/>
                              <pic:nvPr/>
                            </pic:nvPicPr>
                            <pic:blipFill rotWithShape="1">
                              <a:blip r:embed="rId36"/>
                              <a:stretch/>
                            </pic:blipFill>
                            <pic:spPr bwMode="auto">
                              <a:xfrm flipH="0" flipV="0">
                                <a:off x="0" y="0"/>
                                <a:ext cx="2263611" cy="2723668"/>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2" o:spid="_x0000_s22" type="#_x0000_t75" style="width:178.24pt;height:214.46pt;mso-wrap-distance-left:0.00pt;mso-wrap-distance-top:0.00pt;mso-wrap-distance-right:0.00pt;mso-wrap-distance-bottom:0.00pt;z-index:1;" stroked="false">
                      <v:imagedata r:id="rId36"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528666" cy="2673927"/>
                      <wp:effectExtent l="0" t="0" r="0" b="0"/>
                      <wp:docPr id="24" name=""/>
                      <wp:cNvGraphicFramePr/>
                      <a:graphic xmlns:a="http://schemas.openxmlformats.org/drawingml/2006/main">
                        <a:graphicData uri="http://schemas.openxmlformats.org/drawingml/2006/picture">
                          <pic:pic xmlns:pic="http://schemas.openxmlformats.org/drawingml/2006/picture">
                            <pic:nvPicPr>
                              <pic:cNvPr id="984101646" name="" descr=""/>
                              <pic:cNvPicPr/>
                              <pic:nvPr/>
                            </pic:nvPicPr>
                            <pic:blipFill rotWithShape="1">
                              <a:blip r:embed="rId37"/>
                              <a:stretch/>
                            </pic:blipFill>
                            <pic:spPr bwMode="auto">
                              <a:xfrm flipH="0" flipV="0">
                                <a:off x="0" y="0"/>
                                <a:ext cx="2528665" cy="2673927"/>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3" o:spid="_x0000_s23" type="#_x0000_t75" style="width:199.11pt;height:210.55pt;mso-wrap-distance-left:0.00pt;mso-wrap-distance-top:0.00pt;mso-wrap-distance-right:0.00pt;mso-wrap-distance-bottom:0.00pt;z-index:1;" stroked="false">
                      <v:imagedata r:id="rId37" o:title=""/>
                      <o:lock v:ext="edit" rotation="t"/>
                    </v:shape>
                  </w:pict>
                </mc:Fallback>
              </mc:AlternateConten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b/>
                <w:bCs/>
                <w:sz w:val="22"/>
                <w:szCs w:val="22"/>
              </w:rPr>
            </w:r>
            <w:r>
              <w:rPr>
                <w:b/>
                <w:bCs/>
                <w:sz w:val="22"/>
                <w:szCs w:val="22"/>
              </w:rPr>
            </w:r>
          </w:p>
        </w:tc>
      </w:tr>
    </w:tbl>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 thu thập thông tin</w:t>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r/>
          </w:p>
          <w:p>
            <w:pPr>
              <w:pBdr/>
              <w:spacing/>
              <w:ind/>
              <w:rPr/>
            </w:pPr>
            <w:r/>
            <w:r/>
          </w:p>
          <w:p>
            <w:pPr>
              <w:pBdr/>
              <w:spacing/>
              <w:ind/>
              <w:jc w:val="center"/>
              <w:rPr/>
            </w:pPr>
            <w:r/>
            <w:r/>
          </w:p>
          <w:p>
            <w:pPr>
              <w:pBdr/>
              <w:spacing/>
              <w:ind/>
              <w:jc w:val="center"/>
              <w:rPr/>
            </w:pPr>
            <w:r/>
            <w:r/>
          </w:p>
          <w:p>
            <w:pPr>
              <w:pBdr/>
              <w:spacing/>
              <w:ind/>
              <w:jc w:val="center"/>
              <w:rPr/>
            </w:pPr>
            <w:r/>
            <w:r/>
          </w:p>
        </w:tc>
      </w:tr>
      <w:tr>
        <w:trPr>
          <w:trHeight w:val="312"/>
        </w:trPr>
        <w:tc>
          <w:tcPr>
            <w:tcBorders/>
            <w:tcW w:w="4427" w:type="dxa"/>
            <w:vAlign w:val="bottom"/>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t xml:space="preserve">Nguyễn </w:t>
            </w:r>
            <w:r>
              <w:t xml:space="preserve">T</w:t>
            </w:r>
            <w:r>
              <w:t xml:space="preserve">ấn </w:t>
            </w:r>
            <w:r>
              <w:t xml:space="preserve">Sang</w:t>
            </w:r>
            <w:r>
              <w:rPr>
                <w:b/>
                <w:bCs/>
              </w:rPr>
            </w:r>
            <w:r/>
          </w:p>
        </w:tc>
      </w:tr>
    </w:tbl>
    <w:p>
      <w:pPr>
        <w:pBdr/>
        <w:spacing w:after="200" w:line="276" w:lineRule="auto"/>
        <w:ind/>
        <w:rPr>
          <w:iCs/>
          <w:lang w:val="pt-BR"/>
        </w:rPr>
      </w:pPr>
      <w:r>
        <w:rPr>
          <w:iCs/>
          <w:lang w:val="pt-BR"/>
        </w:rPr>
      </w:r>
      <w:r>
        <w:rPr>
          <w:iCs/>
          <w:lang w:val="pt-BR"/>
        </w:rPr>
      </w:r>
      <w:r>
        <w:rPr>
          <w:iCs/>
          <w:lang w:val="pt-BR"/>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504020204"/>
  </w:font>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35"/>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pPr>
      <w:pStyle w:val="1035"/>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35"/>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35"/>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33"/>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abstractNum w:abstractNumId="37">
    <w:nsid w:val="7CB61C25"/>
    <w:lvl w:ilvl="0">
      <w:isLgl w:val="false"/>
      <w:lvlJc w:val="left"/>
      <w:lvlText w:val="-"/>
      <w:numFmt w:val="bullet"/>
      <w:pPr>
        <w:pBdr/>
        <w:spacing/>
        <w:ind w:hanging="360" w:left="360"/>
      </w:pPr>
      <w:rPr>
        <w:rFonts w:hint="default" w:ascii="Symbol" w:hAnsi="Symbol" w:eastAsia="Symbol" w:cs="Symbol"/>
      </w:rPr>
      <w:start w:val="1"/>
      <w:suff w:val="tab"/>
    </w:lvl>
    <w:lvl w:ilvl="1">
      <w:isLgl w:val="false"/>
      <w:lvlJc w:val="left"/>
      <w:lvlText w:val="o"/>
      <w:numFmt w:val="bullet"/>
      <w:pPr>
        <w:pBdr/>
        <w:spacing/>
        <w:ind w:hanging="360" w:left="1080"/>
      </w:pPr>
      <w:rPr>
        <w:rFonts w:hint="default" w:ascii="Courier New" w:hAnsi="Courier New" w:eastAsia="Courier New" w:cs="Courier New"/>
      </w:rPr>
      <w:start w:val="1"/>
      <w:suff w:val="tab"/>
    </w:lvl>
    <w:lvl w:ilvl="2">
      <w:isLgl w:val="false"/>
      <w:lvlJc w:val="left"/>
      <w:lvlText w:val=""/>
      <w:numFmt w:val="bullet"/>
      <w:pPr>
        <w:pBdr/>
        <w:spacing/>
        <w:ind w:hanging="360" w:left="1800"/>
      </w:pPr>
      <w:rPr>
        <w:rFonts w:hint="default" w:ascii="Wingdings" w:hAnsi="Wingdings" w:eastAsia="Wingdings" w:cs="Wingdings"/>
      </w:rPr>
      <w:start w:val="1"/>
      <w:suff w:val="tab"/>
    </w:lvl>
    <w:lvl w:ilvl="3">
      <w:isLgl w:val="false"/>
      <w:lvlJc w:val="left"/>
      <w:lvlText w:val=""/>
      <w:numFmt w:val="bullet"/>
      <w:pPr>
        <w:pBdr/>
        <w:spacing/>
        <w:ind w:hanging="360" w:left="2520"/>
      </w:pPr>
      <w:rPr>
        <w:rFonts w:hint="default" w:ascii="Symbol" w:hAnsi="Symbol" w:eastAsia="Symbol" w:cs="Symbol"/>
      </w:rPr>
      <w:start w:val="1"/>
      <w:suff w:val="tab"/>
    </w:lvl>
    <w:lvl w:ilvl="4">
      <w:isLgl w:val="false"/>
      <w:lvlJc w:val="left"/>
      <w:lvlText w:val="o"/>
      <w:numFmt w:val="bullet"/>
      <w:pPr>
        <w:pBdr/>
        <w:spacing/>
        <w:ind w:hanging="360" w:left="3240"/>
      </w:pPr>
      <w:rPr>
        <w:rFonts w:hint="default" w:ascii="Courier New" w:hAnsi="Courier New" w:eastAsia="Courier New" w:cs="Courier New"/>
      </w:rPr>
      <w:start w:val="1"/>
      <w:suff w:val="tab"/>
    </w:lvl>
    <w:lvl w:ilvl="5">
      <w:isLgl w:val="false"/>
      <w:lvlJc w:val="left"/>
      <w:lvlText w:val=""/>
      <w:numFmt w:val="bullet"/>
      <w:pPr>
        <w:pBdr/>
        <w:spacing/>
        <w:ind w:hanging="360" w:left="3960"/>
      </w:pPr>
      <w:rPr>
        <w:rFonts w:hint="default" w:ascii="Wingdings" w:hAnsi="Wingdings" w:eastAsia="Wingdings" w:cs="Wingdings"/>
      </w:rPr>
      <w:start w:val="1"/>
      <w:suff w:val="tab"/>
    </w:lvl>
    <w:lvl w:ilvl="6">
      <w:isLgl w:val="false"/>
      <w:lvlJc w:val="left"/>
      <w:lvlText w:val=""/>
      <w:numFmt w:val="bullet"/>
      <w:pPr>
        <w:pBdr/>
        <w:spacing/>
        <w:ind w:hanging="360" w:left="4680"/>
      </w:pPr>
      <w:rPr>
        <w:rFonts w:hint="default" w:ascii="Symbol" w:hAnsi="Symbol" w:eastAsia="Symbol" w:cs="Symbol"/>
      </w:rPr>
      <w:start w:val="1"/>
      <w:suff w:val="tab"/>
    </w:lvl>
    <w:lvl w:ilvl="7">
      <w:isLgl w:val="false"/>
      <w:lvlJc w:val="left"/>
      <w:lvlText w:val="o"/>
      <w:numFmt w:val="bullet"/>
      <w:pPr>
        <w:pBdr/>
        <w:spacing/>
        <w:ind w:hanging="360" w:left="5400"/>
      </w:pPr>
      <w:rPr>
        <w:rFonts w:hint="default" w:ascii="Courier New" w:hAnsi="Courier New" w:eastAsia="Courier New" w:cs="Courier New"/>
      </w:rPr>
      <w:start w:val="1"/>
      <w:suff w:val="tab"/>
    </w:lvl>
    <w:lvl w:ilvl="8">
      <w:isLgl w:val="false"/>
      <w:lvlJc w:val="left"/>
      <w:lvlText w:val=""/>
      <w:numFmt w:val="bullet"/>
      <w:pPr>
        <w:pBdr/>
        <w:spacing/>
        <w:ind w:hanging="360" w:left="6120"/>
      </w:pPr>
      <w:rPr>
        <w:rFonts w:hint="default" w:ascii="Wingdings" w:hAnsi="Wingdings" w:eastAsia="Wingdings" w:cs="Wingdings"/>
      </w:rPr>
      <w:start w:val="1"/>
      <w:suff w:val="tab"/>
    </w:lvl>
  </w:abstractNum>
  <w:abstractNum w:abstractNumId="38">
    <w:nsid w:val="7CB61C25"/>
    <w:lvl w:ilvl="0">
      <w:isLgl w:val="false"/>
      <w:lvlJc w:val="left"/>
      <w:lvlText w:val="-"/>
      <w:numFmt w:val="bullet"/>
      <w:pPr>
        <w:pBdr/>
        <w:spacing/>
        <w:ind w:hanging="360" w:left="360"/>
      </w:pPr>
      <w:rPr>
        <w:rFonts w:hint="default" w:ascii="Symbol" w:hAnsi="Symbol" w:eastAsia="Symbol" w:cs="Symbol"/>
      </w:rPr>
      <w:start w:val="1"/>
      <w:suff w:val="tab"/>
    </w:lvl>
    <w:lvl w:ilvl="1">
      <w:isLgl w:val="false"/>
      <w:lvlJc w:val="left"/>
      <w:lvlText w:val="o"/>
      <w:numFmt w:val="bullet"/>
      <w:pPr>
        <w:pBdr/>
        <w:spacing/>
        <w:ind w:hanging="360" w:left="1080"/>
      </w:pPr>
      <w:rPr>
        <w:rFonts w:hint="default" w:ascii="Courier New" w:hAnsi="Courier New" w:eastAsia="Courier New" w:cs="Courier New"/>
      </w:rPr>
      <w:start w:val="1"/>
      <w:suff w:val="tab"/>
    </w:lvl>
    <w:lvl w:ilvl="2">
      <w:isLgl w:val="false"/>
      <w:lvlJc w:val="left"/>
      <w:lvlText w:val=""/>
      <w:numFmt w:val="bullet"/>
      <w:pPr>
        <w:pBdr/>
        <w:spacing/>
        <w:ind w:hanging="360" w:left="1800"/>
      </w:pPr>
      <w:rPr>
        <w:rFonts w:hint="default" w:ascii="Wingdings" w:hAnsi="Wingdings" w:eastAsia="Wingdings" w:cs="Wingdings"/>
      </w:rPr>
      <w:start w:val="1"/>
      <w:suff w:val="tab"/>
    </w:lvl>
    <w:lvl w:ilvl="3">
      <w:isLgl w:val="false"/>
      <w:lvlJc w:val="left"/>
      <w:lvlText w:val=""/>
      <w:numFmt w:val="bullet"/>
      <w:pPr>
        <w:pBdr/>
        <w:spacing/>
        <w:ind w:hanging="360" w:left="2520"/>
      </w:pPr>
      <w:rPr>
        <w:rFonts w:hint="default" w:ascii="Symbol" w:hAnsi="Symbol" w:eastAsia="Symbol" w:cs="Symbol"/>
      </w:rPr>
      <w:start w:val="1"/>
      <w:suff w:val="tab"/>
    </w:lvl>
    <w:lvl w:ilvl="4">
      <w:isLgl w:val="false"/>
      <w:lvlJc w:val="left"/>
      <w:lvlText w:val="o"/>
      <w:numFmt w:val="bullet"/>
      <w:pPr>
        <w:pBdr/>
        <w:spacing/>
        <w:ind w:hanging="360" w:left="3240"/>
      </w:pPr>
      <w:rPr>
        <w:rFonts w:hint="default" w:ascii="Courier New" w:hAnsi="Courier New" w:eastAsia="Courier New" w:cs="Courier New"/>
      </w:rPr>
      <w:start w:val="1"/>
      <w:suff w:val="tab"/>
    </w:lvl>
    <w:lvl w:ilvl="5">
      <w:isLgl w:val="false"/>
      <w:lvlJc w:val="left"/>
      <w:lvlText w:val=""/>
      <w:numFmt w:val="bullet"/>
      <w:pPr>
        <w:pBdr/>
        <w:spacing/>
        <w:ind w:hanging="360" w:left="3960"/>
      </w:pPr>
      <w:rPr>
        <w:rFonts w:hint="default" w:ascii="Wingdings" w:hAnsi="Wingdings" w:eastAsia="Wingdings" w:cs="Wingdings"/>
      </w:rPr>
      <w:start w:val="1"/>
      <w:suff w:val="tab"/>
    </w:lvl>
    <w:lvl w:ilvl="6">
      <w:isLgl w:val="false"/>
      <w:lvlJc w:val="left"/>
      <w:lvlText w:val=""/>
      <w:numFmt w:val="bullet"/>
      <w:pPr>
        <w:pBdr/>
        <w:spacing/>
        <w:ind w:hanging="360" w:left="4680"/>
      </w:pPr>
      <w:rPr>
        <w:rFonts w:hint="default" w:ascii="Symbol" w:hAnsi="Symbol" w:eastAsia="Symbol" w:cs="Symbol"/>
      </w:rPr>
      <w:start w:val="1"/>
      <w:suff w:val="tab"/>
    </w:lvl>
    <w:lvl w:ilvl="7">
      <w:isLgl w:val="false"/>
      <w:lvlJc w:val="left"/>
      <w:lvlText w:val="o"/>
      <w:numFmt w:val="bullet"/>
      <w:pPr>
        <w:pBdr/>
        <w:spacing/>
        <w:ind w:hanging="360" w:left="5400"/>
      </w:pPr>
      <w:rPr>
        <w:rFonts w:hint="default" w:ascii="Courier New" w:hAnsi="Courier New" w:eastAsia="Courier New" w:cs="Courier New"/>
      </w:rPr>
      <w:start w:val="1"/>
      <w:suff w:val="tab"/>
    </w:lvl>
    <w:lvl w:ilvl="8">
      <w:isLgl w:val="false"/>
      <w:lvlJc w:val="left"/>
      <w:lvlText w:val=""/>
      <w:numFmt w:val="bullet"/>
      <w:pPr>
        <w:pBdr/>
        <w:spacing/>
        <w:ind w:hanging="360" w:left="6120"/>
      </w:pPr>
      <w:rPr>
        <w:rFonts w:hint="default" w:ascii="Wingdings" w:hAnsi="Wingdings" w:eastAsia="Wingdings" w:cs="Wingdings"/>
      </w:rPr>
      <w:start w:val="1"/>
      <w:suff w:val="tab"/>
    </w:lvl>
  </w:abstractNum>
  <w:abstractNum w:abstractNumId="39">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40">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41">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42">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 w:numId="39">
    <w:abstractNumId w:val="37"/>
  </w:num>
  <w:num w:numId="40">
    <w:abstractNumId w:val="38"/>
  </w:num>
  <w:num w:numId="41"/>
  <w:num w:numId="42"/>
  <w:num w:numId="43">
    <w:abstractNumId w:val="39"/>
  </w:num>
  <w:num w:numId="44">
    <w:abstractNumId w:val="40"/>
  </w:num>
  <w:num w:numId="45">
    <w:abstractNumId w:val="41"/>
  </w:num>
  <w:num w:numId="46">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51">
    <w:name w:val="Table Grid Light"/>
    <w:basedOn w:val="1023"/>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Plain Table 1"/>
    <w:basedOn w:val="1023"/>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Plain Table 2"/>
    <w:basedOn w:val="1023"/>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Plain Table 3"/>
    <w:basedOn w:val="1023"/>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Plain Table 4"/>
    <w:basedOn w:val="1023"/>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Plain Table 5"/>
    <w:basedOn w:val="1023"/>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1 Light"/>
    <w:basedOn w:val="1023"/>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1 Light - Accent 1"/>
    <w:basedOn w:val="1023"/>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1 Light - Accent 2"/>
    <w:basedOn w:val="1023"/>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1 Light - Accent 3"/>
    <w:basedOn w:val="1023"/>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1 Light - Accent 4"/>
    <w:basedOn w:val="1023"/>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1 Light - Accent 5"/>
    <w:basedOn w:val="1023"/>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1 Light - Accent 6"/>
    <w:basedOn w:val="1023"/>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2"/>
    <w:basedOn w:val="1023"/>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2 - Accent 1"/>
    <w:basedOn w:val="1023"/>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2 - Accent 2"/>
    <w:basedOn w:val="1023"/>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2 - Accent 3"/>
    <w:basedOn w:val="1023"/>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2 - Accent 4"/>
    <w:basedOn w:val="1023"/>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2 - Accent 5"/>
    <w:basedOn w:val="1023"/>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2 - Accent 6"/>
    <w:basedOn w:val="1023"/>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3"/>
    <w:basedOn w:val="1023"/>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3 - Accent 1"/>
    <w:basedOn w:val="1023"/>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3 - Accent 2"/>
    <w:basedOn w:val="1023"/>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3 - Accent 3"/>
    <w:basedOn w:val="1023"/>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3 - Accent 4"/>
    <w:basedOn w:val="1023"/>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3 - Accent 5"/>
    <w:basedOn w:val="1023"/>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3 - Accent 6"/>
    <w:basedOn w:val="1023"/>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4"/>
    <w:basedOn w:val="1023"/>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name w:val="Grid Table 4 - Accent 1"/>
    <w:basedOn w:val="1023"/>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0">
    <w:name w:val="Grid Table 4 - Accent 2"/>
    <w:basedOn w:val="1023"/>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1">
    <w:name w:val="Grid Table 4 - Accent 3"/>
    <w:basedOn w:val="1023"/>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2">
    <w:name w:val="Grid Table 4 - Accent 4"/>
    <w:basedOn w:val="1023"/>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3">
    <w:name w:val="Grid Table 4 - Accent 5"/>
    <w:basedOn w:val="1023"/>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4">
    <w:name w:val="Grid Table 4 - Accent 6"/>
    <w:basedOn w:val="1023"/>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5">
    <w:name w:val="Grid Table 5 Dark"/>
    <w:basedOn w:val="102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6">
    <w:name w:val="Grid Table 5 Dark- Accent 1"/>
    <w:basedOn w:val="102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7">
    <w:name w:val="Grid Table 5 Dark - Accent 2"/>
    <w:basedOn w:val="102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name w:val="Grid Table 5 Dark - Accent 3"/>
    <w:basedOn w:val="102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9">
    <w:name w:val="Grid Table 5 Dark- Accent 4"/>
    <w:basedOn w:val="102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0">
    <w:name w:val="Grid Table 5 Dark - Accent 5"/>
    <w:basedOn w:val="102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1">
    <w:name w:val="Grid Table 5 Dark - Accent 6"/>
    <w:basedOn w:val="102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Grid Table 6 Colorful"/>
    <w:basedOn w:val="1023"/>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93">
    <w:name w:val="Grid Table 6 Colorful - Accent 1"/>
    <w:basedOn w:val="1023"/>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94">
    <w:name w:val="Grid Table 6 Colorful - Accent 2"/>
    <w:basedOn w:val="1023"/>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95">
    <w:name w:val="Grid Table 6 Colorful - Accent 3"/>
    <w:basedOn w:val="1023"/>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96">
    <w:name w:val="Grid Table 6 Colorful - Accent 4"/>
    <w:basedOn w:val="1023"/>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97">
    <w:name w:val="Grid Table 6 Colorful - Accent 5"/>
    <w:basedOn w:val="1023"/>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98">
    <w:name w:val="Grid Table 6 Colorful - Accent 6"/>
    <w:basedOn w:val="1023"/>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99">
    <w:name w:val="Grid Table 7 Colorful"/>
    <w:basedOn w:val="1023"/>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Grid Table 7 Colorful - Accent 1"/>
    <w:basedOn w:val="1023"/>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Grid Table 7 Colorful - Accent 2"/>
    <w:basedOn w:val="1023"/>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Grid Table 7 Colorful - Accent 3"/>
    <w:basedOn w:val="1023"/>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Grid Table 7 Colorful - Accent 4"/>
    <w:basedOn w:val="1023"/>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Grid Table 7 Colorful - Accent 5"/>
    <w:basedOn w:val="1023"/>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Grid Table 7 Colorful - Accent 6"/>
    <w:basedOn w:val="1023"/>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1 Light"/>
    <w:basedOn w:val="102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1 Light - Accent 1"/>
    <w:basedOn w:val="102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1 Light - Accent 2"/>
    <w:basedOn w:val="102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1 Light - Accent 3"/>
    <w:basedOn w:val="102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1 Light - Accent 4"/>
    <w:basedOn w:val="102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1 Light - Accent 5"/>
    <w:basedOn w:val="102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1 Light - Accent 6"/>
    <w:basedOn w:val="102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2"/>
    <w:basedOn w:val="1023"/>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2 - Accent 1"/>
    <w:basedOn w:val="1023"/>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2 - Accent 2"/>
    <w:basedOn w:val="1023"/>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2 - Accent 3"/>
    <w:basedOn w:val="1023"/>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2 - Accent 4"/>
    <w:basedOn w:val="1023"/>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2 - Accent 5"/>
    <w:basedOn w:val="1023"/>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2 - Accent 6"/>
    <w:basedOn w:val="1023"/>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3"/>
    <w:basedOn w:val="1023"/>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1">
    <w:name w:val="List Table 3 - Accent 1"/>
    <w:basedOn w:val="1023"/>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2">
    <w:name w:val="List Table 3 - Accent 2"/>
    <w:basedOn w:val="1023"/>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3">
    <w:name w:val="List Table 3 - Accent 3"/>
    <w:basedOn w:val="1023"/>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4">
    <w:name w:val="List Table 3 - Accent 4"/>
    <w:basedOn w:val="1023"/>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5">
    <w:name w:val="List Table 3 - Accent 5"/>
    <w:basedOn w:val="1023"/>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6">
    <w:name w:val="List Table 3 - Accent 6"/>
    <w:basedOn w:val="1023"/>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7">
    <w:name w:val="List Table 4"/>
    <w:basedOn w:val="1023"/>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8">
    <w:name w:val="List Table 4 - Accent 1"/>
    <w:basedOn w:val="1023"/>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9">
    <w:name w:val="List Table 4 - Accent 2"/>
    <w:basedOn w:val="1023"/>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0">
    <w:name w:val="List Table 4 - Accent 3"/>
    <w:basedOn w:val="1023"/>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1">
    <w:name w:val="List Table 4 - Accent 4"/>
    <w:basedOn w:val="1023"/>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2">
    <w:name w:val="List Table 4 - Accent 5"/>
    <w:basedOn w:val="1023"/>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3">
    <w:name w:val="List Table 4 - Accent 6"/>
    <w:basedOn w:val="1023"/>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4">
    <w:name w:val="List Table 5 Dark"/>
    <w:basedOn w:val="1023"/>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5">
    <w:name w:val="List Table 5 Dark - Accent 1"/>
    <w:basedOn w:val="1023"/>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6">
    <w:name w:val="List Table 5 Dark - Accent 2"/>
    <w:basedOn w:val="1023"/>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7">
    <w:name w:val="List Table 5 Dark - Accent 3"/>
    <w:basedOn w:val="1023"/>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8">
    <w:name w:val="List Table 5 Dark - Accent 4"/>
    <w:basedOn w:val="1023"/>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9">
    <w:name w:val="List Table 5 Dark - Accent 5"/>
    <w:basedOn w:val="1023"/>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40">
    <w:name w:val="List Table 5 Dark - Accent 6"/>
    <w:basedOn w:val="1023"/>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41">
    <w:name w:val="List Table 6 Colorful"/>
    <w:basedOn w:val="1023"/>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2">
    <w:name w:val="List Table 6 Colorful - Accent 1"/>
    <w:basedOn w:val="1023"/>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3">
    <w:name w:val="List Table 6 Colorful - Accent 2"/>
    <w:basedOn w:val="1023"/>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4">
    <w:name w:val="List Table 6 Colorful - Accent 3"/>
    <w:basedOn w:val="1023"/>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5">
    <w:name w:val="List Table 6 Colorful - Accent 4"/>
    <w:basedOn w:val="1023"/>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6">
    <w:name w:val="List Table 6 Colorful - Accent 5"/>
    <w:basedOn w:val="1023"/>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7">
    <w:name w:val="List Table 6 Colorful - Accent 6"/>
    <w:basedOn w:val="1023"/>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8">
    <w:name w:val="List Table 7 Colorful"/>
    <w:basedOn w:val="1023"/>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49">
    <w:name w:val="List Table 7 Colorful - Accent 1"/>
    <w:basedOn w:val="1023"/>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50">
    <w:name w:val="List Table 7 Colorful - Accent 2"/>
    <w:basedOn w:val="1023"/>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51">
    <w:name w:val="List Table 7 Colorful - Accent 3"/>
    <w:basedOn w:val="1023"/>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52">
    <w:name w:val="List Table 7 Colorful - Accent 4"/>
    <w:basedOn w:val="1023"/>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53">
    <w:name w:val="List Table 7 Colorful - Accent 5"/>
    <w:basedOn w:val="1023"/>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54">
    <w:name w:val="List Table 7 Colorful - Accent 6"/>
    <w:basedOn w:val="1023"/>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55">
    <w:name w:val="Lined - Accent"/>
    <w:basedOn w:val="102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Lined - Accent 1"/>
    <w:basedOn w:val="102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Lined - Accent 2"/>
    <w:basedOn w:val="102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Lined - Accent 3"/>
    <w:basedOn w:val="102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Lined - Accent 4"/>
    <w:basedOn w:val="102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Lined - Accent 5"/>
    <w:basedOn w:val="102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Lined - Accent 6"/>
    <w:basedOn w:val="102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2">
    <w:name w:val="Bordered &amp; Lined - Accent"/>
    <w:basedOn w:val="1023"/>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3">
    <w:name w:val="Bordered &amp; Lined - Accent 1"/>
    <w:basedOn w:val="1023"/>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4">
    <w:name w:val="Bordered &amp; Lined - Accent 2"/>
    <w:basedOn w:val="1023"/>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5">
    <w:name w:val="Bordered &amp; Lined - Accent 3"/>
    <w:basedOn w:val="1023"/>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6">
    <w:name w:val="Bordered &amp; Lined - Accent 4"/>
    <w:basedOn w:val="1023"/>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7">
    <w:name w:val="Bordered &amp; Lined - Accent 5"/>
    <w:basedOn w:val="1023"/>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8">
    <w:name w:val="Bordered &amp; Lined - Accent 6"/>
    <w:basedOn w:val="1023"/>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9">
    <w:name w:val="Bordered"/>
    <w:basedOn w:val="1023"/>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0">
    <w:name w:val="Bordered - Accent 1"/>
    <w:basedOn w:val="1023"/>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1">
    <w:name w:val="Bordered - Accent 2"/>
    <w:basedOn w:val="1023"/>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2">
    <w:name w:val="Bordered - Accent 3"/>
    <w:basedOn w:val="1023"/>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3">
    <w:name w:val="Bordered - Accent 4"/>
    <w:basedOn w:val="1023"/>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4">
    <w:name w:val="Bordered - Accent 5"/>
    <w:basedOn w:val="1023"/>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5">
    <w:name w:val="Bordered - Accent 6"/>
    <w:basedOn w:val="1023"/>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76">
    <w:name w:val="Heading 5"/>
    <w:basedOn w:val="1017"/>
    <w:next w:val="1017"/>
    <w:link w:val="981"/>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77">
    <w:name w:val="Heading 6"/>
    <w:basedOn w:val="1017"/>
    <w:next w:val="1017"/>
    <w:link w:val="982"/>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78">
    <w:name w:val="Heading 7"/>
    <w:basedOn w:val="1017"/>
    <w:next w:val="1017"/>
    <w:link w:val="983"/>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79">
    <w:name w:val="Heading 8"/>
    <w:basedOn w:val="1017"/>
    <w:next w:val="1017"/>
    <w:link w:val="984"/>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80">
    <w:name w:val="Heading 9"/>
    <w:basedOn w:val="1017"/>
    <w:next w:val="1017"/>
    <w:link w:val="985"/>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81">
    <w:name w:val="Heading 5 Char"/>
    <w:basedOn w:val="1022"/>
    <w:link w:val="976"/>
    <w:uiPriority w:val="9"/>
    <w:pPr>
      <w:pBdr/>
      <w:spacing/>
      <w:ind/>
    </w:pPr>
    <w:rPr>
      <w:rFonts w:ascii="Arial" w:hAnsi="Arial" w:eastAsia="Arial" w:cs="Arial"/>
      <w:color w:val="0f4761" w:themeColor="accent1" w:themeShade="BF"/>
    </w:rPr>
  </w:style>
  <w:style w:type="character" w:styleId="982">
    <w:name w:val="Heading 6 Char"/>
    <w:basedOn w:val="1022"/>
    <w:link w:val="977"/>
    <w:uiPriority w:val="9"/>
    <w:pPr>
      <w:pBdr/>
      <w:spacing/>
      <w:ind/>
    </w:pPr>
    <w:rPr>
      <w:rFonts w:ascii="Arial" w:hAnsi="Arial" w:eastAsia="Arial" w:cs="Arial"/>
      <w:i/>
      <w:iCs/>
      <w:color w:val="595959" w:themeColor="text1" w:themeTint="A6"/>
    </w:rPr>
  </w:style>
  <w:style w:type="character" w:styleId="983">
    <w:name w:val="Heading 7 Char"/>
    <w:basedOn w:val="1022"/>
    <w:link w:val="978"/>
    <w:uiPriority w:val="9"/>
    <w:pPr>
      <w:pBdr/>
      <w:spacing/>
      <w:ind/>
    </w:pPr>
    <w:rPr>
      <w:rFonts w:ascii="Arial" w:hAnsi="Arial" w:eastAsia="Arial" w:cs="Arial"/>
      <w:color w:val="595959" w:themeColor="text1" w:themeTint="A6"/>
    </w:rPr>
  </w:style>
  <w:style w:type="character" w:styleId="984">
    <w:name w:val="Heading 8 Char"/>
    <w:basedOn w:val="1022"/>
    <w:link w:val="979"/>
    <w:uiPriority w:val="9"/>
    <w:pPr>
      <w:pBdr/>
      <w:spacing/>
      <w:ind/>
    </w:pPr>
    <w:rPr>
      <w:rFonts w:ascii="Arial" w:hAnsi="Arial" w:eastAsia="Arial" w:cs="Arial"/>
      <w:i/>
      <w:iCs/>
      <w:color w:val="272727" w:themeColor="text1" w:themeTint="D8"/>
    </w:rPr>
  </w:style>
  <w:style w:type="character" w:styleId="985">
    <w:name w:val="Heading 9 Char"/>
    <w:basedOn w:val="1022"/>
    <w:link w:val="980"/>
    <w:uiPriority w:val="9"/>
    <w:pPr>
      <w:pBdr/>
      <w:spacing/>
      <w:ind/>
    </w:pPr>
    <w:rPr>
      <w:rFonts w:ascii="Arial" w:hAnsi="Arial" w:eastAsia="Arial" w:cs="Arial"/>
      <w:i/>
      <w:iCs/>
      <w:color w:val="272727" w:themeColor="text1" w:themeTint="D8"/>
    </w:rPr>
  </w:style>
  <w:style w:type="paragraph" w:styleId="986">
    <w:name w:val="Subtitle"/>
    <w:basedOn w:val="1017"/>
    <w:next w:val="1017"/>
    <w:link w:val="987"/>
    <w:uiPriority w:val="11"/>
    <w:qFormat/>
    <w:pPr>
      <w:numPr>
        <w:ilvl w:val="1"/>
      </w:numPr>
      <w:pBdr/>
      <w:spacing/>
      <w:ind/>
    </w:pPr>
    <w:rPr>
      <w:color w:val="595959" w:themeColor="text1" w:themeTint="A6"/>
      <w:spacing w:val="15"/>
      <w:sz w:val="28"/>
      <w:szCs w:val="28"/>
    </w:rPr>
  </w:style>
  <w:style w:type="character" w:styleId="987">
    <w:name w:val="Subtitle Char"/>
    <w:basedOn w:val="1022"/>
    <w:link w:val="986"/>
    <w:uiPriority w:val="11"/>
    <w:pPr>
      <w:pBdr/>
      <w:spacing/>
      <w:ind/>
    </w:pPr>
    <w:rPr>
      <w:color w:val="595959" w:themeColor="text1" w:themeTint="A6"/>
      <w:spacing w:val="15"/>
      <w:sz w:val="28"/>
      <w:szCs w:val="28"/>
    </w:rPr>
  </w:style>
  <w:style w:type="paragraph" w:styleId="988">
    <w:name w:val="Quote"/>
    <w:basedOn w:val="1017"/>
    <w:next w:val="1017"/>
    <w:link w:val="989"/>
    <w:uiPriority w:val="29"/>
    <w:qFormat/>
    <w:pPr>
      <w:pBdr/>
      <w:spacing w:before="160"/>
      <w:ind/>
      <w:jc w:val="center"/>
    </w:pPr>
    <w:rPr>
      <w:i/>
      <w:iCs/>
      <w:color w:val="404040" w:themeColor="text1" w:themeTint="BF"/>
    </w:rPr>
  </w:style>
  <w:style w:type="character" w:styleId="989">
    <w:name w:val="Quote Char"/>
    <w:basedOn w:val="1022"/>
    <w:link w:val="988"/>
    <w:uiPriority w:val="29"/>
    <w:pPr>
      <w:pBdr/>
      <w:spacing/>
      <w:ind/>
    </w:pPr>
    <w:rPr>
      <w:i/>
      <w:iCs/>
      <w:color w:val="404040" w:themeColor="text1" w:themeTint="BF"/>
    </w:rPr>
  </w:style>
  <w:style w:type="character" w:styleId="990">
    <w:name w:val="Intense Emphasis"/>
    <w:basedOn w:val="1022"/>
    <w:uiPriority w:val="21"/>
    <w:qFormat/>
    <w:pPr>
      <w:pBdr/>
      <w:spacing/>
      <w:ind/>
    </w:pPr>
    <w:rPr>
      <w:i/>
      <w:iCs/>
      <w:color w:val="0f4761" w:themeColor="accent1" w:themeShade="BF"/>
    </w:rPr>
  </w:style>
  <w:style w:type="paragraph" w:styleId="991">
    <w:name w:val="Intense Quote"/>
    <w:basedOn w:val="1017"/>
    <w:next w:val="1017"/>
    <w:link w:val="992"/>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92">
    <w:name w:val="Intense Quote Char"/>
    <w:basedOn w:val="1022"/>
    <w:link w:val="991"/>
    <w:uiPriority w:val="30"/>
    <w:pPr>
      <w:pBdr/>
      <w:spacing/>
      <w:ind/>
    </w:pPr>
    <w:rPr>
      <w:i/>
      <w:iCs/>
      <w:color w:val="0f4761" w:themeColor="accent1" w:themeShade="BF"/>
    </w:rPr>
  </w:style>
  <w:style w:type="character" w:styleId="993">
    <w:name w:val="Intense Reference"/>
    <w:basedOn w:val="1022"/>
    <w:uiPriority w:val="32"/>
    <w:qFormat/>
    <w:pPr>
      <w:pBdr/>
      <w:spacing/>
      <w:ind/>
    </w:pPr>
    <w:rPr>
      <w:b/>
      <w:bCs/>
      <w:smallCaps/>
      <w:color w:val="0f4761" w:themeColor="accent1" w:themeShade="BF"/>
      <w:spacing w:val="5"/>
    </w:rPr>
  </w:style>
  <w:style w:type="paragraph" w:styleId="994">
    <w:name w:val="No Spacing"/>
    <w:basedOn w:val="1017"/>
    <w:uiPriority w:val="1"/>
    <w:qFormat/>
    <w:pPr>
      <w:pBdr/>
      <w:spacing w:after="0" w:line="240" w:lineRule="auto"/>
      <w:ind/>
    </w:pPr>
  </w:style>
  <w:style w:type="character" w:styleId="995">
    <w:name w:val="Subtle Emphasis"/>
    <w:basedOn w:val="1022"/>
    <w:uiPriority w:val="19"/>
    <w:qFormat/>
    <w:pPr>
      <w:pBdr/>
      <w:spacing/>
      <w:ind/>
    </w:pPr>
    <w:rPr>
      <w:i/>
      <w:iCs/>
      <w:color w:val="404040" w:themeColor="text1" w:themeTint="BF"/>
    </w:rPr>
  </w:style>
  <w:style w:type="character" w:styleId="996">
    <w:name w:val="Subtle Reference"/>
    <w:basedOn w:val="1022"/>
    <w:uiPriority w:val="31"/>
    <w:qFormat/>
    <w:pPr>
      <w:pBdr/>
      <w:spacing/>
      <w:ind/>
    </w:pPr>
    <w:rPr>
      <w:smallCaps/>
      <w:color w:val="5a5a5a" w:themeColor="text1" w:themeTint="A5"/>
    </w:rPr>
  </w:style>
  <w:style w:type="character" w:styleId="997">
    <w:name w:val="Book Title"/>
    <w:basedOn w:val="1022"/>
    <w:uiPriority w:val="33"/>
    <w:qFormat/>
    <w:pPr>
      <w:pBdr/>
      <w:spacing/>
      <w:ind/>
    </w:pPr>
    <w:rPr>
      <w:b/>
      <w:bCs/>
      <w:i/>
      <w:iCs/>
      <w:spacing w:val="5"/>
    </w:rPr>
  </w:style>
  <w:style w:type="paragraph" w:styleId="998">
    <w:name w:val="Caption"/>
    <w:basedOn w:val="1017"/>
    <w:next w:val="1017"/>
    <w:uiPriority w:val="35"/>
    <w:unhideWhenUsed/>
    <w:qFormat/>
    <w:pPr>
      <w:pBdr/>
      <w:spacing w:after="200" w:line="240" w:lineRule="auto"/>
      <w:ind/>
    </w:pPr>
    <w:rPr>
      <w:i/>
      <w:iCs/>
      <w:color w:val="0e2841" w:themeColor="text2"/>
      <w:sz w:val="18"/>
      <w:szCs w:val="18"/>
    </w:rPr>
  </w:style>
  <w:style w:type="paragraph" w:styleId="999">
    <w:name w:val="footnote text"/>
    <w:basedOn w:val="1017"/>
    <w:link w:val="1000"/>
    <w:uiPriority w:val="99"/>
    <w:semiHidden/>
    <w:unhideWhenUsed/>
    <w:pPr>
      <w:pBdr/>
      <w:spacing w:after="0" w:line="240" w:lineRule="auto"/>
      <w:ind/>
    </w:pPr>
    <w:rPr>
      <w:sz w:val="20"/>
      <w:szCs w:val="20"/>
    </w:rPr>
  </w:style>
  <w:style w:type="character" w:styleId="1000">
    <w:name w:val="Footnote Text Char"/>
    <w:basedOn w:val="1022"/>
    <w:link w:val="999"/>
    <w:uiPriority w:val="99"/>
    <w:semiHidden/>
    <w:pPr>
      <w:pBdr/>
      <w:spacing/>
      <w:ind/>
    </w:pPr>
    <w:rPr>
      <w:sz w:val="20"/>
      <w:szCs w:val="20"/>
    </w:rPr>
  </w:style>
  <w:style w:type="character" w:styleId="1001">
    <w:name w:val="footnote reference"/>
    <w:basedOn w:val="1022"/>
    <w:uiPriority w:val="99"/>
    <w:semiHidden/>
    <w:unhideWhenUsed/>
    <w:pPr>
      <w:pBdr/>
      <w:spacing/>
      <w:ind/>
    </w:pPr>
    <w:rPr>
      <w:vertAlign w:val="superscript"/>
    </w:rPr>
  </w:style>
  <w:style w:type="paragraph" w:styleId="1002">
    <w:name w:val="endnote text"/>
    <w:basedOn w:val="1017"/>
    <w:link w:val="1003"/>
    <w:uiPriority w:val="99"/>
    <w:semiHidden/>
    <w:unhideWhenUsed/>
    <w:pPr>
      <w:pBdr/>
      <w:spacing w:after="0" w:line="240" w:lineRule="auto"/>
      <w:ind/>
    </w:pPr>
    <w:rPr>
      <w:sz w:val="20"/>
      <w:szCs w:val="20"/>
    </w:rPr>
  </w:style>
  <w:style w:type="character" w:styleId="1003">
    <w:name w:val="Endnote Text Char"/>
    <w:basedOn w:val="1022"/>
    <w:link w:val="1002"/>
    <w:uiPriority w:val="99"/>
    <w:semiHidden/>
    <w:pPr>
      <w:pBdr/>
      <w:spacing/>
      <w:ind/>
    </w:pPr>
    <w:rPr>
      <w:sz w:val="20"/>
      <w:szCs w:val="20"/>
    </w:rPr>
  </w:style>
  <w:style w:type="character" w:styleId="1004">
    <w:name w:val="endnote reference"/>
    <w:basedOn w:val="1022"/>
    <w:uiPriority w:val="99"/>
    <w:semiHidden/>
    <w:unhideWhenUsed/>
    <w:pPr>
      <w:pBdr/>
      <w:spacing/>
      <w:ind/>
    </w:pPr>
    <w:rPr>
      <w:vertAlign w:val="superscript"/>
    </w:rPr>
  </w:style>
  <w:style w:type="paragraph" w:styleId="1005">
    <w:name w:val="toc 1"/>
    <w:basedOn w:val="1017"/>
    <w:next w:val="1017"/>
    <w:uiPriority w:val="39"/>
    <w:unhideWhenUsed/>
    <w:pPr>
      <w:pBdr/>
      <w:spacing w:after="100"/>
      <w:ind/>
    </w:pPr>
  </w:style>
  <w:style w:type="paragraph" w:styleId="1006">
    <w:name w:val="toc 2"/>
    <w:basedOn w:val="1017"/>
    <w:next w:val="1017"/>
    <w:uiPriority w:val="39"/>
    <w:unhideWhenUsed/>
    <w:pPr>
      <w:pBdr/>
      <w:spacing w:after="100"/>
      <w:ind w:left="220"/>
    </w:pPr>
  </w:style>
  <w:style w:type="paragraph" w:styleId="1007">
    <w:name w:val="toc 3"/>
    <w:basedOn w:val="1017"/>
    <w:next w:val="1017"/>
    <w:uiPriority w:val="39"/>
    <w:unhideWhenUsed/>
    <w:pPr>
      <w:pBdr/>
      <w:spacing w:after="100"/>
      <w:ind w:left="440"/>
    </w:pPr>
  </w:style>
  <w:style w:type="paragraph" w:styleId="1008">
    <w:name w:val="toc 4"/>
    <w:basedOn w:val="1017"/>
    <w:next w:val="1017"/>
    <w:uiPriority w:val="39"/>
    <w:unhideWhenUsed/>
    <w:pPr>
      <w:pBdr/>
      <w:spacing w:after="100"/>
      <w:ind w:left="660"/>
    </w:pPr>
  </w:style>
  <w:style w:type="paragraph" w:styleId="1009">
    <w:name w:val="toc 5"/>
    <w:basedOn w:val="1017"/>
    <w:next w:val="1017"/>
    <w:uiPriority w:val="39"/>
    <w:unhideWhenUsed/>
    <w:pPr>
      <w:pBdr/>
      <w:spacing w:after="100"/>
      <w:ind w:left="880"/>
    </w:pPr>
  </w:style>
  <w:style w:type="paragraph" w:styleId="1010">
    <w:name w:val="toc 6"/>
    <w:basedOn w:val="1017"/>
    <w:next w:val="1017"/>
    <w:uiPriority w:val="39"/>
    <w:unhideWhenUsed/>
    <w:pPr>
      <w:pBdr/>
      <w:spacing w:after="100"/>
      <w:ind w:left="1100"/>
    </w:pPr>
  </w:style>
  <w:style w:type="paragraph" w:styleId="1011">
    <w:name w:val="toc 7"/>
    <w:basedOn w:val="1017"/>
    <w:next w:val="1017"/>
    <w:uiPriority w:val="39"/>
    <w:unhideWhenUsed/>
    <w:pPr>
      <w:pBdr/>
      <w:spacing w:after="100"/>
      <w:ind w:left="1320"/>
    </w:pPr>
  </w:style>
  <w:style w:type="paragraph" w:styleId="1012">
    <w:name w:val="toc 8"/>
    <w:basedOn w:val="1017"/>
    <w:next w:val="1017"/>
    <w:uiPriority w:val="39"/>
    <w:unhideWhenUsed/>
    <w:pPr>
      <w:pBdr/>
      <w:spacing w:after="100"/>
      <w:ind w:left="1540"/>
    </w:pPr>
  </w:style>
  <w:style w:type="paragraph" w:styleId="1013">
    <w:name w:val="toc 9"/>
    <w:basedOn w:val="1017"/>
    <w:next w:val="1017"/>
    <w:uiPriority w:val="39"/>
    <w:unhideWhenUsed/>
    <w:pPr>
      <w:pBdr/>
      <w:spacing w:after="100"/>
      <w:ind w:left="1760"/>
    </w:pPr>
  </w:style>
  <w:style w:type="character" w:styleId="1014">
    <w:name w:val="Placeholder Text"/>
    <w:basedOn w:val="1022"/>
    <w:uiPriority w:val="99"/>
    <w:semiHidden/>
    <w:pPr>
      <w:pBdr/>
      <w:spacing/>
      <w:ind/>
    </w:pPr>
    <w:rPr>
      <w:color w:val="666666"/>
    </w:rPr>
  </w:style>
  <w:style w:type="paragraph" w:styleId="1015">
    <w:name w:val="TOC Heading"/>
    <w:uiPriority w:val="39"/>
    <w:unhideWhenUsed/>
    <w:pPr>
      <w:pBdr/>
      <w:spacing/>
      <w:ind/>
    </w:pPr>
  </w:style>
  <w:style w:type="paragraph" w:styleId="1016">
    <w:name w:val="table of figures"/>
    <w:basedOn w:val="1017"/>
    <w:next w:val="1017"/>
    <w:uiPriority w:val="99"/>
    <w:unhideWhenUsed/>
    <w:pPr>
      <w:pBdr/>
      <w:spacing w:after="0" w:afterAutospacing="0"/>
      <w:ind/>
    </w:pPr>
  </w:style>
  <w:style w:type="paragraph" w:styleId="1017" w:default="1">
    <w:name w:val="Normal"/>
    <w:qFormat/>
    <w:pPr>
      <w:pBdr/>
      <w:spacing w:after="0" w:line="240" w:lineRule="auto"/>
      <w:ind/>
    </w:pPr>
    <w:rPr>
      <w:rFonts w:ascii="Times New Roman" w:hAnsi="Times New Roman" w:eastAsia="Times New Roman" w:cs="Times New Roman"/>
      <w:sz w:val="24"/>
      <w:szCs w:val="24"/>
    </w:rPr>
  </w:style>
  <w:style w:type="paragraph" w:styleId="1018">
    <w:name w:val="Heading 1"/>
    <w:basedOn w:val="1017"/>
    <w:next w:val="1017"/>
    <w:link w:val="1025"/>
    <w:qFormat/>
    <w:pPr>
      <w:keepNext w:val="true"/>
      <w:pBdr/>
      <w:spacing w:after="120" w:before="120"/>
      <w:ind/>
      <w:jc w:val="center"/>
      <w:outlineLvl w:val="0"/>
    </w:pPr>
    <w:rPr>
      <w:b/>
      <w:bCs/>
      <w:sz w:val="27"/>
      <w:szCs w:val="27"/>
    </w:rPr>
  </w:style>
  <w:style w:type="paragraph" w:styleId="1019">
    <w:name w:val="Heading 2"/>
    <w:basedOn w:val="1017"/>
    <w:next w:val="1017"/>
    <w:link w:val="1026"/>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20">
    <w:name w:val="Heading 3"/>
    <w:basedOn w:val="1017"/>
    <w:next w:val="1017"/>
    <w:link w:val="1027"/>
    <w:qFormat/>
    <w:pPr>
      <w:keepNext w:val="true"/>
      <w:pBdr/>
      <w:spacing w:before="60"/>
      <w:ind/>
      <w:outlineLvl w:val="2"/>
    </w:pPr>
    <w:rPr>
      <w:sz w:val="28"/>
      <w:szCs w:val="28"/>
    </w:rPr>
  </w:style>
  <w:style w:type="paragraph" w:styleId="1021">
    <w:name w:val="Heading 4"/>
    <w:basedOn w:val="1017"/>
    <w:next w:val="1017"/>
    <w:link w:val="1028"/>
    <w:qFormat/>
    <w:pPr>
      <w:keepNext w:val="true"/>
      <w:pBdr/>
      <w:spacing/>
      <w:ind/>
      <w:jc w:val="center"/>
      <w:outlineLvl w:val="3"/>
    </w:pPr>
    <w:rPr>
      <w:b/>
      <w:bCs/>
    </w:rPr>
  </w:style>
  <w:style w:type="character" w:styleId="1022" w:default="1">
    <w:name w:val="Default Paragraph Font"/>
    <w:uiPriority w:val="1"/>
    <w:semiHidden/>
    <w:unhideWhenUsed/>
    <w:pPr>
      <w:pBdr/>
      <w:spacing/>
      <w:ind/>
    </w:pPr>
  </w:style>
  <w:style w:type="table" w:styleId="1023"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24" w:default="1">
    <w:name w:val="No List"/>
    <w:uiPriority w:val="99"/>
    <w:semiHidden/>
    <w:unhideWhenUsed/>
    <w:pPr>
      <w:pBdr/>
      <w:spacing/>
      <w:ind/>
    </w:pPr>
  </w:style>
  <w:style w:type="character" w:styleId="1025" w:customStyle="1">
    <w:name w:val="Heading 1 Char"/>
    <w:basedOn w:val="1022"/>
    <w:link w:val="1018"/>
    <w:pPr>
      <w:pBdr/>
      <w:spacing/>
      <w:ind/>
    </w:pPr>
    <w:rPr>
      <w:rFonts w:ascii="Times New Roman" w:hAnsi="Times New Roman" w:eastAsia="Times New Roman" w:cs="Times New Roman"/>
      <w:b/>
      <w:bCs/>
      <w:sz w:val="27"/>
      <w:szCs w:val="27"/>
    </w:rPr>
  </w:style>
  <w:style w:type="character" w:styleId="1026" w:customStyle="1">
    <w:name w:val="Heading 2 Char"/>
    <w:basedOn w:val="1022"/>
    <w:link w:val="1019"/>
    <w:uiPriority w:val="9"/>
    <w:pPr>
      <w:pBdr/>
      <w:spacing/>
      <w:ind/>
    </w:pPr>
    <w:rPr>
      <w:rFonts w:asciiTheme="majorHAnsi" w:hAnsiTheme="majorHAnsi" w:eastAsiaTheme="majorEastAsia" w:cstheme="majorBidi"/>
      <w:color w:val="365f91" w:themeColor="accent1" w:themeShade="BF"/>
      <w:sz w:val="26"/>
      <w:szCs w:val="26"/>
    </w:rPr>
  </w:style>
  <w:style w:type="character" w:styleId="1027" w:customStyle="1">
    <w:name w:val="Heading 3 Char"/>
    <w:basedOn w:val="1022"/>
    <w:link w:val="1020"/>
    <w:pPr>
      <w:pBdr/>
      <w:spacing/>
      <w:ind/>
    </w:pPr>
    <w:rPr>
      <w:rFonts w:ascii="Times New Roman" w:hAnsi="Times New Roman" w:eastAsia="Times New Roman" w:cs="Times New Roman"/>
      <w:sz w:val="28"/>
      <w:szCs w:val="28"/>
    </w:rPr>
  </w:style>
  <w:style w:type="character" w:styleId="1028" w:customStyle="1">
    <w:name w:val="Heading 4 Char"/>
    <w:basedOn w:val="1022"/>
    <w:link w:val="1021"/>
    <w:pPr>
      <w:pBdr/>
      <w:spacing/>
      <w:ind/>
    </w:pPr>
    <w:rPr>
      <w:rFonts w:ascii="Times New Roman" w:hAnsi="Times New Roman" w:eastAsia="Times New Roman" w:cs="Times New Roman"/>
      <w:b/>
      <w:bCs/>
      <w:sz w:val="24"/>
      <w:szCs w:val="24"/>
    </w:rPr>
  </w:style>
  <w:style w:type="character" w:styleId="1029">
    <w:name w:val="Hyperlink"/>
    <w:uiPriority w:val="99"/>
    <w:pPr>
      <w:pBdr/>
      <w:spacing/>
      <w:ind/>
    </w:pPr>
    <w:rPr>
      <w:color w:val="000000"/>
      <w:u w:val="single"/>
    </w:rPr>
  </w:style>
  <w:style w:type="character" w:styleId="1030">
    <w:name w:val="Strong"/>
    <w:uiPriority w:val="22"/>
    <w:qFormat/>
    <w:pPr>
      <w:pBdr/>
      <w:spacing/>
      <w:ind/>
    </w:pPr>
    <w:rPr>
      <w:b/>
      <w:bCs/>
    </w:rPr>
  </w:style>
  <w:style w:type="paragraph" w:styleId="1031">
    <w:name w:val="Balloon Text"/>
    <w:basedOn w:val="1017"/>
    <w:link w:val="1032"/>
    <w:uiPriority w:val="99"/>
    <w:semiHidden/>
    <w:unhideWhenUsed/>
    <w:pPr>
      <w:pBdr/>
      <w:spacing/>
      <w:ind/>
    </w:pPr>
    <w:rPr>
      <w:rFonts w:ascii="Tahoma" w:hAnsi="Tahoma" w:cs="Tahoma"/>
      <w:sz w:val="16"/>
      <w:szCs w:val="16"/>
    </w:rPr>
  </w:style>
  <w:style w:type="character" w:styleId="1032" w:customStyle="1">
    <w:name w:val="Balloon Text Char"/>
    <w:basedOn w:val="1022"/>
    <w:link w:val="1031"/>
    <w:uiPriority w:val="99"/>
    <w:semiHidden/>
    <w:pPr>
      <w:pBdr/>
      <w:spacing/>
      <w:ind/>
    </w:pPr>
    <w:rPr>
      <w:rFonts w:ascii="Tahoma" w:hAnsi="Tahoma" w:eastAsia="Times New Roman" w:cs="Tahoma"/>
      <w:sz w:val="16"/>
      <w:szCs w:val="16"/>
    </w:rPr>
  </w:style>
  <w:style w:type="paragraph" w:styleId="1033">
    <w:name w:val="Header"/>
    <w:basedOn w:val="1017"/>
    <w:link w:val="1034"/>
    <w:unhideWhenUsed/>
    <w:pPr>
      <w:pBdr/>
      <w:tabs>
        <w:tab w:val="center" w:leader="none" w:pos="4680"/>
        <w:tab w:val="right" w:leader="none" w:pos="9360"/>
      </w:tabs>
      <w:spacing/>
      <w:ind/>
    </w:pPr>
  </w:style>
  <w:style w:type="character" w:styleId="1034" w:customStyle="1">
    <w:name w:val="Header Char"/>
    <w:basedOn w:val="1022"/>
    <w:link w:val="1033"/>
    <w:pPr>
      <w:pBdr/>
      <w:spacing/>
      <w:ind/>
    </w:pPr>
    <w:rPr>
      <w:rFonts w:ascii="Times New Roman" w:hAnsi="Times New Roman" w:eastAsia="Times New Roman" w:cs="Times New Roman"/>
      <w:sz w:val="24"/>
      <w:szCs w:val="24"/>
    </w:rPr>
  </w:style>
  <w:style w:type="paragraph" w:styleId="1035">
    <w:name w:val="Footer"/>
    <w:basedOn w:val="1017"/>
    <w:link w:val="1036"/>
    <w:uiPriority w:val="99"/>
    <w:unhideWhenUsed/>
    <w:pPr>
      <w:pBdr/>
      <w:tabs>
        <w:tab w:val="center" w:leader="none" w:pos="4680"/>
        <w:tab w:val="right" w:leader="none" w:pos="9360"/>
      </w:tabs>
      <w:spacing/>
      <w:ind/>
    </w:pPr>
  </w:style>
  <w:style w:type="character" w:styleId="1036" w:customStyle="1">
    <w:name w:val="Footer Char"/>
    <w:basedOn w:val="1022"/>
    <w:link w:val="1035"/>
    <w:uiPriority w:val="99"/>
    <w:pPr>
      <w:pBdr/>
      <w:spacing/>
      <w:ind/>
    </w:pPr>
    <w:rPr>
      <w:rFonts w:ascii="Times New Roman" w:hAnsi="Times New Roman" w:eastAsia="Times New Roman" w:cs="Times New Roman"/>
      <w:sz w:val="24"/>
      <w:szCs w:val="24"/>
    </w:rPr>
  </w:style>
  <w:style w:type="character" w:styleId="1037" w:customStyle="1">
    <w:name w:val="normal-h1"/>
    <w:pPr>
      <w:pBdr/>
      <w:spacing/>
      <w:ind/>
    </w:pPr>
    <w:rPr>
      <w:rFonts w:hint="default" w:ascii=".VnTime" w:hAnsi=".VnTime"/>
      <w:color w:val="0000ff"/>
      <w:sz w:val="24"/>
      <w:szCs w:val="24"/>
    </w:rPr>
  </w:style>
  <w:style w:type="paragraph" w:styleId="1038" w:customStyle="1">
    <w:name w:val="normal-p"/>
    <w:basedOn w:val="1017"/>
    <w:pPr>
      <w:pBdr/>
      <w:spacing/>
      <w:ind/>
      <w:jc w:val="both"/>
    </w:pPr>
    <w:rPr>
      <w:sz w:val="20"/>
      <w:szCs w:val="20"/>
    </w:rPr>
  </w:style>
  <w:style w:type="paragraph" w:styleId="1039">
    <w:name w:val="List Paragraph"/>
    <w:basedOn w:val="1017"/>
    <w:link w:val="1126"/>
    <w:uiPriority w:val="34"/>
    <w:qFormat/>
    <w:pPr>
      <w:pBdr/>
      <w:spacing/>
      <w:ind w:left="720"/>
    </w:pPr>
  </w:style>
  <w:style w:type="paragraph" w:styleId="1040">
    <w:name w:val="Normal (Web)"/>
    <w:basedOn w:val="1017"/>
    <w:uiPriority w:val="99"/>
    <w:pPr>
      <w:pBdr/>
      <w:spacing w:after="100" w:afterAutospacing="1" w:before="100" w:beforeAutospacing="1"/>
      <w:ind/>
    </w:pPr>
  </w:style>
  <w:style w:type="paragraph" w:styleId="1041">
    <w:name w:val="Body Text"/>
    <w:basedOn w:val="1017"/>
    <w:link w:val="1042"/>
    <w:pPr>
      <w:pBdr/>
      <w:spacing w:after="120"/>
      <w:ind/>
      <w:jc w:val="both"/>
    </w:pPr>
  </w:style>
  <w:style w:type="character" w:styleId="1042" w:customStyle="1">
    <w:name w:val="Body Text Char"/>
    <w:basedOn w:val="1022"/>
    <w:link w:val="1041"/>
    <w:pPr>
      <w:pBdr/>
      <w:spacing/>
      <w:ind/>
    </w:pPr>
    <w:rPr>
      <w:rFonts w:ascii="Times New Roman" w:hAnsi="Times New Roman" w:eastAsia="Times New Roman" w:cs="Times New Roman"/>
      <w:sz w:val="24"/>
      <w:szCs w:val="24"/>
    </w:rPr>
  </w:style>
  <w:style w:type="table" w:styleId="1043">
    <w:name w:val="Table Grid"/>
    <w:basedOn w:val="1023"/>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44"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45">
    <w:name w:val="annotation reference"/>
    <w:basedOn w:val="1022"/>
    <w:uiPriority w:val="99"/>
    <w:semiHidden/>
    <w:unhideWhenUsed/>
    <w:pPr>
      <w:pBdr/>
      <w:spacing/>
      <w:ind/>
    </w:pPr>
    <w:rPr>
      <w:sz w:val="16"/>
      <w:szCs w:val="16"/>
    </w:rPr>
  </w:style>
  <w:style w:type="paragraph" w:styleId="1046">
    <w:name w:val="annotation text"/>
    <w:basedOn w:val="1017"/>
    <w:link w:val="1047"/>
    <w:uiPriority w:val="99"/>
    <w:unhideWhenUsed/>
    <w:pPr>
      <w:pBdr/>
      <w:spacing/>
      <w:ind/>
    </w:pPr>
    <w:rPr>
      <w:sz w:val="20"/>
      <w:szCs w:val="20"/>
    </w:rPr>
  </w:style>
  <w:style w:type="character" w:styleId="1047" w:customStyle="1">
    <w:name w:val="Comment Text Char"/>
    <w:basedOn w:val="1022"/>
    <w:link w:val="1046"/>
    <w:uiPriority w:val="99"/>
    <w:pPr>
      <w:pBdr/>
      <w:spacing/>
      <w:ind/>
    </w:pPr>
    <w:rPr>
      <w:rFonts w:ascii="Times New Roman" w:hAnsi="Times New Roman" w:eastAsia="Times New Roman" w:cs="Times New Roman"/>
      <w:sz w:val="20"/>
      <w:szCs w:val="20"/>
    </w:rPr>
  </w:style>
  <w:style w:type="paragraph" w:styleId="1048">
    <w:name w:val="annotation subject"/>
    <w:basedOn w:val="1046"/>
    <w:next w:val="1046"/>
    <w:link w:val="1049"/>
    <w:uiPriority w:val="99"/>
    <w:semiHidden/>
    <w:unhideWhenUsed/>
    <w:pPr>
      <w:pBdr/>
      <w:spacing/>
      <w:ind/>
    </w:pPr>
    <w:rPr>
      <w:b/>
      <w:bCs/>
    </w:rPr>
  </w:style>
  <w:style w:type="character" w:styleId="1049" w:customStyle="1">
    <w:name w:val="Comment Subject Char"/>
    <w:basedOn w:val="1047"/>
    <w:link w:val="1048"/>
    <w:uiPriority w:val="99"/>
    <w:semiHidden/>
    <w:pPr>
      <w:pBdr/>
      <w:spacing/>
      <w:ind/>
    </w:pPr>
    <w:rPr>
      <w:rFonts w:ascii="Times New Roman" w:hAnsi="Times New Roman" w:eastAsia="Times New Roman" w:cs="Times New Roman"/>
      <w:b/>
      <w:bCs/>
      <w:sz w:val="20"/>
      <w:szCs w:val="20"/>
    </w:rPr>
  </w:style>
  <w:style w:type="paragraph" w:styleId="1050" w:customStyle="1">
    <w:name w:val="font5"/>
    <w:basedOn w:val="1017"/>
    <w:pPr>
      <w:pBdr/>
      <w:spacing w:after="100" w:afterAutospacing="1" w:before="100" w:beforeAutospacing="1"/>
      <w:ind/>
    </w:pPr>
    <w:rPr>
      <w:rFonts w:ascii="Tahoma" w:hAnsi="Tahoma" w:cs="Tahoma"/>
      <w:color w:val="000000"/>
      <w:sz w:val="18"/>
      <w:szCs w:val="18"/>
    </w:rPr>
  </w:style>
  <w:style w:type="paragraph" w:styleId="1051" w:customStyle="1">
    <w:name w:val="font6"/>
    <w:basedOn w:val="1017"/>
    <w:pPr>
      <w:pBdr/>
      <w:spacing w:after="100" w:afterAutospacing="1" w:before="100" w:beforeAutospacing="1"/>
      <w:ind/>
    </w:pPr>
    <w:rPr>
      <w:rFonts w:ascii="Tahoma" w:hAnsi="Tahoma" w:cs="Tahoma"/>
      <w:b/>
      <w:bCs/>
      <w:color w:val="000000"/>
      <w:sz w:val="18"/>
      <w:szCs w:val="18"/>
    </w:rPr>
  </w:style>
  <w:style w:type="paragraph" w:styleId="1052" w:customStyle="1">
    <w:name w:val="xl233"/>
    <w:basedOn w:val="101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53" w:customStyle="1">
    <w:name w:val="xl234"/>
    <w:basedOn w:val="1017"/>
    <w:pPr>
      <w:pBdr/>
      <w:spacing w:after="100" w:afterAutospacing="1" w:before="100" w:beforeAutospacing="1"/>
      <w:ind/>
      <w:jc w:val="center"/>
    </w:pPr>
  </w:style>
  <w:style w:type="paragraph" w:styleId="1054" w:customStyle="1">
    <w:name w:val="xl235"/>
    <w:basedOn w:val="1017"/>
    <w:pPr>
      <w:pBdr/>
      <w:spacing w:after="100" w:afterAutospacing="1" w:before="100" w:beforeAutospacing="1"/>
      <w:ind/>
      <w:jc w:val="center"/>
    </w:pPr>
    <w:rPr>
      <w:b/>
      <w:bCs/>
    </w:rPr>
  </w:style>
  <w:style w:type="paragraph" w:styleId="1055" w:customStyle="1">
    <w:name w:val="xl236"/>
    <w:basedOn w:val="101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56" w:customStyle="1">
    <w:name w:val="xl237"/>
    <w:basedOn w:val="101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57" w:customStyle="1">
    <w:name w:val="xl238"/>
    <w:basedOn w:val="1017"/>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8" w:customStyle="1">
    <w:name w:val="xl239"/>
    <w:basedOn w:val="1017"/>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59" w:customStyle="1">
    <w:name w:val="xl240"/>
    <w:basedOn w:val="1017"/>
    <w:pPr>
      <w:pBdr/>
      <w:spacing w:after="100" w:afterAutospacing="1" w:before="100" w:beforeAutospacing="1"/>
      <w:ind/>
    </w:pPr>
  </w:style>
  <w:style w:type="paragraph" w:styleId="1060" w:customStyle="1">
    <w:name w:val="xl241"/>
    <w:basedOn w:val="101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61" w:customStyle="1">
    <w:name w:val="xl242"/>
    <w:basedOn w:val="101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2" w:customStyle="1">
    <w:name w:val="xl243"/>
    <w:basedOn w:val="101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3" w:customStyle="1">
    <w:name w:val="xl244"/>
    <w:basedOn w:val="1017"/>
    <w:pPr>
      <w:pBdr/>
      <w:spacing w:after="100" w:afterAutospacing="1" w:before="100" w:beforeAutospacing="1"/>
      <w:ind/>
    </w:pPr>
    <w:rPr>
      <w:b/>
      <w:bCs/>
    </w:rPr>
  </w:style>
  <w:style w:type="paragraph" w:styleId="1064" w:customStyle="1">
    <w:name w:val="xl245"/>
    <w:basedOn w:val="101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5" w:customStyle="1">
    <w:name w:val="xl246"/>
    <w:basedOn w:val="1017"/>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6" w:customStyle="1">
    <w:name w:val="xl247"/>
    <w:basedOn w:val="1017"/>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67" w:customStyle="1">
    <w:name w:val="xl248"/>
    <w:basedOn w:val="1017"/>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68" w:customStyle="1">
    <w:name w:val="xl249"/>
    <w:basedOn w:val="101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69" w:customStyle="1">
    <w:name w:val="xl250"/>
    <w:basedOn w:val="1017"/>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70" w:customStyle="1">
    <w:name w:val="xl251"/>
    <w:basedOn w:val="1017"/>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71" w:customStyle="1">
    <w:name w:val="xl252"/>
    <w:basedOn w:val="1017"/>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2" w:customStyle="1">
    <w:name w:val="xl253"/>
    <w:basedOn w:val="1017"/>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3" w:customStyle="1">
    <w:name w:val="xl254"/>
    <w:basedOn w:val="1017"/>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74" w:customStyle="1">
    <w:name w:val="xl255"/>
    <w:basedOn w:val="1017"/>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75" w:customStyle="1">
    <w:name w:val="xl256"/>
    <w:basedOn w:val="1017"/>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76" w:customStyle="1">
    <w:name w:val="xl257"/>
    <w:basedOn w:val="101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7" w:customStyle="1">
    <w:name w:val="xl258"/>
    <w:basedOn w:val="1017"/>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8" w:customStyle="1">
    <w:name w:val="xl259"/>
    <w:basedOn w:val="101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79" w:customStyle="1">
    <w:name w:val="xl260"/>
    <w:basedOn w:val="101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0" w:customStyle="1">
    <w:name w:val="xl261"/>
    <w:basedOn w:val="1017"/>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81" w:customStyle="1">
    <w:name w:val="xl262"/>
    <w:basedOn w:val="1017"/>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2" w:customStyle="1">
    <w:name w:val="xl263"/>
    <w:basedOn w:val="1017"/>
    <w:pPr>
      <w:pBdr/>
      <w:shd w:val="clear" w:color="000000" w:fill="ffffff"/>
      <w:spacing w:after="100" w:afterAutospacing="1" w:before="100" w:beforeAutospacing="1"/>
      <w:ind/>
    </w:pPr>
  </w:style>
  <w:style w:type="paragraph" w:styleId="1083" w:customStyle="1">
    <w:name w:val="xl264"/>
    <w:basedOn w:val="101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84" w:customStyle="1">
    <w:name w:val="xl265"/>
    <w:basedOn w:val="101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5" w:customStyle="1">
    <w:name w:val="xl266"/>
    <w:basedOn w:val="1017"/>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86" w:customStyle="1">
    <w:name w:val="xl267"/>
    <w:basedOn w:val="101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7" w:customStyle="1">
    <w:name w:val="xl268"/>
    <w:basedOn w:val="101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8" w:customStyle="1">
    <w:name w:val="xl269"/>
    <w:basedOn w:val="101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9" w:customStyle="1">
    <w:name w:val="xl270"/>
    <w:basedOn w:val="101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90" w:customStyle="1">
    <w:name w:val="xl271"/>
    <w:basedOn w:val="1017"/>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91" w:customStyle="1">
    <w:name w:val="xl272"/>
    <w:basedOn w:val="1017"/>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92" w:customStyle="1">
    <w:name w:val="xl273"/>
    <w:basedOn w:val="1017"/>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93" w:customStyle="1">
    <w:name w:val="xl274"/>
    <w:basedOn w:val="1017"/>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94" w:customStyle="1">
    <w:name w:val="xl275"/>
    <w:basedOn w:val="1017"/>
    <w:pPr>
      <w:pBdr/>
      <w:spacing w:after="100" w:afterAutospacing="1" w:before="100" w:beforeAutospacing="1"/>
      <w:ind/>
    </w:pPr>
  </w:style>
  <w:style w:type="paragraph" w:styleId="1095" w:customStyle="1">
    <w:name w:val="xl276"/>
    <w:basedOn w:val="101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96" w:customStyle="1">
    <w:name w:val="xl277"/>
    <w:basedOn w:val="1017"/>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97" w:customStyle="1">
    <w:name w:val="xl278"/>
    <w:basedOn w:val="101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8" w:customStyle="1">
    <w:name w:val="xl279"/>
    <w:basedOn w:val="101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9" w:customStyle="1">
    <w:name w:val="xl280"/>
    <w:basedOn w:val="101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100" w:customStyle="1">
    <w:name w:val="xl281"/>
    <w:basedOn w:val="1017"/>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101" w:customStyle="1">
    <w:name w:val="xl282"/>
    <w:basedOn w:val="1017"/>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102" w:customStyle="1">
    <w:name w:val="xl283"/>
    <w:basedOn w:val="1017"/>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103" w:customStyle="1">
    <w:name w:val="xl284"/>
    <w:basedOn w:val="1017"/>
    <w:pPr>
      <w:pBdr>
        <w:left w:val="single" w:color="000000" w:sz="4" w:space="0"/>
        <w:bottom w:val="single" w:color="000000" w:sz="4" w:space="0"/>
        <w:right w:val="single" w:color="000000" w:sz="4" w:space="0"/>
      </w:pBdr>
      <w:spacing w:after="100" w:afterAutospacing="1" w:before="100" w:beforeAutospacing="1"/>
      <w:ind/>
    </w:pPr>
  </w:style>
  <w:style w:type="paragraph" w:styleId="1104" w:customStyle="1">
    <w:name w:val="xl285"/>
    <w:basedOn w:val="1017"/>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105" w:customStyle="1">
    <w:name w:val="xl286"/>
    <w:basedOn w:val="101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6" w:customStyle="1">
    <w:name w:val="xl287"/>
    <w:basedOn w:val="1017"/>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107" w:customStyle="1">
    <w:name w:val="xl288"/>
    <w:basedOn w:val="1017"/>
    <w:pPr>
      <w:pBdr>
        <w:top w:val="single" w:color="000000" w:sz="4" w:space="0"/>
        <w:left w:val="single" w:color="000000" w:sz="4" w:space="0"/>
        <w:right w:val="single" w:color="000000" w:sz="4" w:space="0"/>
      </w:pBdr>
      <w:spacing w:after="100" w:afterAutospacing="1" w:before="100" w:beforeAutospacing="1"/>
      <w:ind/>
    </w:pPr>
  </w:style>
  <w:style w:type="paragraph" w:styleId="1108" w:customStyle="1">
    <w:name w:val="xl289"/>
    <w:basedOn w:val="1017"/>
    <w:pPr>
      <w:pBdr>
        <w:left w:val="single" w:color="000000" w:sz="4" w:space="0"/>
        <w:right w:val="single" w:color="000000" w:sz="4" w:space="0"/>
      </w:pBdr>
      <w:spacing w:after="100" w:afterAutospacing="1" w:before="100" w:beforeAutospacing="1"/>
      <w:ind/>
    </w:pPr>
    <w:rPr>
      <w:b/>
      <w:bCs/>
    </w:rPr>
  </w:style>
  <w:style w:type="paragraph" w:styleId="1109" w:customStyle="1">
    <w:name w:val="xl290"/>
    <w:basedOn w:val="1017"/>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110" w:customStyle="1">
    <w:name w:val="xl291"/>
    <w:basedOn w:val="101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111" w:customStyle="1">
    <w:name w:val="xl292"/>
    <w:basedOn w:val="1017"/>
    <w:pPr>
      <w:pBdr>
        <w:top w:val="single" w:color="000000" w:sz="4" w:space="0"/>
        <w:left w:val="single" w:color="000000" w:sz="4" w:space="0"/>
        <w:right w:val="single" w:color="000000" w:sz="4" w:space="0"/>
      </w:pBdr>
      <w:spacing w:after="100" w:afterAutospacing="1" w:before="100" w:beforeAutospacing="1"/>
      <w:ind/>
    </w:pPr>
  </w:style>
  <w:style w:type="paragraph" w:styleId="1112" w:customStyle="1">
    <w:name w:val="xl293"/>
    <w:basedOn w:val="1017"/>
    <w:pPr>
      <w:pBdr>
        <w:left w:val="single" w:color="000000" w:sz="4" w:space="0"/>
        <w:bottom w:val="single" w:color="000000" w:sz="4" w:space="0"/>
        <w:right w:val="single" w:color="000000" w:sz="4" w:space="0"/>
      </w:pBdr>
      <w:spacing w:after="100" w:afterAutospacing="1" w:before="100" w:beforeAutospacing="1"/>
      <w:ind/>
    </w:pPr>
  </w:style>
  <w:style w:type="paragraph" w:styleId="1113" w:customStyle="1">
    <w:name w:val="xl294"/>
    <w:basedOn w:val="101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14">
    <w:name w:val="Title"/>
    <w:basedOn w:val="1017"/>
    <w:link w:val="1115"/>
    <w:qFormat/>
    <w:pPr>
      <w:pBdr/>
      <w:spacing/>
      <w:ind/>
      <w:jc w:val="center"/>
    </w:pPr>
    <w:rPr>
      <w:b/>
      <w:bCs/>
      <w:sz w:val="32"/>
      <w:szCs w:val="26"/>
    </w:rPr>
  </w:style>
  <w:style w:type="character" w:styleId="1115" w:customStyle="1">
    <w:name w:val="Title Char"/>
    <w:basedOn w:val="1022"/>
    <w:link w:val="1114"/>
    <w:pPr>
      <w:pBdr/>
      <w:spacing/>
      <w:ind/>
    </w:pPr>
    <w:rPr>
      <w:rFonts w:ascii="Times New Roman" w:hAnsi="Times New Roman" w:eastAsia="Times New Roman" w:cs="Times New Roman"/>
      <w:b/>
      <w:bCs/>
      <w:sz w:val="32"/>
      <w:szCs w:val="26"/>
    </w:rPr>
  </w:style>
  <w:style w:type="character" w:styleId="1116" w:customStyle="1">
    <w:name w:val="Unresolved Mention1"/>
    <w:basedOn w:val="1022"/>
    <w:uiPriority w:val="99"/>
    <w:semiHidden/>
    <w:unhideWhenUsed/>
    <w:pPr>
      <w:pBdr/>
      <w:spacing/>
      <w:ind/>
    </w:pPr>
    <w:rPr>
      <w:color w:val="605e5c"/>
      <w:shd w:val="clear" w:color="auto" w:fill="e1dfdd"/>
    </w:rPr>
  </w:style>
  <w:style w:type="character" w:styleId="1117" w:customStyle="1">
    <w:name w:val="Body text (3)_"/>
    <w:link w:val="1118"/>
    <w:pPr>
      <w:pBdr/>
      <w:spacing/>
      <w:ind/>
    </w:pPr>
    <w:rPr>
      <w:rFonts w:ascii="Times New Roman" w:hAnsi="Times New Roman" w:cs="Times New Roman"/>
      <w:i/>
      <w:iCs/>
      <w:spacing w:val="4"/>
      <w:shd w:val="clear" w:color="auto" w:fill="ffffff"/>
    </w:rPr>
  </w:style>
  <w:style w:type="paragraph" w:styleId="1118" w:customStyle="1">
    <w:name w:val="Body text (3)1"/>
    <w:basedOn w:val="1017"/>
    <w:link w:val="1117"/>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19" w:customStyle="1">
    <w:name w:val="t-j"/>
    <w:basedOn w:val="1017"/>
    <w:pPr>
      <w:pBdr/>
      <w:spacing w:after="100" w:afterAutospacing="1" w:before="100" w:beforeAutospacing="1"/>
      <w:ind/>
    </w:pPr>
  </w:style>
  <w:style w:type="character" w:styleId="1120" w:customStyle="1">
    <w:name w:val="Unresolved Mention2"/>
    <w:basedOn w:val="1022"/>
    <w:uiPriority w:val="99"/>
    <w:semiHidden/>
    <w:unhideWhenUsed/>
    <w:pPr>
      <w:pBdr/>
      <w:spacing/>
      <w:ind/>
    </w:pPr>
    <w:rPr>
      <w:color w:val="605e5c"/>
      <w:shd w:val="clear" w:color="auto" w:fill="e1dfdd"/>
    </w:rPr>
  </w:style>
  <w:style w:type="character" w:styleId="1121">
    <w:name w:val="FollowedHyperlink"/>
    <w:basedOn w:val="1022"/>
    <w:uiPriority w:val="99"/>
    <w:semiHidden/>
    <w:unhideWhenUsed/>
    <w:pPr>
      <w:pBdr/>
      <w:spacing/>
      <w:ind/>
    </w:pPr>
    <w:rPr>
      <w:color w:val="800080" w:themeColor="followedHyperlink"/>
      <w:u w:val="single"/>
    </w:rPr>
  </w:style>
  <w:style w:type="character" w:styleId="1122" w:customStyle="1">
    <w:name w:val="text"/>
    <w:basedOn w:val="1022"/>
    <w:pPr>
      <w:pBdr/>
      <w:spacing/>
      <w:ind/>
    </w:pPr>
  </w:style>
  <w:style w:type="character" w:styleId="1123" w:customStyle="1">
    <w:name w:val="card-send-time__sendtime"/>
    <w:basedOn w:val="1022"/>
    <w:pPr>
      <w:pBdr/>
      <w:spacing/>
      <w:ind/>
    </w:pPr>
  </w:style>
  <w:style w:type="character" w:styleId="1124" w:customStyle="1">
    <w:name w:val="Đề cập Chưa giải quyết1"/>
    <w:basedOn w:val="1022"/>
    <w:uiPriority w:val="99"/>
    <w:semiHidden/>
    <w:unhideWhenUsed/>
    <w:pPr>
      <w:pBdr/>
      <w:spacing/>
      <w:ind/>
    </w:pPr>
    <w:rPr>
      <w:color w:val="605e5c"/>
      <w:shd w:val="clear" w:color="auto" w:fill="e1dfdd"/>
    </w:rPr>
  </w:style>
  <w:style w:type="paragraph" w:styleId="1125" w:customStyle="1">
    <w:name w:val="nqtitle"/>
    <w:basedOn w:val="1017"/>
    <w:pPr>
      <w:pBdr/>
      <w:spacing w:after="100" w:afterAutospacing="1" w:before="100" w:beforeAutospacing="1"/>
      <w:ind/>
    </w:pPr>
    <w:rPr>
      <w:lang w:val="vi-VN" w:eastAsia="vi-VN"/>
    </w:rPr>
  </w:style>
  <w:style w:type="character" w:styleId="1126" w:customStyle="1">
    <w:name w:val="List Paragraph Char"/>
    <w:link w:val="1039"/>
    <w:uiPriority w:val="34"/>
    <w:qFormat/>
    <w:pPr>
      <w:pBdr/>
      <w:spacing/>
      <w:ind/>
    </w:pPr>
    <w:rPr>
      <w:rFonts w:ascii="Times New Roman" w:hAnsi="Times New Roman" w:eastAsia="Times New Roman" w:cs="Times New Roman"/>
      <w:sz w:val="24"/>
      <w:szCs w:val="24"/>
    </w:rPr>
  </w:style>
  <w:style w:type="character" w:styleId="1127" w:customStyle="1">
    <w:name w:val="Đề cập Chưa giải quyết2"/>
    <w:basedOn w:val="1022"/>
    <w:uiPriority w:val="99"/>
    <w:semiHidden/>
    <w:unhideWhenUsed/>
    <w:pPr>
      <w:pBdr/>
      <w:spacing/>
      <w:ind/>
    </w:pPr>
    <w:rPr>
      <w:color w:val="605e5c"/>
      <w:shd w:val="clear" w:color="auto" w:fill="e1dfdd"/>
    </w:rPr>
  </w:style>
  <w:style w:type="character" w:styleId="1128" w:customStyle="1">
    <w:name w:val="Unresolved Mention3"/>
    <w:basedOn w:val="1022"/>
    <w:uiPriority w:val="99"/>
    <w:semiHidden/>
    <w:unhideWhenUsed/>
    <w:pPr>
      <w:pBdr/>
      <w:spacing/>
      <w:ind/>
    </w:pPr>
    <w:rPr>
      <w:color w:val="605e5c"/>
      <w:shd w:val="clear" w:color="auto" w:fill="e1dfdd"/>
    </w:rPr>
  </w:style>
  <w:style w:type="character" w:styleId="1129" w:customStyle="1">
    <w:name w:val="copy"/>
    <w:basedOn w:val="1022"/>
    <w:pPr>
      <w:pBdr/>
      <w:spacing/>
      <w:ind/>
    </w:pPr>
  </w:style>
  <w:style w:type="paragraph" w:styleId="1130" w:customStyle="1">
    <w:name w:val="align-justify"/>
    <w:basedOn w:val="1017"/>
    <w:pPr>
      <w:pBdr/>
      <w:spacing w:after="100" w:afterAutospacing="1" w:before="100" w:beforeAutospacing="1"/>
      <w:ind/>
    </w:pPr>
  </w:style>
  <w:style w:type="character" w:styleId="1131" w:customStyle="1">
    <w:name w:val="btn"/>
    <w:basedOn w:val="1022"/>
    <w:pPr>
      <w:pBdr/>
      <w:spacing/>
      <w:ind/>
    </w:pPr>
  </w:style>
  <w:style w:type="character" w:styleId="1132" w:customStyle="1">
    <w:name w:val="hide_mobile"/>
    <w:basedOn w:val="1022"/>
    <w:pPr>
      <w:pBdr/>
      <w:spacing/>
      <w:ind/>
    </w:pPr>
  </w:style>
  <w:style w:type="character" w:styleId="1133">
    <w:name w:val="Emphasis"/>
    <w:basedOn w:val="1022"/>
    <w:uiPriority w:val="20"/>
    <w:qFormat/>
    <w:pPr>
      <w:pBdr/>
      <w:spacing/>
      <w:ind/>
    </w:pPr>
    <w:rPr>
      <w:i/>
      <w:iCs/>
    </w:rPr>
  </w:style>
  <w:style w:type="character" w:styleId="1134" w:customStyle="1">
    <w:name w:val="t1"/>
    <w:basedOn w:val="1022"/>
    <w:pPr>
      <w:pBdr/>
      <w:spacing/>
      <w:ind/>
    </w:pPr>
  </w:style>
  <w:style w:type="character" w:styleId="1135" w:customStyle="1">
    <w:name w:val="Unresolved Mention4"/>
    <w:basedOn w:val="1022"/>
    <w:uiPriority w:val="99"/>
    <w:semiHidden/>
    <w:unhideWhenUsed/>
    <w:pPr>
      <w:pBdr/>
      <w:spacing/>
      <w:ind/>
    </w:pPr>
    <w:rPr>
      <w:color w:val="605e5c"/>
      <w:shd w:val="clear" w:color="auto" w:fill="e1dfdd"/>
    </w:rPr>
  </w:style>
  <w:style w:type="character" w:styleId="1136">
    <w:name w:val="Unresolved Mention"/>
    <w:basedOn w:val="1022"/>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hyperlink" Target="https://thanglong.chinhphu.vn/buc-tranh-thi-truong-bat-dong-san-ha-noi-nam-2026-ha-tang-dan-dat-thi-truong-buoc-vao-chu-ky-tang-truong-moi-103260101181315972.htm)" TargetMode="External"/><Relationship Id="rId18" Type="http://schemas.openxmlformats.org/officeDocument/2006/relationships/image" Target="media/image3.png"/><Relationship Id="rId19" Type="http://schemas.openxmlformats.org/officeDocument/2006/relationships/image" Target="media/image4.png"/><Relationship Id="rId20" Type="http://schemas.openxmlformats.org/officeDocument/2006/relationships/image" Target="media/image5.png"/><Relationship Id="rId21" Type="http://schemas.openxmlformats.org/officeDocument/2006/relationships/image" Target="media/image6.png"/><Relationship Id="rId22" Type="http://schemas.openxmlformats.org/officeDocument/2006/relationships/image" Target="media/image7.png"/><Relationship Id="rId23" Type="http://schemas.openxmlformats.org/officeDocument/2006/relationships/image" Target="media/image8.png"/><Relationship Id="rId24" Type="http://schemas.openxmlformats.org/officeDocument/2006/relationships/image" Target="media/image9.jpg"/><Relationship Id="rId25" Type="http://schemas.openxmlformats.org/officeDocument/2006/relationships/image" Target="media/image10.jpg"/><Relationship Id="rId26" Type="http://schemas.openxmlformats.org/officeDocument/2006/relationships/image" Target="media/image11.png"/><Relationship Id="rId27" Type="http://schemas.openxmlformats.org/officeDocument/2006/relationships/image" Target="media/image12.png"/><Relationship Id="rId28" Type="http://schemas.openxmlformats.org/officeDocument/2006/relationships/image" Target="media/image13.png"/><Relationship Id="rId29" Type="http://schemas.openxmlformats.org/officeDocument/2006/relationships/image" Target="media/image14.png"/><Relationship Id="rId30" Type="http://schemas.openxmlformats.org/officeDocument/2006/relationships/image" Target="media/image15.png"/><Relationship Id="rId31" Type="http://schemas.openxmlformats.org/officeDocument/2006/relationships/image" Target="media/image16.png"/><Relationship Id="rId32" Type="http://schemas.openxmlformats.org/officeDocument/2006/relationships/image" Target="media/image17.png"/><Relationship Id="rId33" Type="http://schemas.openxmlformats.org/officeDocument/2006/relationships/image" Target="media/image18.png"/><Relationship Id="rId34" Type="http://schemas.openxmlformats.org/officeDocument/2006/relationships/image" Target="media/image19.png"/><Relationship Id="rId35" Type="http://schemas.openxmlformats.org/officeDocument/2006/relationships/image" Target="media/image20.png"/><Relationship Id="rId36" Type="http://schemas.openxmlformats.org/officeDocument/2006/relationships/image" Target="media/image21.png"/><Relationship Id="rId37" Type="http://schemas.openxmlformats.org/officeDocument/2006/relationships/image" Target="media/image22.pn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Nguyễn Tấn Sang</cp:lastModifiedBy>
  <cp:revision>284</cp:revision>
  <dcterms:created xsi:type="dcterms:W3CDTF">2025-09-15T09:58:00Z</dcterms:created>
  <dcterms:modified xsi:type="dcterms:W3CDTF">2026-07-15T09:19:40Z</dcterms:modified>
</cp:coreProperties>
</file>