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111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111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275/2026/0920/VFI-CT.48.A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PHẠM THỊ THU GIANG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và tài sản gắn liền với đất tại thửa đất số: 44-1, tờ bản đồ số: 3-1, địa chỉ: Tổ dân phố Đoạn Xá 9, phường Đông Hải 1, quận Hải An, thành phố Hải Phòng (</w:t>
                            </w:r>
                            <w:r>
                              <w:rPr>
                                <w:rFonts w:ascii="Times New Roman" w:hAnsi="Times New Roman" w:eastAsia="Times New Roman" w:cs="Times New Roman"/>
                                <w:i/>
                                <w:iCs/>
                                <w:color w:val="000000"/>
                                <w:sz w:val="24"/>
                              </w:rPr>
                              <w:t xml:space="preserve">nay là phường Đông Hải, thành phố Hải Phòng</w:t>
                            </w:r>
                            <w:r>
                              <w:rPr>
                                <w:rFonts w:ascii="Times New Roman" w:hAnsi="Times New Roman" w:eastAsia="Times New Roman" w:cs="Times New Roman"/>
                                <w:color w:val="000000"/>
                                <w:sz w:val="24"/>
                              </w:rPr>
                              <w:t xml:space="preserve">) theo Giấy chứng nhận quyền sử dụng đấ</w:t>
                            </w:r>
                            <w:r>
                              <w:rPr>
                                <w:rFonts w:ascii="Times New Roman" w:hAnsi="Times New Roman" w:eastAsia="Times New Roman" w:cs="Times New Roman"/>
                                <w:color w:val="000000"/>
                                <w:sz w:val="24"/>
                              </w:rPr>
                              <w:t xml:space="preserve">t, quyền sở hữu nhà ở và tài sản khác gắn liền với đất số: CU 451880, số vào sổ cấp GCN: CH.06864 do UBND quận Hải An cấp ngày 21/4/2020 cho Bà Phạm Thị Thu Giang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2.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275/2026/0920/VFI-CT.48.A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PHẠM THỊ THU GIANG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và tài sản gắn liền với đất tại thửa đất số: 44-1, tờ bản đồ số: 3-1, địa chỉ: Tổ dân phố Đoạn Xá 9, phường Đông Hải 1, quận Hải An, thành phố Hải Phòng (</w:t>
                      </w:r>
                      <w:r>
                        <w:rPr>
                          <w:rFonts w:ascii="Times New Roman" w:hAnsi="Times New Roman" w:eastAsia="Times New Roman" w:cs="Times New Roman"/>
                          <w:i/>
                          <w:iCs/>
                          <w:color w:val="000000"/>
                          <w:sz w:val="24"/>
                        </w:rPr>
                        <w:t xml:space="preserve">nay là phường Đông Hải, thành phố Hải Phòng</w:t>
                      </w:r>
                      <w:r>
                        <w:rPr>
                          <w:rFonts w:ascii="Times New Roman" w:hAnsi="Times New Roman" w:eastAsia="Times New Roman" w:cs="Times New Roman"/>
                          <w:color w:val="000000"/>
                          <w:sz w:val="24"/>
                        </w:rPr>
                        <w:t xml:space="preserve">) theo Giấy chứng nhận quyền sử dụng đấ</w:t>
                      </w:r>
                      <w:r>
                        <w:rPr>
                          <w:rFonts w:ascii="Times New Roman" w:hAnsi="Times New Roman" w:eastAsia="Times New Roman" w:cs="Times New Roman"/>
                          <w:color w:val="000000"/>
                          <w:sz w:val="24"/>
                        </w:rPr>
                        <w:t xml:space="preserve">t, quyền sở hữu nhà ở và tài sản khác gắn liền với đất số: CU 451880, số vào sổ cấp GCN: CH.06864 do UBND quận Hải An cấp ngày 21/4/2020 cho Bà Phạm Thị Thu Giang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30"/>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pPr>
              <w:pStyle w:val="1030"/>
              <w:pBdr/>
              <w:tabs>
                <w:tab w:val="left" w:leader="none" w:pos="993"/>
              </w:tabs>
              <w:spacing w:after="120" w:before="120" w:line="288" w:lineRule="auto"/>
              <w:ind w:left="0"/>
              <w:jc w:val="both"/>
              <w:rPr>
                <w:bCs/>
                <w:lang w:val="pt-BR"/>
              </w:rPr>
            </w:pPr>
            <w:r>
              <w:rPr>
                <w:bCs/>
                <w:lang w:val="pt-BR"/>
              </w:rPr>
              <w:t xml:space="preserve">Phụ lục 2: Thông tin thu thập thị trường + Hồ sơ pháp lý +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23-30</w:t>
            </w:r>
            <w:r>
              <w:rPr>
                <w:b/>
                <w:bCs/>
              </w:rPr>
            </w:r>
            <w:r>
              <w:rPr>
                <w:b/>
                <w:bCs/>
              </w:rPr>
            </w:r>
          </w:p>
        </w:tc>
      </w:tr>
    </w:tbl>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9"/>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577" w:type="dxa"/>
        <w:tblBorders/>
        <w:tblLayout w:type="fixed"/>
        <w:tblLook w:val="04A0" w:firstRow="1" w:lastRow="0" w:firstColumn="1" w:lastColumn="0" w:noHBand="0" w:noVBand="1"/>
      </w:tblPr>
      <w:tblGrid>
        <w:gridCol w:w="1588"/>
        <w:gridCol w:w="3187"/>
        <w:gridCol w:w="4774"/>
        <w:gridCol w:w="29"/>
      </w:tblGrid>
      <w:tr>
        <w:trPr>
          <w:trHeight w:val="1152"/>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799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0"/>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774" w:type="dxa"/>
            <w:textDirection w:val="lrTb"/>
            <w:noWrap w:val="false"/>
          </w:tcPr>
          <w:p>
            <w:pPr>
              <w:pStyle w:val="1029"/>
              <w:pBdr/>
              <w:spacing w:after="60"/>
              <w:ind/>
              <w:rPr>
                <w:color w:val="000000" w:themeColor="text1"/>
                <w:sz w:val="24"/>
                <w:szCs w:val="24"/>
              </w:rPr>
            </w:pPr>
            <w:r>
              <w:rPr>
                <w:rStyle w:val="1028"/>
                <w:rFonts w:ascii="Times New Roman" w:hAnsi="Times New Roman"/>
                <w:color w:val="000000" w:themeColor="text1"/>
                <w:lang w:val="pt-BR"/>
              </w:rPr>
              <w:t xml:space="preserve">Số: </w:t>
            </w:r>
            <w:r>
              <w:rPr>
                <w:rStyle w:val="1028"/>
                <w:rFonts w:ascii="Times New Roman" w:hAnsi="Times New Roman"/>
                <w:color w:val="000000" w:themeColor="text1"/>
                <w:lang w:val="pt-BR"/>
              </w:rPr>
              <w:t xml:space="preserve">275/2026/0920/VFI-CT.48.A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774" w:type="dxa"/>
            <w:textDirection w:val="lrTb"/>
            <w:noWrap w:val="false"/>
          </w:tcPr>
          <w:p>
            <w:pPr>
              <w:pStyle w:val="1029"/>
              <w:pBdr/>
              <w:spacing w:after="60"/>
              <w:ind w:right="-56"/>
              <w:jc w:val="right"/>
              <w:rPr>
                <w:color w:val="000000" w:themeColor="text1"/>
                <w:sz w:val="24"/>
                <w:szCs w:val="24"/>
                <w:lang w:val="vi-VN"/>
              </w:rPr>
            </w:pPr>
            <w:r>
              <w:rPr>
                <w:rStyle w:val="1028"/>
                <w:rFonts w:ascii="Times New Roman" w:hAnsi="Times New Roman"/>
                <w:i/>
                <w:color w:val="auto"/>
              </w:rPr>
              <w:t xml:space="preserve">TP. Hà Nội</w:t>
            </w:r>
            <w:r>
              <w:rPr>
                <w:rStyle w:val="1028"/>
                <w:rFonts w:ascii="Times New Roman" w:hAnsi="Times New Roman"/>
                <w:i/>
                <w:color w:val="auto"/>
                <w:lang w:val="vi-VN"/>
              </w:rPr>
              <w:t xml:space="preserve">, </w:t>
            </w:r>
            <w:r>
              <w:rPr>
                <w:rStyle w:val="1028"/>
                <w:rFonts w:ascii="Times New Roman" w:hAnsi="Times New Roman"/>
                <w:i/>
                <w:color w:val="000000" w:themeColor="text1"/>
                <w:lang w:val="vi-VN"/>
              </w:rPr>
              <w:t xml:space="preserve">ngày 18 tháng 6 năm 2026</w:t>
            </w:r>
            <w:r>
              <w:rPr>
                <w:color w:val="000000" w:themeColor="text1"/>
                <w:sz w:val="24"/>
                <w:szCs w:val="24"/>
                <w:lang w:val="vi-VN"/>
              </w:rPr>
            </w:r>
            <w:r>
              <w:rPr>
                <w:color w:val="000000" w:themeColor="text1"/>
                <w:sz w:val="24"/>
                <w:szCs w:val="24"/>
                <w:lang w:val="vi-VN"/>
              </w:rPr>
            </w:r>
          </w:p>
        </w:tc>
      </w:tr>
    </w:tbl>
    <w:p>
      <w:pPr>
        <w:pStyle w:val="1029"/>
        <w:pBdr/>
        <w:spacing w:after="120" w:before="200" w:line="288" w:lineRule="auto"/>
        <w:ind/>
        <w:jc w:val="center"/>
        <w:rPr>
          <w:rStyle w:val="1028"/>
          <w:rFonts w:ascii="Times New Roman" w:hAnsi="Times New Roman"/>
          <w:b/>
          <w:bCs/>
          <w:color w:val="auto"/>
          <w:sz w:val="30"/>
          <w:szCs w:val="30"/>
          <w:lang w:val="vi-VN"/>
        </w:rPr>
      </w:pPr>
      <w:r>
        <w:rPr>
          <w:rStyle w:val="1028"/>
          <w:rFonts w:ascii="Times New Roman" w:hAnsi="Times New Roman"/>
          <w:b/>
          <w:bCs/>
          <w:color w:val="auto"/>
          <w:sz w:val="30"/>
          <w:szCs w:val="30"/>
          <w:lang w:val="vi-VN"/>
        </w:rPr>
        <w:t xml:space="preserve">CHỨNG THƯ THẨM ĐỊNH GIÁ</w:t>
      </w:r>
      <w:r>
        <w:rPr>
          <w:rStyle w:val="1028"/>
          <w:rFonts w:ascii="Times New Roman" w:hAnsi="Times New Roman"/>
          <w:b/>
          <w:bCs/>
          <w:color w:val="auto"/>
          <w:sz w:val="30"/>
          <w:szCs w:val="30"/>
          <w:lang w:val="vi-VN"/>
        </w:rPr>
      </w:r>
      <w:r>
        <w:rPr>
          <w:rStyle w:val="1028"/>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BÀ PHẠM THỊ THU GIANG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275/2026/0920/VFI-HĐTĐ.48.A</w:t>
      </w:r>
      <w:r>
        <w:rPr>
          <w:spacing w:val="-4"/>
          <w:lang w:val="vi-VN"/>
        </w:rPr>
        <w:t xml:space="preserve"> ký ngày </w:t>
      </w:r>
      <w:r>
        <w:rPr>
          <w:color w:val="000000" w:themeColor="text1"/>
          <w:spacing w:val="-4"/>
        </w:rPr>
        <w:t xml:space="preserve">15 tháng 6 năm 2026</w:t>
      </w:r>
      <w:r>
        <w:rPr>
          <w:spacing w:val="-4"/>
          <w:lang w:val="vi-VN"/>
        </w:rPr>
        <w:t xml:space="preserve"> </w:t>
      </w:r>
      <w:r>
        <w:rPr>
          <w:spacing w:val="-4"/>
          <w:lang w:val="vi-VN"/>
        </w:rPr>
        <w:t xml:space="preserve">giữa </w:t>
      </w:r>
      <w:r>
        <w:rPr>
          <w:color w:val="000000" w:themeColor="text1"/>
          <w:spacing w:val="-4"/>
        </w:rPr>
        <w:t xml:space="preserve">Bà Phạm Thị Thu Giang</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275/2026/0920/VFI-BC.48.A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18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478"/>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Tên khách hàng</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PHẠM THỊ THU GIANG</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CCCD</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031176004411</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CP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GĐ</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Quyền sử dụng đất và tài sản gắn liền với đất tại thửa đất số: 44-1, tờ bản đồ số: 3-1, địa chỉ: Tổ dân phố Đoạn Xá 9, phường Đông Hải 1, quận Hải An, thành phố Hải Phòng (</w:t>
      </w:r>
      <w:r>
        <w:rPr>
          <w:rFonts w:ascii="Times New Roman" w:hAnsi="Times New Roman" w:eastAsia="Times New Roman" w:cs="Times New Roman"/>
          <w:i/>
          <w:iCs/>
          <w:color w:val="000000"/>
          <w:sz w:val="24"/>
        </w:rPr>
        <w:t xml:space="preserve">nay là phường Đông Hải, thành phố Hải Phòng</w:t>
      </w:r>
      <w:r>
        <w:rPr>
          <w:rFonts w:ascii="Times New Roman" w:hAnsi="Times New Roman" w:eastAsia="Times New Roman" w:cs="Times New Roman"/>
          <w:color w:val="000000"/>
          <w:sz w:val="24"/>
        </w:rPr>
        <w:t xml:space="preserve">) theo Giấy chứng nhận quyền sử dụng đấ</w:t>
      </w:r>
      <w:r>
        <w:rPr>
          <w:rFonts w:ascii="Times New Roman" w:hAnsi="Times New Roman" w:eastAsia="Times New Roman" w:cs="Times New Roman"/>
          <w:color w:val="000000"/>
          <w:sz w:val="24"/>
        </w:rPr>
        <w:t xml:space="preserve">t, quyền sở hữu nhà ở và tài sản khác gắn liền với đất số: CU 451880, số vào sổ cấp GCN: CH.06864 do UBND quận Hải An cấp ngày 21/4/2020 cho Bà Phạm Thị Thu Giang</w:t>
      </w:r>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6/2026</w:t>
      </w:r>
      <w:r>
        <w:rPr>
          <w:lang w:val="vi-VN"/>
        </w:rPr>
        <w:t xml:space="preserve"> ước tính</w:t>
      </w:r>
      <w:r>
        <w:t xml:space="preserve"> </w:t>
      </w:r>
      <w:r>
        <w:rPr>
          <w:lang w:val="vi-VN"/>
        </w:rPr>
        <w:t xml:space="preserve">như sau:</w:t>
      </w: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41"/>
        <w:gridCol w:w="2345"/>
        <w:gridCol w:w="1682"/>
        <w:gridCol w:w="1525"/>
        <w:gridCol w:w="1560"/>
        <w:gridCol w:w="1809"/>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Hệ số/</w:t>
              <w:br/>
              <w:t xml:space="preserve"> CLCL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b/>
                <w:bCs/>
              </w:rPr>
            </w:pPr>
            <w:r>
              <w:rPr>
                <w:rFonts w:ascii="Times New Roman" w:hAnsi="Times New Roman" w:eastAsia="Times New Roman" w:cs="Times New Roman"/>
                <w:b/>
                <w:color w:val="000000"/>
                <w:sz w:val="24"/>
              </w:rPr>
            </w:r>
            <w:r>
              <w:rPr>
                <w:rFonts w:ascii="Times New Roman" w:hAnsi="Times New Roman" w:eastAsia="Times New Roman" w:cs="Times New Roman"/>
                <w:b/>
                <w:bCs/>
                <w:color w:val="000000"/>
                <w:sz w:val="24"/>
              </w:rPr>
              <w:t xml:space="preserve">Quyền sử dụng đất và tài sản gắn liền với đất tại thửa đất số: 44-1, tờ bản đồ số: 3-1, địa chỉ: Tổ dân phố Đoạn Xá 9, phường Đông Hải 1, quận Hải An, thành phố Hải Phòng (</w:t>
            </w:r>
            <w:r>
              <w:rPr>
                <w:rFonts w:ascii="Times New Roman" w:hAnsi="Times New Roman" w:eastAsia="Times New Roman" w:cs="Times New Roman"/>
                <w:b/>
                <w:bCs/>
                <w:i/>
                <w:iCs/>
                <w:color w:val="000000"/>
                <w:sz w:val="24"/>
              </w:rPr>
              <w:t xml:space="preserve">nay là phường Đông Hải, thành phố Hải Phòng</w:t>
            </w:r>
            <w:r>
              <w:rPr>
                <w:rFonts w:ascii="Times New Roman" w:hAnsi="Times New Roman" w:eastAsia="Times New Roman" w:cs="Times New Roman"/>
                <w:b/>
                <w:bCs/>
                <w:color w:val="000000"/>
                <w:sz w:val="24"/>
              </w:rPr>
              <w:t xml:space="preserve">) theo Giấy chứng nhận quyền sử dụng đấ</w:t>
            </w:r>
            <w:r>
              <w:rPr>
                <w:rFonts w:ascii="Times New Roman" w:hAnsi="Times New Roman" w:eastAsia="Times New Roman" w:cs="Times New Roman"/>
                <w:b/>
                <w:bCs/>
                <w:color w:val="000000"/>
                <w:sz w:val="24"/>
              </w:rPr>
              <w:t xml:space="preserve">t, quyền sở hữu nhà ở và tài sản khác gắn liền với đất số: CU 451880, số vào sổ cấp GCN: CH.06864 do UBND quận Hải An cấp ngày 21/4/2020 cho Bà Phạm Thị Thu Giang</w:t>
            </w:r>
            <w:r>
              <w:rPr>
                <w:b/>
                <w:bCs/>
                <w:i/>
                <w:iCs/>
              </w:rPr>
              <w:t xml:space="preserve">.</w:t>
            </w:r>
            <w:r>
              <w:rPr>
                <w:rFonts w:ascii="Times New Roman" w:hAnsi="Times New Roman" w:eastAsia="Times New Roman" w:cs="Times New Roman"/>
                <w:b/>
                <w:bCs/>
                <w:color w:val="000000"/>
                <w:sz w:val="24"/>
              </w:rPr>
            </w:r>
            <w:r>
              <w:rPr>
                <w:b/>
                <w:bC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spacing w:after="0" w:before="0" w:line="276" w:lineRule="auto"/>
              <w:ind/>
              <w:rPr/>
            </w:pP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01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Quyền sử dụng đất</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80,0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57.000.000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spacing w:after="0" w:before="0" w:line="276" w:lineRule="auto"/>
              <w:ind/>
              <w:jc w:val="center"/>
              <w:rPr/>
            </w:pPr>
            <w:r>
              <w:t xml:space="preserve">100%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4.560.000.000</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02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Nhà 04 tầng</w:t>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223,88</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8.055.156</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90%</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1.623.049.493</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1" w:type="dxa"/>
            <w:vAlign w:val="center"/>
            <w:textDirection w:val="lrTb"/>
            <w:noWrap w:val="false"/>
          </w:tcPr>
          <w:p>
            <w:pPr>
              <w:pBdr/>
              <w:spacing w:after="0" w:before="0" w:line="276" w:lineRule="auto"/>
              <w:ind/>
              <w:rPr/>
            </w:pPr>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Tổng cộng: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6.183.049.493</w:t>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1" w:type="dxa"/>
            <w:vAlign w:val="center"/>
            <w:textDirection w:val="lrTb"/>
            <w:noWrap w:val="false"/>
          </w:tcPr>
          <w:p>
            <w:pPr>
              <w:pBdr/>
              <w:spacing w:after="0" w:before="0" w:line="276" w:lineRule="auto"/>
              <w:ind/>
              <w:rPr/>
            </w:pPr>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Làm tròn: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6.183.000.000</w:t>
            </w:r>
            <w:r/>
          </w:p>
        </w:tc>
      </w:tr>
      <w:tr>
        <w:trPr>
          <w:trHeight w:val="20"/>
        </w:trPr>
        <w:tc>
          <w:tcPr>
            <w:gridSpan w:val="6"/>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5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i/>
                <w:color w:val="000000"/>
                <w:sz w:val="24"/>
              </w:rPr>
              <w:t xml:space="preserve">(Bằng chữ: Sáu tỷ một trăm tám mươi ba triệu đồng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Lê Thị Thịnh</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719" w:type="dxa"/>
        <w:tblBorders/>
        <w:tblLayout w:type="fixed"/>
        <w:tblLook w:val="04A0" w:firstRow="1" w:lastRow="0" w:firstColumn="1" w:lastColumn="0" w:noHBand="0" w:noVBand="1"/>
      </w:tblPr>
      <w:tblGrid>
        <w:gridCol w:w="1588"/>
        <w:gridCol w:w="3258"/>
        <w:gridCol w:w="4845"/>
        <w:gridCol w:w="29"/>
      </w:tblGrid>
      <w:tr>
        <w:trPr>
          <w:trHeight w:val="1843"/>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13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0"/>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4845" w:type="dxa"/>
            <w:textDirection w:val="lrTb"/>
            <w:noWrap w:val="false"/>
          </w:tcPr>
          <w:p>
            <w:pPr>
              <w:pStyle w:val="1029"/>
              <w:pBdr/>
              <w:spacing w:after="60"/>
              <w:ind/>
              <w:rPr>
                <w:color w:val="000000" w:themeColor="text1"/>
                <w:sz w:val="24"/>
                <w:szCs w:val="24"/>
              </w:rPr>
            </w:pPr>
            <w:r>
              <w:rPr>
                <w:rStyle w:val="1028"/>
                <w:rFonts w:ascii="Times New Roman" w:hAnsi="Times New Roman"/>
                <w:color w:val="000000" w:themeColor="text1"/>
                <w:lang w:val="pt-BR"/>
              </w:rPr>
              <w:t xml:space="preserve">Số: </w:t>
            </w:r>
            <w:r>
              <w:rPr>
                <w:rStyle w:val="1028"/>
                <w:rFonts w:ascii="Times New Roman" w:hAnsi="Times New Roman"/>
                <w:color w:val="000000" w:themeColor="text1"/>
                <w:lang w:val="pt-BR"/>
              </w:rPr>
              <w:t xml:space="preserve">275/2026/0920/VFI-CT.48.A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45" w:type="dxa"/>
            <w:textDirection w:val="lrTb"/>
            <w:noWrap w:val="false"/>
          </w:tcPr>
          <w:p>
            <w:pPr>
              <w:pStyle w:val="1029"/>
              <w:pBdr/>
              <w:spacing w:after="60"/>
              <w:ind w:right="-56"/>
              <w:jc w:val="right"/>
              <w:rPr>
                <w:color w:val="000000" w:themeColor="text1"/>
                <w:sz w:val="24"/>
                <w:szCs w:val="24"/>
                <w:lang w:val="vi-VN"/>
              </w:rPr>
            </w:pPr>
            <w:r>
              <w:rPr>
                <w:rStyle w:val="1028"/>
                <w:rFonts w:ascii="Times New Roman" w:hAnsi="Times New Roman"/>
                <w:i/>
                <w:color w:val="auto"/>
              </w:rPr>
              <w:t xml:space="preserve">TP. Hà Nội</w:t>
            </w:r>
            <w:r>
              <w:rPr>
                <w:rStyle w:val="1028"/>
                <w:rFonts w:ascii="Times New Roman" w:hAnsi="Times New Roman"/>
                <w:i/>
                <w:color w:val="auto"/>
                <w:lang w:val="vi-VN"/>
              </w:rPr>
              <w:t xml:space="preserve">, </w:t>
            </w:r>
            <w:r>
              <w:rPr>
                <w:rStyle w:val="1028"/>
                <w:rFonts w:ascii="Times New Roman" w:hAnsi="Times New Roman"/>
                <w:i/>
                <w:color w:val="000000" w:themeColor="text1"/>
                <w:lang w:val="vi-VN"/>
              </w:rPr>
              <w:t xml:space="preserve">ngày 18 tháng 6 năm 2026</w:t>
            </w:r>
            <w:r>
              <w:rPr>
                <w:color w:val="000000" w:themeColor="text1"/>
                <w:sz w:val="24"/>
                <w:szCs w:val="24"/>
                <w:lang w:val="vi-VN"/>
              </w:rPr>
            </w:r>
            <w:r>
              <w:rPr>
                <w:color w:val="000000" w:themeColor="text1"/>
                <w:sz w:val="24"/>
                <w:szCs w:val="24"/>
                <w:lang w:val="vi-VN"/>
              </w:rPr>
            </w:r>
          </w:p>
        </w:tc>
      </w:tr>
    </w:tbl>
    <w:p>
      <w:pPr>
        <w:pStyle w:val="1029"/>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9"/>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275/2026/0920/VFI-CT.48.A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18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9"/>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CP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TP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GĐ</w:t>
            </w:r>
            <w:r>
              <w:rPr>
                <w:b/>
                <w:bCs/>
                <w:lang w:val="vi-VN"/>
              </w:rPr>
            </w:r>
            <w:r>
              <w:rPr>
                <w:b/>
                <w:bCs/>
                <w:lang w:val="vi-VN"/>
              </w:rPr>
            </w:r>
          </w:p>
        </w:tc>
      </w:tr>
    </w:tbl>
    <w:p>
      <w:pPr>
        <w:pStyle w:val="1030"/>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BÀ PHẠM THỊ THU GIANG</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CCCD</w:t>
            </w: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031176004411</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Quyền sử dụng đất và tài sản gắn liền với đất tại thửa đất số: 44-1, tờ bản đồ số: 3-1, địa chỉ: Tổ dân phố Đoạn Xá 9, phường Đông Hải 1, quận Hải An, thành phố Hải Phòng (</w:t>
            </w:r>
            <w:r>
              <w:rPr>
                <w:rFonts w:ascii="Times New Roman" w:hAnsi="Times New Roman" w:eastAsia="Times New Roman" w:cs="Times New Roman"/>
                <w:i/>
                <w:iCs/>
                <w:color w:val="000000"/>
                <w:sz w:val="24"/>
              </w:rPr>
              <w:t xml:space="preserve">nay là phường Đông Hải, thành phố Hải Phòng</w:t>
            </w:r>
            <w:r>
              <w:rPr>
                <w:rFonts w:ascii="Times New Roman" w:hAnsi="Times New Roman" w:eastAsia="Times New Roman" w:cs="Times New Roman"/>
                <w:color w:val="000000"/>
                <w:sz w:val="24"/>
              </w:rPr>
              <w:t xml:space="preserve">) theo Giấy chứng nhận quyền sử dụng đấ</w:t>
            </w:r>
            <w:r>
              <w:rPr>
                <w:rFonts w:ascii="Times New Roman" w:hAnsi="Times New Roman" w:eastAsia="Times New Roman" w:cs="Times New Roman"/>
                <w:color w:val="000000"/>
                <w:sz w:val="24"/>
              </w:rPr>
              <w:t xml:space="preserve">t, quyền sở hữu nhà ở và tài sản khác gắn liền với đất số: CU 451880, số vào sổ cấp GCN: CH.06864 do UBND quận Hải An cấp ngày 21/4/2020 cho Bà Phạm Thị Thu Giang</w:t>
            </w:r>
            <w:r>
              <w:rPr>
                <w:bCs/>
                <w:i/>
                <w:iCs/>
              </w:rPr>
              <w:t xml:space="preserve">.</w:t>
            </w:r>
            <w:r/>
            <w:r>
              <w:rPr>
                <w:rFonts w:ascii="Times New Roman" w:hAnsi="Times New Roman" w:eastAsia="Times New Roman" w:cs="Times New Roman"/>
                <w:color w:val="000000"/>
                <w:sz w:val="24"/>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Phường Đông Hải, thành phố Hải Phòng</w:t>
            </w: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0"/>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20.864194444444, 106.71405555556</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0"/>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15/6/2026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0"/>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0"/>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0"/>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0"/>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0"/>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0"/>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0"/>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0"/>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0"/>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0"/>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t xml:space="preserve">Giấy chứng nhận quyền sử dụng đấ</w:t>
      </w:r>
      <w:r>
        <w:rPr>
          <w:rFonts w:ascii="Times New Roman" w:hAnsi="Times New Roman" w:eastAsia="Times New Roman" w:cs="Times New Roman"/>
          <w:color w:val="000000"/>
          <w:sz w:val="24"/>
        </w:rPr>
        <w:t xml:space="preserve">t, quyền sở hữu nhà ở và tài sản khác gắn liền với đất số: CU 451880, số vào sổ cấp GCN: CH.06864 do UBND quận Hải An cấp ngày 21/4/2020 cho Bà Phạm Thị Thu Giang</w:t>
      </w:r>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0"/>
        <w:numPr>
          <w:ilvl w:val="0"/>
          <w:numId w:val="2"/>
        </w:numPr>
        <w:pBdr/>
        <w:tabs>
          <w:tab w:val="left" w:leader="none" w:pos="993"/>
        </w:tabs>
        <w:spacing w:after="120" w:before="120" w:line="276" w:lineRule="auto"/>
        <w:ind/>
        <w:jc w:val="both"/>
        <w:rPr>
          <w:b/>
          <w:lang w:val="pt-BR"/>
        </w:rPr>
      </w:pPr>
      <w:r>
        <w:rPr>
          <w:rFonts w:ascii="Times New Roman" w:hAnsi="Times New Roman" w:eastAsia="Times New Roman" w:cs="Times New Roman"/>
          <w:color w:val="000000"/>
          <w:sz w:val="24"/>
        </w:rPr>
        <w:t xml:space="preserve">Hợp đồng dịch vụ thẩm định giá số </w:t>
      </w:r>
      <w:r>
        <w:rPr>
          <w:rFonts w:ascii="Times New Roman" w:hAnsi="Times New Roman" w:eastAsia="Times New Roman" w:cs="Times New Roman"/>
          <w:color w:val="000000"/>
          <w:spacing w:val="-4"/>
          <w:sz w:val="24"/>
        </w:rPr>
        <w:t xml:space="preserve">275/2026/0920/VFI-HĐTĐ.48.A ký ngày 15 tháng 6 năm 2026 giữa Bà Phạm Thị Thu Giang</w:t>
      </w:r>
      <w:r>
        <w:rPr>
          <w:rFonts w:ascii="Times New Roman" w:hAnsi="Times New Roman" w:eastAsia="Times New Roman" w:cs="Times New Roman"/>
          <w:color w:val="000000"/>
          <w:sz w:val="24"/>
        </w:rPr>
        <w:t xml:space="preserve">với Công ty Cổ phần Thẩm định và Đầu tư Tài chính Hoa Sen;</w:t>
      </w:r>
      <w:r>
        <w:rPr>
          <w:b/>
          <w:lang w:val="pt-BR"/>
        </w:rPr>
      </w:r>
      <w:r>
        <w:rPr>
          <w:b/>
          <w:lang w:val="pt-BR"/>
        </w:rPr>
      </w:r>
    </w:p>
    <w:p>
      <w:pPr>
        <w:pStyle w:val="1030"/>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lang w:val="pt-BR"/>
        </w:rPr>
        <w:tab/>
      </w:r>
      <w:r>
        <w:rPr>
          <w:rFonts w:ascii="Times New Roman" w:hAnsi="Times New Roman" w:eastAsia="Times New Roman" w:cs="Times New Roman"/>
          <w:b/>
          <w:color w:val="000000"/>
          <w:sz w:val="24"/>
        </w:rPr>
        <w:t xml:space="preserve">Sức Hút Của Thị Trường Bất Động Sản Hải Phòng</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Thành phố Hải Phòng không chỉ là cửa ngõ giao thương quan trọng của Việt Nam ra biển Đông mà còn là trung tâm kinh tế, thương mại, du lịch hàng đầu khu vực phía Bắc. Với vị thế địa lý chiến lược, thị trường nhà đất Hải Phòng sở hữu những lợi thế đặc biệt,</w:t>
      </w:r>
      <w:r>
        <w:rPr>
          <w:rFonts w:ascii="Times New Roman" w:hAnsi="Times New Roman" w:eastAsia="Times New Roman" w:cs="Times New Roman"/>
          <w:color w:val="000000"/>
          <w:sz w:val="24"/>
        </w:rPr>
        <w:t xml:space="preserve"> tạo tiền đề vững chắc cho sự phát triển của các dự án bất động sản. Sự chuyển mình mạnh mẽ của thành phố trong những năm gần đây đã biến nơi đây thành thỏi nam châm thu hút dòng vốn đầu tư.</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Vị Trí Chiến Lược Và Tiềm Năng Phát Triển Vượt Trội</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Hải Phòng là một trong năm đô thị loại I trực thuộc Trung ương, đóng vai trò đầu mối giao thông quan trọng của Vùng kinh tế trọng điểm Bắc Bộ. Với lợi thế cảng biển lớn nhất miền Bắc (Cảng Hải Phòng), thành phố này là trung tâm logistics và công nghiệp tr</w:t>
      </w:r>
      <w:r>
        <w:rPr>
          <w:rFonts w:ascii="Times New Roman" w:hAnsi="Times New Roman" w:eastAsia="Times New Roman" w:cs="Times New Roman"/>
          <w:color w:val="000000"/>
          <w:sz w:val="24"/>
        </w:rPr>
        <w:t xml:space="preserve">ọng yếu. Các khu kinh tế, khu công nghiệp như Đình Vũ – Cát Hải, VSIP Hải Phòng, Nomura Hải Phòng liên tục mở rộng, thu hút hàng trăm doanh nghiệp trong và ngoài nước, kéo theo lượng lớn chuyên gia và người lao động, tạo ra nhu cầu rất lớn về nhà ở và dịch</w:t>
      </w:r>
      <w:r>
        <w:rPr>
          <w:rFonts w:ascii="Times New Roman" w:hAnsi="Times New Roman" w:eastAsia="Times New Roman" w:cs="Times New Roman"/>
          <w:color w:val="000000"/>
          <w:sz w:val="24"/>
        </w:rPr>
        <w:t xml:space="preserve"> vụ. Tiềm năng bất động sản Hải Phòng được đánh giá là dài hạn và bền vững.</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Hạ Tầng Giao Thông Đồng Bộ, Hiện Đại</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Để phát huy tối đa lợi thế vị trí, Hải Phòng đã và đang đầu tư mạnh mẽ vào hệ thống hạ tầng giao thông. Các tuyến đường cao tốc như Hà Nội – Hải Phòng, Hải Phòng – Hạ Long – Vân Đồn, cùng với việc nâng cấp Quốc lộ 10, Quốc lộ 5 đã rút ngắn đáng kể thời gi</w:t>
      </w:r>
      <w:r>
        <w:rPr>
          <w:rFonts w:ascii="Times New Roman" w:hAnsi="Times New Roman" w:eastAsia="Times New Roman" w:cs="Times New Roman"/>
          <w:color w:val="000000"/>
          <w:sz w:val="24"/>
        </w:rPr>
        <w:t xml:space="preserve">an di chuyển đến các tỉnh lân cận và thủ đô. Cảng hàng không quốc tế Cát Bi được mở rộng, đón hàng triệu lượt khách mỗi năm. Hệ thống cầu vượt biển, cầu Tân Vũ – Lạch Huyện kết nối khu vực kinh tế trọng điểm, tạo điều kiện thuận lợi cho giao thương và du l</w:t>
      </w:r>
      <w:r>
        <w:rPr>
          <w:rFonts w:ascii="Times New Roman" w:hAnsi="Times New Roman" w:eastAsia="Times New Roman" w:cs="Times New Roman"/>
          <w:color w:val="000000"/>
          <w:sz w:val="24"/>
        </w:rPr>
        <w:t xml:space="preserve">ịch. Sự hoàn thiện của hạ tầng này là yếu tố then chốt thúc đẩy giá trị bất động sản Hải Phòng tăng trưởng.</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Chính Sách Thu Hút Đầu Tư Và Quy Hoạch Đô Thị</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Chính quyền Hải Phòng có nhiều chính sách ưu đãi, thông thoáng nhằm thu hút các nhà đầu tư lớn vào lĩnh vực công nghiệp, dịch vụ và đô thị. Quy hoạch tổng thể phát triển kinh tế – xã hội của thành phố đến năm 2030, tầm nhìn 2045, định hướng Hải Phòng trở </w:t>
      </w:r>
      <w:r>
        <w:rPr>
          <w:rFonts w:ascii="Times New Roman" w:hAnsi="Times New Roman" w:eastAsia="Times New Roman" w:cs="Times New Roman"/>
          <w:color w:val="000000"/>
          <w:sz w:val="24"/>
        </w:rPr>
        <w:t xml:space="preserve">thành đô thị thông minh, hiện đại, có bản sắc. Việc đẩy mạnh xây dựng các khu đô thị mới, nâng cấp cơ sở vật chất, phát triển du lịch sinh thái đã mở ra nhiều cơ hội cho các dự án nhà ở Hải Phòng, đặc biệt là các phân khúc cao cấp và khu nghỉ dưỡng.</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r>
      <w:r>
        <w:rPr>
          <w:rFonts w:ascii="Times New Roman" w:hAnsi="Times New Roman" w:eastAsia="Times New Roman" w:cs="Times New Roman"/>
          <w:b/>
          <w:color w:val="000000"/>
          <w:sz w:val="24"/>
        </w:rPr>
        <w:t xml:space="preserve">Kết Luận</w:t>
      </w: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0" w:left="0"/>
        <w:jc w:val="both"/>
        <w:rPr/>
      </w:pPr>
      <w:r>
        <w:rPr>
          <w:rFonts w:ascii="Times New Roman" w:hAnsi="Times New Roman" w:eastAsia="Times New Roman" w:cs="Times New Roman"/>
          <w:color w:val="000000"/>
          <w:sz w:val="24"/>
        </w:rPr>
        <w:tab/>
        <w:t xml:space="preserve">Với vị trí chiến lược, hạ tầng đồng bộ và chính sách thu hút đầu tư hiệu quả, dự án bất động sản Thành Phố Hải Phòng đang đứng trước một giai đoạn phát triển đầy hứa hẹn. Từ các khu đô thị hiện đại đến những dự án nghỉ dưỡng đẳng cấp, thị trường nhà đất H</w:t>
      </w:r>
      <w:r>
        <w:rPr>
          <w:rFonts w:ascii="Times New Roman" w:hAnsi="Times New Roman" w:eastAsia="Times New Roman" w:cs="Times New Roman"/>
          <w:color w:val="000000"/>
          <w:sz w:val="24"/>
        </w:rPr>
        <w:t xml:space="preserve">ải Phòng mang đến đa dạng lựa chọn cho cả người mua ở thực và nhà đầu tư. Cơ hội sở hữu một bất động sản tại thành phố cảng không chỉ là một quyết định an cư mà còn là sự kết nối với tiềm năng tăng trưởng mạnh mẽ của một trong những trung tâm kinh tế hàng </w:t>
      </w:r>
      <w:r>
        <w:rPr>
          <w:rFonts w:ascii="Times New Roman" w:hAnsi="Times New Roman" w:eastAsia="Times New Roman" w:cs="Times New Roman"/>
          <w:color w:val="000000"/>
          <w:sz w:val="24"/>
        </w:rPr>
        <w:t xml:space="preserve">đầu Việt Nam. Khám phá thêm các cơ hội tại SummerLand để không bỏ lỡ những thông tin giá trị.</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w:t>
      </w:r>
      <w:hyperlink r:id="rId17" w:tooltip="https://summerland.com.vn/tong-quan-tiem-nang-du-an-bat-dong-san-thanh-pho-hai-phong" w:history="1">
        <w:r>
          <w:rPr>
            <w:rStyle w:val="1020"/>
            <w:rFonts w:ascii="Times New Roman" w:hAnsi="Times New Roman" w:eastAsia="Times New Roman" w:cs="Times New Roman"/>
            <w:i/>
            <w:color w:val="000000"/>
            <w:sz w:val="24"/>
            <w:u w:val="none"/>
          </w:rPr>
          <w:t xml:space="preserve"> Tổng Quan Tiềm Năng Dự Án Bất Động Sản Thành Phố Hải Phòng - Mũi Né SummerLand</w:t>
        </w:r>
      </w:hyperlink>
      <w:r>
        <w:rPr>
          <w:rFonts w:ascii="Times New Roman" w:hAnsi="Times New Roman" w:eastAsia="Times New Roman" w:cs="Times New Roman"/>
          <w:i/>
          <w:color w:val="000000"/>
          <w:sz w:val="24"/>
        </w:rPr>
        <w:t xml:space="preserve">)</w:t>
      </w:r>
      <w:r>
        <w:rPr>
          <w:i/>
          <w:iCs/>
          <w:lang w:val="pt-BR"/>
        </w:rPr>
      </w:r>
      <w:r>
        <w:rPr>
          <w:bCs/>
          <w:i/>
          <w:lang w:val="pt-BR"/>
        </w:rPr>
      </w:r>
    </w:p>
    <w:p>
      <w:pPr>
        <w:pStyle w:val="1030"/>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r>
            <w:r>
              <w:rPr>
                <w:rFonts w:ascii="Times New Roman" w:hAnsi="Times New Roman" w:eastAsia="Times New Roman" w:cs="Times New Roman"/>
                <w:b/>
                <w:bCs/>
                <w:color w:val="000000"/>
                <w:sz w:val="24"/>
              </w:rPr>
              <w:t xml:space="preserve">Quyền sử dụng đất và tài sản gắn liền với đất tại thửa đất số: 44-1, tờ bản đồ số: 3-1, địa chỉ: Tổ dân phố Đoạn Xá 9, phường Đông Hải 1, quận Hải An, thành phố Hải Phòng (</w:t>
            </w:r>
            <w:r>
              <w:rPr>
                <w:rFonts w:ascii="Times New Roman" w:hAnsi="Times New Roman" w:eastAsia="Times New Roman" w:cs="Times New Roman"/>
                <w:b/>
                <w:bCs/>
                <w:i/>
                <w:iCs/>
                <w:color w:val="000000"/>
                <w:sz w:val="24"/>
              </w:rPr>
              <w:t xml:space="preserve">nay là phường Đông Hải, thành phố Hải Phòng</w:t>
            </w:r>
            <w:r>
              <w:rPr>
                <w:rFonts w:ascii="Times New Roman" w:hAnsi="Times New Roman" w:eastAsia="Times New Roman" w:cs="Times New Roman"/>
                <w:b/>
                <w:bCs/>
                <w:color w:val="000000"/>
                <w:sz w:val="24"/>
              </w:rPr>
              <w:t xml:space="preserve">) theo Giấy chứng nhận quyền sử dụng đấ</w:t>
            </w:r>
            <w:r>
              <w:rPr>
                <w:rFonts w:ascii="Times New Roman" w:hAnsi="Times New Roman" w:eastAsia="Times New Roman" w:cs="Times New Roman"/>
                <w:b/>
                <w:bCs/>
                <w:color w:val="000000"/>
                <w:sz w:val="24"/>
              </w:rPr>
              <w:t xml:space="preserve">t, quyền sở hữu nhà ở và tài sản khác gắn liền với đất số: CU 451880, số vào sổ cấp GCN: CH.06864 do UBND quận Hải An cấp ngày 21/4/2020 cho Bà Phạm Thị Thu Giang</w:t>
            </w:r>
            <w:r>
              <w:rPr>
                <w:b/>
                <w:bCs/>
                <w:i/>
                <w:iCs/>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44-1</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Tờ bản đồ số:</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3-1</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Tổ dân phố Đoạn Xá 9, phường Đông Hải 1, quận Hải An, thành phố Hải Phòng </w:t>
            </w:r>
            <w:r>
              <w:rPr>
                <w:rFonts w:ascii="Times New Roman" w:hAnsi="Times New Roman" w:eastAsia="Times New Roman" w:cs="Times New Roman"/>
                <w:i/>
                <w:iCs/>
                <w:color w:val="000000"/>
                <w:sz w:val="24"/>
              </w:rPr>
              <w:t xml:space="preserve">(nay là phường Đông Hải, thành phố Hải Phòng</w:t>
            </w:r>
            <w:r>
              <w:rPr>
                <w:rFonts w:ascii="Times New Roman" w:hAnsi="Times New Roman" w:eastAsia="Times New Roman" w:cs="Times New Roman"/>
                <w:color w:val="000000"/>
                <w:sz w:val="24"/>
              </w:rPr>
              <w:t xml:space="preserve">)</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80,0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Nhận chuyển nhượng đất được Nhà nước giao đất có thu tiền sử dụng đất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bCs/>
                <w:i/>
              </w:rPr>
            </w:pPr>
            <w:r>
              <w:rPr>
                <w:rFonts w:ascii="Times New Roman" w:hAnsi="Times New Roman" w:eastAsia="Times New Roman" w:cs="Times New Roman"/>
                <w:i/>
                <w:iCs/>
                <w:color w:val="000000"/>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 vị </w:t>
            </w:r>
            <w:r>
              <w:rPr>
                <w:rFonts w:ascii="Times New Roman" w:hAnsi="Times New Roman" w:eastAsia="Times New Roman" w:cs="Times New Roman"/>
                <w:i/>
                <w:iCs/>
                <w:color w:val="000000"/>
                <w:sz w:val="24"/>
              </w:rPr>
              <w:t xml:space="preserve">trí tài sản thuộc quy hoạch đất ở.</w:t>
            </w:r>
            <w:r>
              <w:rPr>
                <w:i/>
                <w:iCs/>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eastAsia="Times New Roman" w:cs="Times New Roman"/>
                <w:color w:val="000000"/>
                <w:sz w:val="24"/>
              </w:rPr>
            </w:pPr>
            <w:r>
              <w:rPr>
                <w:rFonts w:ascii="Times New Roman" w:hAnsi="Times New Roman" w:eastAsia="Times New Roman" w:cs="Times New Roman"/>
                <w:color w:val="000000"/>
                <w:sz w:val="24"/>
              </w:rPr>
            </w:r>
            <w:r>
              <mc:AlternateContent>
                <mc:Choice Requires="wpg">
                  <w:drawing>
                    <wp:inline xmlns:wp="http://schemas.openxmlformats.org/drawingml/2006/wordprocessingDrawing" distT="0" distB="0" distL="0" distR="0">
                      <wp:extent cx="5498433" cy="2747049"/>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415828" name=""/>
                              <pic:cNvPicPr>
                                <a:picLocks noChangeAspect="1"/>
                              </pic:cNvPicPr>
                              <pic:nvPr/>
                            </pic:nvPicPr>
                            <pic:blipFill rotWithShape="1">
                              <a:blip r:embed="rId18"/>
                              <a:stretch/>
                            </pic:blipFill>
                            <pic:spPr bwMode="auto">
                              <a:xfrm flipH="0" flipV="0">
                                <a:off x="0" y="0"/>
                                <a:ext cx="5498433" cy="2747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2.95pt;height:216.30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r>
            <w:r>
              <w:rPr>
                <w:rFonts w:ascii="Times New Roman" w:hAnsi="Times New Roman" w:eastAsia="Times New Roman" w:cs="Times New Roman"/>
                <w:color w:val="000000"/>
                <w:sz w:val="24"/>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Đường nhựa</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Tiếp giáp 01 mặt tiền</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4,5m + vỉa hè</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Mặt cắt đường/ngõ trước mặt tài sản thẩm định giá (m):</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4,5m + vỉa hè</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both"/>
              <w:rPr/>
            </w:pPr>
            <w:r>
              <w:rPr>
                <w:rFonts w:ascii="Times New Roman" w:hAnsi="Times New Roman" w:eastAsia="Times New Roman" w:cs="Times New Roman"/>
                <w:color w:val="000000"/>
                <w:sz w:val="24"/>
              </w:rPr>
              <w:t xml:space="preserve">Tài sản cách đường Lê Thánh Tông khoảng 100m.</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u w:val="none"/>
              </w:rPr>
              <w:t xml:space="preserve">+ Hướng Bắc: Tiếp giáp đường giao thông;</w:t>
            </w:r>
            <w:r/>
          </w:p>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Các hướng khác: Tiếp giáp thửa đất khác.</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20.864194444444</w:t>
            </w:r>
            <w:r>
              <w:rPr>
                <w:color w:val="000000"/>
              </w:rPr>
              <w:t xml:space="preserve">, </w:t>
            </w:r>
            <w:r>
              <w:rPr>
                <w:color w:val="000000"/>
              </w:rPr>
              <w:t xml:space="preserve">106.71405555556</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5438501"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flipH="0" flipV="0">
                                <a:off x="0" y="0"/>
                                <a:ext cx="5438500"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8.23pt;height:200.00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80,0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4,0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Chiều sâu (m): </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20,0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Hình chữ nhật</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Hướng: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Bắc</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Cao/đông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Trung bình</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4"/>
              </w:rPr>
              <w:t xml:space="preserve">Tốt</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Nhà 04 tầng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u w:val="none"/>
              </w:rPr>
              <w:t xml:space="preserve">Tại thời điểm khảo sát, trên đất có công trình nhà 04 tầng, kết cấu BTCT, tường xây gạch chịu lực, sàn lát gạch men, diện tích xây dựng 60m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u w:val="none"/>
              </w:rPr>
              <w:t xml:space="preserve">, diện tích sàn xây dựng 223,88m</w:t>
            </w:r>
            <w:r>
              <w:rPr>
                <w:rFonts w:ascii="Times New Roman" w:hAnsi="Times New Roman" w:eastAsia="Times New Roman" w:cs="Times New Roman"/>
                <w:color w:val="000000"/>
                <w:sz w:val="20"/>
                <w:vertAlign w:val="superscript"/>
              </w:rPr>
              <w:t xml:space="preserve">2</w:t>
            </w:r>
            <w:r>
              <w:rPr>
                <w:rFonts w:ascii="Times New Roman" w:hAnsi="Times New Roman" w:eastAsia="Times New Roman" w:cs="Times New Roman"/>
                <w:color w:val="000000"/>
                <w:sz w:val="24"/>
                <w:u w:val="none"/>
              </w:rPr>
              <w:t xml:space="preserve">, công trình được xây dựng năm 2019, ngoại quan khá. Công trình này khác công trình được chứng nhận trên GCN số </w:t>
            </w:r>
            <w:r>
              <w:rPr>
                <w:rFonts w:ascii="Times New Roman" w:hAnsi="Times New Roman" w:eastAsia="Times New Roman" w:cs="Times New Roman"/>
                <w:color w:val="000000"/>
                <w:spacing w:val="3"/>
                <w:sz w:val="24"/>
              </w:rPr>
              <w:t xml:space="preserve">CU 451880</w:t>
            </w:r>
            <w:r>
              <w:rPr>
                <w:rFonts w:ascii="Times New Roman" w:hAnsi="Times New Roman" w:eastAsia="Times New Roman" w:cs="Times New Roman"/>
                <w:color w:val="000000"/>
                <w:sz w:val="24"/>
                <w:u w:val="none"/>
              </w:rPr>
              <w:t xml:space="preserve">.</w:t>
            </w:r>
            <w:r>
              <w:rPr>
                <w:color w:val="000000"/>
              </w:rPr>
            </w:r>
            <w:r>
              <w:rPr>
                <w:color w:val="000000"/>
              </w:rPr>
            </w:r>
          </w:p>
        </w:tc>
      </w:tr>
    </w:tbl>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both"/>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0"/>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0"/>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0"/>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30"/>
        <w:numPr>
          <w:ilvl w:val="0"/>
          <w:numId w:val="3"/>
        </w:numPr>
        <w:pBdr/>
        <w:tabs>
          <w:tab w:val="left" w:leader="none" w:pos="993"/>
        </w:tabs>
        <w:spacing w:after="120" w:before="120" w:line="264" w:lineRule="auto"/>
        <w:ind/>
        <w:jc w:val="both"/>
        <w:rPr>
          <w:spacing w:val="-2"/>
          <w:lang w:val="pt-BR"/>
        </w:rPr>
      </w:pPr>
      <w:r>
        <w:rPr>
          <w:highlight w:val="none"/>
          <w:lang w:val="pt-BR" w:bidi="pt-BR"/>
        </w:rPr>
      </w:r>
      <w:r>
        <w:rPr>
          <w:rFonts w:ascii="Times New Roman" w:hAnsi="Times New Roman" w:eastAsia="Times New Roman" w:cs="Times New Roman"/>
          <w:color w:val="000000"/>
          <w:sz w:val="24"/>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xác định vị trí tà</w:t>
      </w:r>
      <w:r>
        <w:rPr>
          <w:rFonts w:ascii="Times New Roman" w:hAnsi="Times New Roman" w:eastAsia="Times New Roman" w:cs="Times New Roman"/>
          <w:color w:val="000000"/>
          <w:sz w:val="24"/>
        </w:rPr>
        <w:t xml:space="preserve">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 nhận rõ t</w:t>
      </w:r>
      <w:r>
        <w:rPr>
          <w:rFonts w:ascii="Times New Roman" w:hAnsi="Times New Roman" w:eastAsia="Times New Roman" w:cs="Times New Roman"/>
          <w:color w:val="000000"/>
          <w:sz w:val="24"/>
        </w:rPr>
        <w:t xml:space="preserve">ình trạng quy hoạch thì kết quả thẩm định giá cần được xem xét, điều chỉnh phù hợp, đồng thời chúng tôi bảo lưu quyền xem xét lại kết quả thẩm định giá</w:t>
      </w:r>
      <w:r>
        <w:rPr>
          <w:highlight w:val="none"/>
          <w:lang w:val="pt-BR"/>
        </w:rPr>
        <w:t xml:space="preserve">.</w:t>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0"/>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0"/>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0"/>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0"/>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0"/>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30"/>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30"/>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0"/>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0"/>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30"/>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0"/>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30"/>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0"/>
        <w:numPr>
          <w:ilvl w:val="0"/>
          <w:numId w:val="6"/>
        </w:numPr>
        <w:pBdr/>
        <w:tabs>
          <w:tab w:val="left" w:leader="none" w:pos="720"/>
        </w:tabs>
        <w:spacing w:after="120" w:before="120" w:line="276" w:lineRule="auto"/>
        <w:ind w:left="360"/>
        <w:jc w:val="both"/>
        <w:rPr>
          <w:b/>
          <w:bCs/>
          <w:lang w:val="nl-NL"/>
        </w:rPr>
      </w:pPr>
      <w:r>
        <w:rPr>
          <w:b/>
          <w:lang w:val="nl-NL"/>
        </w:rPr>
        <w:t xml:space="preserve">Thông tin tài sản so sánh:</w:t>
      </w:r>
      <w:r>
        <w:rPr>
          <w:b/>
          <w:lang w:val="nl-NL"/>
        </w:rPr>
      </w:r>
      <w:r>
        <w:rPr>
          <w:b/>
          <w:bCs/>
          <w:lang w:val="nl-NL"/>
        </w:rPr>
      </w:r>
      <w:r>
        <w:rPr>
          <w:b/>
          <w:lang w:val="nl-NL"/>
        </w:rP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560"/>
        <w:gridCol w:w="1878"/>
        <w:gridCol w:w="1807"/>
        <w:gridCol w:w="1807"/>
        <w:gridCol w:w="1807"/>
        <w:gridCol w:w="1807"/>
      </w:tblGrid>
      <w:tr>
        <w:trPr>
          <w:trHeight w:val="288"/>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Đông Hải, thành phố Hải Phòng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Đông Hải, thành phố Hải Phòng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Đông Hải, thành phố Hải Phòng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Phường Đông Hải, thành phố Hải Phòng</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https://www.facebook.com/groups/1244393759013603/permalink/25912870331739270/</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https://www.facebook.com/share/p/1FAQVQHJsn/</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https://www.facebook.com/share/p/19UQ7zmQ64/</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r/>
          </w:p>
        </w:tc>
        <w:tc>
          <w:tcPr>
            <w:tcBorders>
              <w:bottom w:val="single" w:color="000000" w:sz="8" w:space="0"/>
              <w:right w:val="single" w:color="000000" w:sz="8" w:space="0"/>
            </w:tcBorders>
            <w:tcMar>
              <w:left w:w="108" w:type="dxa"/>
              <w:top w:w="0" w:type="dxa"/>
              <w:right w:w="108" w:type="dxa"/>
              <w:bottom w:w="0" w:type="dxa"/>
            </w:tcMar>
            <w:tcW w:w="187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r/>
          </w:p>
        </w:tc>
        <w:tc>
          <w:tcPr>
            <w:tcBorders>
              <w:bottom w:val="single" w:color="000000" w:sz="8" w:space="0"/>
              <w:right w:val="single" w:color="000000" w:sz="8" w:space="0"/>
            </w:tcBorders>
            <w:tcMar>
              <w:left w:w="108" w:type="dxa"/>
              <w:top w:w="0" w:type="dxa"/>
              <w:right w:w="108" w:type="dxa"/>
              <w:bottom w:w="0" w:type="dxa"/>
            </w:tcMar>
            <w:tcW w:w="1807" w:type="dxa"/>
            <w:vAlign w:val="center"/>
            <w:vMerge w:val="restart"/>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0862.219799</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0987.445576</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0392.150681</w:t>
            </w:r>
            <w:r/>
            <w:r/>
          </w:p>
        </w:tc>
      </w:tr>
      <w:tr>
        <w:trPr>
          <w:trHeight w:val="288"/>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tcBorders>
              <w:bottom w:val="single" w:color="000000" w:sz="8" w:space="0"/>
              <w:right w:val="single" w:color="000000" w:sz="8" w:space="0"/>
            </w:tcBorders>
            <w:vMerge w:val="continue"/>
            <w:textDirection w:val="lrTb"/>
            <w:noWrap w:val="false"/>
          </w:tcPr>
          <w:p>
            <w:pPr>
              <w:pBdr/>
              <w:spacing/>
              <w:ind/>
              <w:rPr/>
            </w:pPr>
            <w:r/>
            <w:r/>
            <w:r/>
          </w:p>
        </w:tc>
        <w:tc>
          <w:tcPr>
            <w:tcBorders>
              <w:bottom w:val="single" w:color="000000" w:sz="8" w:space="0"/>
              <w:right w:val="single" w:color="000000" w:sz="8" w:space="0"/>
            </w:tcBorders>
            <w:vMerge w:val="continue"/>
            <w:textDirection w:val="lrTb"/>
            <w:noWrap w:val="false"/>
          </w:tcPr>
          <w:p>
            <w:pPr>
              <w:pBdr/>
              <w:spacing/>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(Sale Sale Nga)</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(Sale Biên)</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(Sale Chang Nhà đất)</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Đang giao dịch</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6/2026</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6/2026</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Tháng 6/2026</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Giao dịch bình thường trên thị trường</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Lê Thánh Tông khoảng 100m</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nằm tại mặt đường Phương Lưu, phường Đông Hải, thành phố Hải Phòng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Vạn Mỹ khoảng 20m</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cách đường Vạn Mỹ khoảng 60m</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4,5</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w:t>
              <w:br/>
              <w:t xml:space="preserve">  (m²)</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80,0</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69,7</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74,0</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61,0</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4,34</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3 mặt tiền</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1 mặt tiền</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Hình chữ nhật</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Cảnh quan</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View khu dân cư</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View khu dân cư</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View khu dân cư</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View khu dân cư</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16</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Tài sản đối diện chùa Phương Lưu</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Không</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Hạ tầng khu dân cư thông thường: Hệ thống cấp điện, cấp thoát nước đầy đủ</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4 tầng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Nhà 4 tầng</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4,0</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0,0</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200,0</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244,0</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4.739.600.000</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6.250.000.000</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6.169.000.000</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4.170.848.000</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5.625.000.000</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5.552.100.000</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i/>
                <w:iCs/>
                <w:color w:val="000000"/>
                <w:sz w:val="22"/>
              </w:rPr>
              <w:t xml:space="preserve">-</w:t>
            </w:r>
            <w:r>
              <w:rPr>
                <w:i/>
                <w:iCs/>
              </w:rPr>
            </w:r>
            <w:r>
              <w:rPr>
                <w:i/>
                <w:iCs/>
              </w:rP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i/>
                <w:iCs/>
                <w:color w:val="000000"/>
                <w:sz w:val="22"/>
              </w:rPr>
              <w:t xml:space="preserve">1.643.414.880</w:t>
            </w:r>
            <w:r>
              <w:rPr>
                <w:i/>
                <w:iCs/>
              </w:rPr>
            </w:r>
            <w:r>
              <w:rPr>
                <w:i/>
                <w:iCs/>
              </w:rP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i/>
                <w:iCs/>
                <w:color w:val="000000"/>
                <w:sz w:val="22"/>
              </w:rPr>
              <w:t xml:space="preserve">1.867.185.161</w:t>
            </w:r>
            <w:r>
              <w:rPr>
                <w:i/>
                <w:iCs/>
              </w:rPr>
            </w:r>
            <w:r>
              <w:rPr>
                <w:i/>
                <w:iCs/>
              </w:rP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425/QĐ-BXD năm 2026 của Bộ Xây Dựng (đồng/m²)</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i/>
                <w:iCs/>
                <w:color w:val="000000"/>
                <w:sz w:val="22"/>
              </w:rPr>
              <w:t xml:space="preserve">-</w:t>
            </w:r>
            <w:r>
              <w:rPr>
                <w:i/>
                <w:iCs/>
              </w:rPr>
            </w:r>
            <w:r>
              <w:rPr>
                <w:i/>
                <w:iCs/>
              </w:rP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i/>
                <w:iCs/>
                <w:color w:val="000000"/>
                <w:sz w:val="22"/>
              </w:rPr>
              <w:t xml:space="preserve">8.649.552</w:t>
            </w:r>
            <w:r>
              <w:rPr>
                <w:i/>
                <w:iCs/>
              </w:rPr>
            </w:r>
            <w:r>
              <w:rPr>
                <w:i/>
                <w:iCs/>
              </w:rP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i/>
                <w:iCs/>
                <w:color w:val="000000"/>
                <w:sz w:val="22"/>
              </w:rPr>
              <w:t xml:space="preserve">8.055.156</w:t>
            </w:r>
            <w:r>
              <w:rPr>
                <w:i/>
                <w:iCs/>
              </w:rPr>
            </w:r>
            <w:r>
              <w:rPr>
                <w:i/>
                <w:iCs/>
              </w:rP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Tỷ lệ % CLCL</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i/>
                <w:iCs/>
                <w:color w:val="000000"/>
                <w:sz w:val="22"/>
              </w:rPr>
              <w:t xml:space="preserve">0%</w:t>
            </w:r>
            <w:r>
              <w:rPr>
                <w:i/>
                <w:iCs/>
              </w:rPr>
            </w:r>
            <w:r>
              <w:rPr>
                <w:i/>
                <w:iCs/>
              </w:rP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i/>
                <w:iCs/>
                <w:color w:val="000000"/>
                <w:sz w:val="22"/>
              </w:rPr>
              <w:t xml:space="preserve">95%</w:t>
            </w:r>
            <w:r>
              <w:rPr>
                <w:i/>
                <w:iCs/>
              </w:rPr>
            </w:r>
            <w:r>
              <w:rPr>
                <w:i/>
                <w:iCs/>
              </w:rP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Cs/>
                <w:i/>
              </w:rPr>
            </w:pPr>
            <w:r>
              <w:rPr>
                <w:rFonts w:ascii="Times New Roman" w:hAnsi="Times New Roman" w:eastAsia="Times New Roman" w:cs="Times New Roman"/>
                <w:i/>
                <w:iCs/>
                <w:color w:val="000000"/>
                <w:sz w:val="22"/>
              </w:rPr>
              <w:t xml:space="preserve">95%</w:t>
            </w:r>
            <w:r>
              <w:rPr>
                <w:i/>
                <w:iCs/>
              </w:rPr>
            </w:r>
            <w:r>
              <w:rPr>
                <w:i/>
                <w:iCs/>
              </w:rP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ở (đồng)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4.170.848.000</w:t>
            </w:r>
            <w:r>
              <w:rPr>
                <w:b/>
                <w:bCs/>
              </w:rPr>
            </w:r>
            <w:r>
              <w:rPr>
                <w:b/>
                <w:bCs/>
              </w:rP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3.981.585.120</w:t>
            </w:r>
            <w:r>
              <w:rPr>
                <w:b/>
                <w:bCs/>
              </w:rPr>
            </w:r>
            <w:r>
              <w:rPr>
                <w:b/>
                <w:bCs/>
              </w:rP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3.684.914.839</w:t>
            </w:r>
            <w:r>
              <w:rPr>
                <w:b/>
                <w:bCs/>
              </w:rPr>
            </w:r>
            <w:r>
              <w:rPr>
                <w:b/>
                <w:bCs/>
              </w:rP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3</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59.840.000</w:t>
            </w:r>
            <w:r>
              <w:rPr>
                <w:b/>
                <w:bCs/>
              </w:rPr>
            </w:r>
            <w:r>
              <w:rPr>
                <w:b/>
                <w:bCs/>
              </w:rP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53.805.204</w:t>
            </w:r>
            <w:r>
              <w:rPr>
                <w:b/>
                <w:bCs/>
              </w:rPr>
            </w:r>
            <w:r>
              <w:rPr>
                <w:b/>
                <w:bCs/>
              </w:rP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b/>
                <w:bCs/>
              </w:rPr>
            </w:pPr>
            <w:r>
              <w:rPr>
                <w:rFonts w:ascii="Times New Roman" w:hAnsi="Times New Roman" w:eastAsia="Times New Roman" w:cs="Times New Roman"/>
                <w:b/>
                <w:bCs/>
                <w:color w:val="000000"/>
                <w:sz w:val="22"/>
              </w:rPr>
              <w:t xml:space="preserve">60.408.440</w:t>
            </w:r>
            <w:r>
              <w:rPr>
                <w:b/>
                <w:bCs/>
              </w:rPr>
            </w:r>
            <w:r>
              <w:rPr>
                <w:b/>
                <w:bCs/>
              </w:rP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t xml:space="preserve">1</w:t>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t xml:space="preserve">2</w:t>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t xml:space="preserve">3</w:t>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w:t>
              <w:br/>
              <w:t xml:space="preserve">  (m²)</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t xml:space="preserve">4</w:t>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t xml:space="preserve">5</w:t>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Lợi thế hơn</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t xml:space="preserve">6</w:t>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r/>
          </w:p>
        </w:tc>
      </w:tr>
      <w:tr>
        <w:trPr>
          <w:trHeight w:val="288"/>
        </w:trPr>
        <w:tc>
          <w:tcPr>
            <w:tcBorders>
              <w:left w:val="single" w:color="000000" w:sz="8" w:space="0"/>
              <w:bottom w:val="single" w:color="000000" w:sz="8" w:space="0"/>
              <w:right w:val="single" w:color="000000" w:sz="8" w:space="0"/>
            </w:tcBorders>
            <w:tcMar>
              <w:left w:w="108" w:type="dxa"/>
              <w:top w:w="0" w:type="dxa"/>
              <w:right w:w="108" w:type="dxa"/>
              <w:bottom w:w="0" w:type="dxa"/>
            </w:tcMar>
            <w:tcW w:w="560"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t xml:space="preserve">7</w:t>
            </w:r>
            <w:r/>
          </w:p>
        </w:tc>
        <w:tc>
          <w:tcPr>
            <w:tcBorders>
              <w:bottom w:val="single" w:color="000000" w:sz="8" w:space="0"/>
              <w:right w:val="single" w:color="000000" w:sz="8" w:space="0"/>
            </w:tcBorders>
            <w:tcMar>
              <w:left w:w="108" w:type="dxa"/>
              <w:top w:w="0" w:type="dxa"/>
              <w:right w:w="108" w:type="dxa"/>
              <w:bottom w:w="0" w:type="dxa"/>
            </w:tcMar>
            <w:tcW w:w="1878"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Yếu tố khác</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spacing w:after="0" w:before="0" w:line="240" w:lineRule="auto"/>
              <w:ind/>
              <w:rPr/>
            </w:pPr>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r/>
          </w:p>
        </w:tc>
        <w:tc>
          <w:tcPr>
            <w:tcBorders>
              <w:bottom w:val="single" w:color="000000" w:sz="8" w:space="0"/>
              <w:right w:val="single" w:color="000000" w:sz="8" w:space="0"/>
            </w:tcBorders>
            <w:tcMar>
              <w:left w:w="108" w:type="dxa"/>
              <w:top w:w="0" w:type="dxa"/>
              <w:right w:w="108" w:type="dxa"/>
              <w:bottom w:w="0" w:type="dxa"/>
            </w:tcMar>
            <w:tcW w:w="1807" w:type="dxa"/>
            <w:vAlign w:val="center"/>
            <w:textDirection w:val="lrTb"/>
            <w:noWrap w:val="false"/>
          </w:tcPr>
          <w:p>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0"/>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69"/>
        <w:gridCol w:w="1908"/>
        <w:gridCol w:w="1100"/>
        <w:gridCol w:w="1508"/>
        <w:gridCol w:w="1508"/>
        <w:gridCol w:w="1508"/>
        <w:gridCol w:w="1508"/>
      </w:tblGrid>
      <w:tr>
        <w:trPr>
          <w:trHeight w:val="432"/>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so sánh</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thẩm định</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1</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2</w:t>
            </w:r>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so sánh 3</w:t>
            </w:r>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4.170.848.000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3.981.585.120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3.684.914.839</w:t>
            </w:r>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59.840.000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53.805.204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60.408.440</w:t>
            </w:r>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spacing w:after="0" w:before="0" w:line="240" w:lineRule="auto"/>
              <w:ind/>
              <w:rPr/>
            </w:pPr>
            <w:r/>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đường Lê Thánh Tông khoảng 100m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nằm tại mặt đường Phương Lưu, phường Đông Hải, thành phố Hải Phòng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đường Vạn Mỹ khoảng 20m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cách đường Vạn Mỹ khoảng 60m</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-2.992.000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56.848.000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53.805.204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60.408.440</w:t>
            </w:r>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4,5</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5,0</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56.848.000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53.805.204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60.408.440</w:t>
            </w:r>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spacing w:after="0" w:before="0" w:line="240" w:lineRule="auto"/>
              <w:ind/>
              <w:rPr/>
            </w:pPr>
            <w:r/>
            <w:r>
              <w:rPr>
                <w:rFonts w:ascii="Times New Roman" w:hAnsi="Times New Roman" w:eastAsia="Times New Roman" w:cs="Times New Roman"/>
                <w:b/>
                <w:color w:val="000000"/>
                <w:sz w:val="22"/>
              </w:rPr>
              <w:t xml:space="preserve"> (m²)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80,0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69,7</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74,0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61,0</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-1.795.200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-1.614.156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-1.812.253</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55.052.800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52.191.048</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58.596.187</w:t>
            </w:r>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pPr>
              <w:pBdr/>
              <w:spacing w:after="0" w:before="0" w:line="240" w:lineRule="auto"/>
              <w:ind/>
              <w:jc w:val="center"/>
              <w:rPr/>
            </w:pPr>
            <w:r/>
            <w:r>
              <w:rPr>
                <w:rFonts w:ascii="Times New Roman" w:hAnsi="Times New Roman" w:eastAsia="Times New Roman" w:cs="Times New Roman"/>
                <w:b/>
                <w:color w:val="000000"/>
                <w:sz w:val="22"/>
              </w:rPr>
              <w:t xml:space="preserve">(m)</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4,34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4,0</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55.052.800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52.191.048</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58.596.187</w:t>
            </w:r>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3 mặt tiền</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1 mặt tiền</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-5.984.000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49.068.800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52.191.048</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58.596.187</w:t>
            </w:r>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Hình chữ nhật</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49.068.800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52.191.048</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58.596.187</w:t>
            </w:r>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9"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Yếu tố khác</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Bình thường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Tài sản đối diện chùa Phương Lưu</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Bình thường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Bình thường</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11.968.000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w:t>
            </w:r>
            <w:r/>
            <w:r/>
          </w:p>
        </w:tc>
      </w:tr>
      <w:tr>
        <w:trPr>
          <w:trHeight w:val="432"/>
        </w:trPr>
        <w:tc>
          <w:tcPr>
            <w:tcBorders>
              <w:left w:val="single" w:color="000000" w:sz="8" w:space="0"/>
              <w:bottom w:val="single" w:color="000000" w:sz="8" w:space="0"/>
              <w:right w:val="single" w:color="000000" w:sz="8" w:space="0"/>
            </w:tcBorders>
            <w:vMerge w:val="continue"/>
            <w:textDirection w:val="lrTb"/>
            <w:noWrap w:val="false"/>
          </w:tcPr>
          <w:p>
            <w:pPr>
              <w:pBdr/>
              <w:spacing/>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61.036.800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52.191.048</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58.596.187</w:t>
            </w:r>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spacing w:after="0" w:before="0" w:line="240" w:lineRule="auto"/>
              <w:ind/>
              <w:rPr/>
            </w:pPr>
            <w:r/>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524"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57.274.678</w:t>
            </w:r>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-8,9%</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2,31%</w:t>
            </w:r>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r/>
          </w:p>
        </w:tc>
        <w:tc>
          <w:tcPr>
            <w:gridSpan w:val="6"/>
            <w:shd w:val="clear" w:color="ffffff" w:fill="ffffff"/>
            <w:tcBorders>
              <w:bottom w:val="single" w:color="000000" w:sz="8" w:space="0"/>
              <w:right w:val="single" w:color="000000" w:sz="8" w:space="0"/>
            </w:tcBorders>
            <w:tcMar>
              <w:left w:w="108" w:type="dxa"/>
              <w:top w:w="0" w:type="dxa"/>
              <w:right w:w="108" w:type="dxa"/>
              <w:bottom w:w="0" w:type="dxa"/>
            </w:tcMar>
            <w:tcW w:w="904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22.739.200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1.614.156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1.812.253</w:t>
            </w:r>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w:t>
            </w:r>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val="false"/>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3-20%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0-3%</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0-3%</w:t>
            </w:r>
            <w:r/>
            <w:r/>
          </w:p>
        </w:tc>
      </w:tr>
      <w:tr>
        <w:trPr>
          <w:trHeight w:val="43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669"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90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100"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spacing w:after="0" w:before="0" w:line="240" w:lineRule="auto"/>
              <w:ind/>
              <w:rPr/>
            </w:pPr>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1.196.800</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(1.614.156)</w:t>
            </w: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08" w:type="dxa"/>
            <w:vAlign w:val="center"/>
            <w:textDirection w:val="lrTb"/>
            <w:noWrap/>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(1.812.253)</w:t>
            </w:r>
            <w:r/>
            <w:r/>
          </w:p>
        </w:tc>
      </w:tr>
    </w:tbl>
    <w:p>
      <w:pPr>
        <w:pBdr/>
        <w:shd w:val="nil" w:color="auto"/>
        <w:spacing/>
        <w:ind/>
        <w:rPr>
          <w:b/>
          <w:bCs/>
          <w:lang w:val="nl-NL"/>
        </w:rPr>
      </w:pPr>
      <w:r>
        <w:rPr>
          <w:b/>
          <w:bCs/>
          <w:lang w:val="nl-NL"/>
        </w:rPr>
      </w:r>
      <w:r>
        <w:rPr>
          <w:b/>
          <w:bCs/>
          <w:lang w:val="nl-NL"/>
        </w:rPr>
      </w:r>
    </w:p>
    <w:p>
      <w:pPr>
        <w:pBdr/>
        <w:spacing w:after="120" w:before="120" w:line="276" w:lineRule="auto"/>
        <w:ind/>
        <w:jc w:val="both"/>
        <w:rPr>
          <w:b/>
          <w:bCs/>
          <w:i/>
          <w:iCs/>
        </w:rPr>
      </w:pPr>
      <w:r>
        <w:rPr>
          <w:i/>
          <w:iCs/>
          <w:u w:val="single"/>
        </w:rPr>
        <w:t xml:space="preserve"> </w:t>
      </w:r>
      <w:r>
        <w:rPr>
          <w:b/>
          <w:bCs/>
          <w:i/>
          <w:iCs/>
          <w:u w:val="single"/>
        </w:rPr>
        <w:t xml:space="preserve">Về 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2,31% đến</w:t>
      </w:r>
      <w:r>
        <w:t xml:space="preserve"> 6,6%,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61.036.800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20.349.669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52.191.048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17.395.276</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58.596.187</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19.530.109</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57.275.054</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57.000.000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57.000.000</w:t>
      </w:r>
      <w:r>
        <w:rPr>
          <w:b/>
          <w:bCs/>
          <w:color w:val="000000" w:themeColor="text1"/>
        </w:rPr>
        <w:t xml:space="preserve"> </w:t>
      </w:r>
      <w:r>
        <w:rPr>
          <w:b/>
          <w:bCs/>
        </w:rPr>
        <w:t xml:space="preserve">đồng/m².</w:t>
      </w:r>
      <w:r>
        <w:rPr>
          <w:b/>
          <w:bCs/>
        </w:rPr>
      </w:r>
      <w:r>
        <w:rPr>
          <w:b/>
          <w:bCs/>
        </w:rPr>
      </w:r>
    </w:p>
    <w:p>
      <w:pPr>
        <w:pStyle w:val="1030"/>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pBdr>
          <w:top w:val="none" w:color="000000" w:sz="4" w:space="0"/>
          <w:left w:val="none" w:color="000000" w:sz="4" w:space="0"/>
          <w:bottom w:val="none" w:color="000000" w:sz="4" w:space="0"/>
          <w:right w:val="none" w:color="000000" w:sz="4" w:space="0"/>
        </w:pBdr>
        <w:spacing w:after="120" w:before="120" w:line="276" w:lineRule="auto"/>
        <w:ind/>
        <w:jc w:val="both"/>
        <w:rPr>
          <w14:ligatures w14:val="none"/>
        </w:rPr>
      </w:pPr>
      <w:r>
        <w:rPr>
          <w:lang w:val="undefined"/>
        </w:rPr>
        <w:t xml:space="preserve">Qua tham khảo thị trường về đơn giá xây dựng mới đối với công trình Nhà 4 tầng, cân nhắc và xem xét với mức độ hoàn thiện của công trình xây dựng hiện có, Tổ thẩm định nhận thấy đơn giá vận dụng theo </w:t>
      </w:r>
      <w:r>
        <w:rPr>
          <w:lang w:val="undefined"/>
        </w:rPr>
        <w:t xml:space="preserve">Đơn giá xây dựng theo Quyết định số 425/QĐ-BXD ngày 30/3/2026 của Bộ Xây dựng</w:t>
      </w:r>
      <w:r>
        <w:rPr>
          <w:lang w:val="undefined"/>
        </w:rPr>
        <w:t xml:space="preserve"> về việc công bố suất vốn đầu tư xây dựng và giá xây dựng tổng hợp bộ phận kết cấu công trình năm 2025 là khá phù hợp với thị trường, theo đó</w:t>
      </w:r>
      <w:r>
        <w:rPr>
          <w:lang w:val="undefined"/>
        </w:rPr>
        <w:t xml:space="preserve">:</w:t>
      </w:r>
      <w:r>
        <w:rPr>
          <w:lang w:val="undefined"/>
        </w:rP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i/>
          <w:color w:val="000000"/>
          <w:spacing w:val="3"/>
          <w:sz w:val="24"/>
          <w:highlight w:val="white"/>
        </w:rPr>
        <w:t xml:space="preserve">“Suất vốn đầu tư </w:t>
      </w:r>
      <w:r>
        <w:rPr>
          <w:rFonts w:ascii="Times New Roman" w:hAnsi="Times New Roman" w:eastAsia="Times New Roman" w:cs="Times New Roman"/>
          <w:i/>
          <w:color w:val="000000"/>
          <w:spacing w:val="3"/>
          <w:sz w:val="24"/>
        </w:rPr>
        <w:t xml:space="preserve">Nhà từ 4 đến 5 tầng, kết cấu khung chịu lực BTCT; tường bao xây gạch; sàn, mái BTCT đổ tại chỗ, không có tầng hầm: Diện tích xây dựng từ 50 - dưới 70m²</w:t>
      </w:r>
      <w:r>
        <w:rPr>
          <w:rFonts w:ascii="Times New Roman" w:hAnsi="Times New Roman" w:eastAsia="Times New Roman" w:cs="Times New Roman"/>
          <w:i/>
          <w:color w:val="000000"/>
          <w:spacing w:val="3"/>
          <w:sz w:val="24"/>
          <w:highlight w:val="white"/>
        </w:rPr>
        <w:t xml:space="preserve"> có đơn giá là </w:t>
      </w:r>
      <w:r>
        <w:rPr>
          <w:rFonts w:ascii="Times New Roman" w:hAnsi="Times New Roman" w:eastAsia="Times New Roman" w:cs="Times New Roman"/>
          <w:b/>
          <w:i/>
          <w:color w:val="000000"/>
          <w:spacing w:val="3"/>
          <w:sz w:val="24"/>
        </w:rPr>
        <w:t xml:space="preserve">8.497.</w:t>
      </w:r>
      <w:r>
        <w:rPr>
          <w:rFonts w:ascii="Times New Roman" w:hAnsi="Times New Roman" w:eastAsia="Times New Roman" w:cs="Times New Roman"/>
          <w:b/>
          <w:i/>
          <w:color w:val="000000"/>
          <w:sz w:val="24"/>
        </w:rPr>
        <w:t xml:space="preserve">000</w:t>
      </w:r>
      <w:r>
        <w:rPr>
          <w:rFonts w:ascii="Times New Roman" w:hAnsi="Times New Roman" w:eastAsia="Times New Roman" w:cs="Times New Roman"/>
          <w:i/>
          <w:color w:val="000000"/>
          <w:spacing w:val="3"/>
          <w:sz w:val="24"/>
        </w:rPr>
        <w:t xml:space="preserve"> </w:t>
      </w:r>
      <w:r>
        <w:rPr>
          <w:rFonts w:ascii="Times New Roman" w:hAnsi="Times New Roman" w:eastAsia="Times New Roman" w:cs="Times New Roman"/>
          <w:i/>
          <w:color w:val="000000"/>
          <w:spacing w:val="3"/>
          <w:sz w:val="24"/>
          <w:highlight w:val="white"/>
        </w:rPr>
        <w:t xml:space="preserve">đồng/m² sàn.</w:t>
      </w:r>
      <w:r/>
    </w:p>
    <w:p>
      <w:pPr>
        <w:pBdr>
          <w:top w:val="none" w:color="000000" w:sz="4" w:space="0"/>
          <w:left w:val="none" w:color="000000" w:sz="4" w:space="0"/>
          <w:bottom w:val="none" w:color="000000" w:sz="4" w:space="0"/>
          <w:right w:val="none" w:color="000000" w:sz="4" w:space="0"/>
        </w:pBdr>
        <w:tabs>
          <w:tab w:val="left" w:leader="none" w:pos="567"/>
        </w:tabs>
        <w:spacing w:after="120" w:before="120" w:line="276" w:lineRule="auto"/>
        <w:ind w:right="0" w:firstLine="284" w:left="0"/>
        <w:jc w:val="both"/>
        <w:rPr/>
      </w:pPr>
      <w:r>
        <w:rPr>
          <w:rFonts w:ascii="Times New Roman" w:hAnsi="Times New Roman" w:eastAsia="Times New Roman" w:cs="Times New Roman"/>
          <w:i/>
          <w:color w:val="000000"/>
          <w:sz w:val="24"/>
          <w:highlight w:val="white"/>
        </w:rPr>
        <w:t xml:space="preserve">Hệ số điều chỉnh vùng cho Suất vốn đầu tư: Thành phố Hà Nội thuộc vùng 2 có hệ số điều chỉnh là 0,948.”</w:t>
      </w:r>
      <w:r/>
    </w:p>
    <w:p>
      <w:pPr>
        <w:pBdr/>
        <w:spacing w:after="120" w:before="120" w:line="276" w:lineRule="auto"/>
        <w:ind w:firstLine="0" w:left="357"/>
        <w:jc w:val="both"/>
        <w:rPr>
          <w:b/>
          <w:bCs/>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(Suất vốn đầu tư) x (Hệ số vùng) = </w:t>
      </w:r>
      <w:r>
        <w:rPr>
          <w:rFonts w:ascii="Times New Roman" w:hAnsi="Times New Roman" w:eastAsia="Times New Roman" w:cs="Times New Roman"/>
          <w:b/>
          <w:i/>
          <w:color w:val="000000"/>
          <w:sz w:val="24"/>
        </w:rPr>
        <w:t xml:space="preserve">8.497.000 </w:t>
      </w:r>
      <w:r>
        <w:rPr>
          <w:rFonts w:ascii="Times New Roman" w:hAnsi="Times New Roman" w:eastAsia="Times New Roman" w:cs="Times New Roman"/>
          <w:i/>
          <w:color w:val="000000"/>
          <w:spacing w:val="3"/>
          <w:sz w:val="24"/>
          <w:highlight w:val="white"/>
        </w:rPr>
        <w:t xml:space="preserve">x 0,948 =</w:t>
      </w:r>
      <w:r>
        <w:rPr>
          <w:rFonts w:ascii="Times New Roman" w:hAnsi="Times New Roman" w:eastAsia="Times New Roman" w:cs="Times New Roman"/>
          <w:b/>
          <w:i/>
          <w:color w:val="000000"/>
          <w:spacing w:val="3"/>
          <w:sz w:val="24"/>
          <w:highlight w:val="white"/>
        </w:rPr>
        <w:t xml:space="preserve"> 8.055.156 đồng/m² sàn.</w:t>
      </w:r>
      <w:r>
        <w:rPr>
          <w:b/>
          <w:bCs/>
          <w:highlight w:val="none"/>
        </w:rPr>
      </w:r>
      <w:r>
        <w:rPr>
          <w:b/>
          <w:bCs/>
        </w:rPr>
      </w:r>
    </w:p>
    <w:p>
      <w:pPr>
        <w:numPr>
          <w:ilvl w:val="0"/>
          <w:numId w:val="40"/>
        </w:numPr>
        <w:pBdr>
          <w:top w:val="none" w:color="000000" w:sz="4" w:space="0"/>
          <w:left w:val="none" w:color="000000" w:sz="4" w:space="0"/>
          <w:bottom w:val="none" w:color="000000" w:sz="4" w:space="0"/>
          <w:right w:val="none" w:color="000000" w:sz="4" w:space="0"/>
        </w:pBdr>
        <w:spacing w:after="0" w:before="120" w:line="276" w:lineRule="auto"/>
        <w:ind/>
        <w:jc w:val="both"/>
        <w:rPr/>
      </w:pPr>
      <w:r>
        <w:rPr>
          <w:rFonts w:ascii="Times New Roman" w:hAnsi="Times New Roman" w:eastAsia="Times New Roman" w:cs="Times New Roman"/>
          <w:b/>
          <w:color w:val="000000"/>
          <w:sz w:val="24"/>
        </w:rPr>
        <w:t xml:space="preserve">Xác định chất lượng còn lại công trình xây dựng</w:t>
      </w: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z w:val="24"/>
        </w:rPr>
        <w:t xml:space="preserve">Phương pháp tổng cộng bao gồm hao mòn chức năng, ngoại biên và vật lý. Qua khảo sát thực tế, tổ thẩm định nhận thấy hao mòn chức năng và hao mòn ngoại biên không đáng kể. Tổ thẩm định tính theo hao mòn vật lý thông qua kết cấu chính theo Văn bản số 1326/BX</w:t>
      </w:r>
      <w:r>
        <w:rPr>
          <w:rFonts w:ascii="Times New Roman" w:hAnsi="Times New Roman" w:eastAsia="Times New Roman" w:cs="Times New Roman"/>
          <w:color w:val="000000"/>
          <w:sz w:val="24"/>
        </w:rPr>
        <w:t xml:space="preserve">D-QLN do Bộ Xây dựng ban hành ngày 08/8/2011 về việc hướng dẫn kiểm kê, đánh giá lại giá trị tài sản cố định là nhà, vật kiến trúc.</w:t>
      </w:r>
      <w:r/>
    </w:p>
    <w:p>
      <w:pPr>
        <w:pBdr>
          <w:top w:val="none" w:color="000000" w:sz="4" w:space="0"/>
          <w:left w:val="none" w:color="000000" w:sz="4" w:space="0"/>
          <w:bottom w:val="none" w:color="000000" w:sz="4" w:space="0"/>
          <w:right w:val="none" w:color="000000" w:sz="4" w:space="0"/>
        </w:pBdr>
        <w:spacing w:after="120" w:before="120" w:line="276" w:lineRule="auto"/>
        <w:ind w:right="0" w:firstLine="425" w:left="0"/>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giá chất lượng còn lại của công trình xây dựng theo công văn Số: 1326/BXD-QLN do Bộ xây dựng ban hành ngày 08/8/2011 về việc hướng dẫn kiểm k</w:t>
      </w:r>
      <w:r>
        <w:rPr>
          <w:rFonts w:ascii="Times New Roman" w:hAnsi="Times New Roman" w:eastAsia="Times New Roman" w:cs="Times New Roman"/>
          <w:color w:val="000000"/>
          <w:sz w:val="24"/>
        </w:rPr>
        <w:t xml:space="preserve">ê, đánh giá lại giá trị tài sản cố định là nhà, vật kiến trúc như sau:</w:t>
      </w:r>
      <w:r/>
    </w:p>
    <w:p>
      <w:pPr>
        <w:pBdr>
          <w:top w:val="none" w:color="000000" w:sz="4" w:space="0"/>
          <w:left w:val="none" w:color="000000" w:sz="4" w:space="0"/>
          <w:bottom w:val="none" w:color="000000" w:sz="4" w:space="0"/>
          <w:right w:val="none" w:color="000000" w:sz="4" w:space="0"/>
        </w:pBdr>
        <w:spacing w:after="120" w:line="276" w:lineRule="auto"/>
        <w:ind w:right="0" w:firstLine="360" w:left="0"/>
        <w:rPr/>
      </w:pPr>
      <w:r>
        <w:rPr>
          <w:rFonts w:ascii="Times New Roman" w:hAnsi="Times New Roman" w:eastAsia="Times New Roman" w:cs="Times New Roman"/>
          <w:color w:val="000000"/>
          <w:sz w:val="24"/>
        </w:rPr>
        <w:t xml:space="preserve">Tỷ lệ chất lượng còn lại của nhà, vật kiến trúc được xác định căn cứ vào tỷ lệ chất lượng còn lại của các kết cấu chính (nếu là nhà thì kết cấu chính gồm: móng, khung, cột, tường, nền, sàn, kết cấu đỡ mái và mái) tạo nên nhà đó và tỷ lệ giá trị của các kết</w:t>
      </w:r>
      <w:r>
        <w:rPr>
          <w:rFonts w:ascii="Times New Roman" w:hAnsi="Times New Roman" w:eastAsia="Times New Roman" w:cs="Times New Roman"/>
          <w:color w:val="000000"/>
          <w:sz w:val="24"/>
        </w:rPr>
        <w:t xml:space="preserve"> cấu chính đó so với tổng giá trị của nhà hoặc vật kiến trúc.</w:t>
      </w:r>
      <w:r/>
    </w:p>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Công thức tính như sau:</w:t>
      </w:r>
      <w:r/>
    </w:p>
    <w:tbl>
      <w:tblPr>
        <w:tblStyle w:val="1034"/>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68"/>
        <w:gridCol w:w="560"/>
        <w:gridCol w:w="700"/>
        <w:gridCol w:w="2864"/>
        <w:gridCol w:w="636"/>
        <w:gridCol w:w="2838"/>
      </w:tblGrid>
      <w:tr>
        <w:trPr/>
        <w:tc>
          <w:tcPr>
            <w:tcBorders/>
            <w:tcMar>
              <w:left w:w="108" w:type="dxa"/>
              <w:top w:w="0" w:type="dxa"/>
              <w:right w:w="108" w:type="dxa"/>
              <w:bottom w:w="0" w:type="dxa"/>
            </w:tcMar>
            <w:tcW w:w="206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chất lượng còn lại của nhà, vật kiến trúc (%)</w:t>
            </w:r>
            <w:r/>
          </w:p>
        </w:tc>
        <w:tc>
          <w:tcPr>
            <w:tcBorders/>
            <w:tcMar>
              <w:left w:w="108" w:type="dxa"/>
              <w:top w:w="0" w:type="dxa"/>
              <w:right w:w="108" w:type="dxa"/>
              <w:bottom w:w="0" w:type="dxa"/>
            </w:tcMar>
            <w:tcW w:w="56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w:t>
            </w:r>
            <w:r/>
          </w:p>
        </w:tc>
        <w:tc>
          <w:tcPr>
            <w:tcBorders>
              <w:bottom w:val="single" w:color="000000" w:sz="8" w:space="0"/>
            </w:tcBorders>
            <w:tcMar>
              <w:left w:w="108" w:type="dxa"/>
              <w:top w:w="0" w:type="dxa"/>
              <w:right w:w="108" w:type="dxa"/>
              <w:bottom w:w="0" w:type="dxa"/>
            </w:tcMar>
            <w:tcW w:w="700" w:type="dxa"/>
            <w:vAlign w:val="center"/>
            <w:textDirection w:val="lrTb"/>
            <w:noWrap w:val="false"/>
          </w:tcPr>
          <w:p>
            <w:pPr>
              <w:pBdr/>
              <w:spacing w:after="0" w:before="0" w:line="240" w:lineRule="auto"/>
              <w:ind/>
              <w:rPr/>
            </w:pPr>
            <w:r/>
            <w:r/>
          </w:p>
        </w:tc>
        <w:tc>
          <w:tcPr>
            <w:tcBorders>
              <w:bottom w:val="single" w:color="000000" w:sz="8" w:space="0"/>
            </w:tcBorders>
            <w:tcMar>
              <w:left w:w="108" w:type="dxa"/>
              <w:top w:w="0" w:type="dxa"/>
              <w:right w:w="108" w:type="dxa"/>
              <w:bottom w:w="0" w:type="dxa"/>
            </w:tcMar>
            <w:tcW w:w="2864"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bottom w:val="single" w:color="000000" w:sz="8" w:space="0"/>
            </w:tcBorders>
            <w:tcMar>
              <w:left w:w="108" w:type="dxa"/>
              <w:top w:w="0" w:type="dxa"/>
              <w:right w:w="108" w:type="dxa"/>
              <w:bottom w:w="0" w:type="dxa"/>
            </w:tcMar>
            <w:tcW w:w="636"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x</w:t>
            </w:r>
            <w:r/>
          </w:p>
        </w:tc>
        <w:tc>
          <w:tcPr>
            <w:tcBorders>
              <w:bottom w:val="single" w:color="000000" w:sz="8" w:space="0"/>
            </w:tcBorders>
            <w:tcMar>
              <w:left w:w="108" w:type="dxa"/>
              <w:top w:w="0" w:type="dxa"/>
              <w:right w:w="108" w:type="dxa"/>
              <w:bottom w:w="0" w:type="dxa"/>
            </w:tcMar>
            <w:tcW w:w="28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w:t>
            </w:r>
            <w:r/>
          </w:p>
        </w:tc>
      </w:tr>
      <w:tr>
        <w:trPr>
          <w:trHeight w:val="500"/>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08" w:type="dxa"/>
              <w:top w:w="0" w:type="dxa"/>
              <w:right w:w="108" w:type="dxa"/>
              <w:bottom w:w="0" w:type="dxa"/>
            </w:tcMar>
            <w:tcW w:w="7038" w:type="dxa"/>
            <w:vAlign w:val="center"/>
            <w:textDirection w:val="lrTb"/>
            <w:noWrap w:val="false"/>
          </w:tcPr>
          <w:p>
            <w:pPr>
              <w:pBdr>
                <w:top w:val="none" w:color="000000" w:sz="4" w:space="0"/>
                <w:left w:val="none" w:color="000000" w:sz="4" w:space="0"/>
                <w:bottom w:val="none" w:color="000000" w:sz="4" w:space="0"/>
                <w:right w:val="none" w:color="000000" w:sz="4" w:space="0"/>
              </w:pBdr>
              <w:spacing w:after="120" w:line="276" w:lineRule="auto"/>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i/>
          <w:color w:val="000000"/>
          <w:sz w:val="24"/>
        </w:rPr>
        <w:t xml:space="preserve">Trong đó:</w:t>
      </w:r>
      <w:r/>
    </w:p>
    <w:p>
      <w:pPr>
        <w:pBdr>
          <w:top w:val="none" w:color="000000" w:sz="4" w:space="0"/>
          <w:left w:val="none" w:color="000000" w:sz="4" w:space="0"/>
          <w:bottom w:val="none" w:color="000000" w:sz="4" w:space="0"/>
          <w:right w:val="none" w:color="000000" w:sz="4" w:space="0"/>
        </w:pBdr>
        <w:spacing w:after="120" w:line="276" w:lineRule="auto"/>
        <w:ind w:right="0" w:firstLine="0" w:left="0"/>
        <w:rPr/>
      </w:pPr>
      <w:r>
        <w:rPr>
          <w:rFonts w:ascii="Times New Roman" w:hAnsi="Times New Roman" w:eastAsia="Times New Roman" w:cs="Times New Roman"/>
          <w:color w:val="000000"/>
          <w:sz w:val="24"/>
        </w:rPr>
        <w:t xml:space="preserve">i: số thứ tự của kết cấu chính</w:t>
      </w:r>
      <w:r/>
    </w:p>
    <w:p>
      <w:pPr>
        <w:pBdr>
          <w:top w:val="none" w:color="000000" w:sz="4" w:space="0"/>
          <w:left w:val="none" w:color="000000" w:sz="4" w:space="0"/>
          <w:bottom w:val="none" w:color="000000" w:sz="4" w:space="0"/>
          <w:right w:val="none" w:color="000000" w:sz="4" w:space="0"/>
        </w:pBdr>
        <w:spacing w:before="120" w:line="276" w:lineRule="auto"/>
        <w:ind w:right="0" w:firstLine="0" w:left="0"/>
        <w:jc w:val="both"/>
        <w:rPr/>
      </w:pPr>
      <w:r>
        <w:rPr>
          <w:rFonts w:ascii="Times New Roman" w:hAnsi="Times New Roman" w:eastAsia="Times New Roman" w:cs="Times New Roman"/>
          <w:color w:val="000000"/>
          <w:sz w:val="24"/>
        </w:rPr>
        <w:t xml:space="preserve">n: số các kết cấu chính.</w:t>
      </w:r>
      <w:r/>
    </w:p>
    <w:p>
      <w:pPr>
        <w:pBdr>
          <w:top w:val="none" w:color="000000" w:sz="4" w:space="0"/>
          <w:left w:val="none" w:color="000000" w:sz="4" w:space="0"/>
          <w:bottom w:val="none" w:color="000000" w:sz="4" w:space="0"/>
          <w:right w:val="none" w:color="000000" w:sz="4" w:space="0"/>
        </w:pBdr>
        <w:spacing w:after="60" w:before="120" w:line="276" w:lineRule="auto"/>
        <w:ind w:right="0" w:firstLine="0" w:left="0"/>
        <w:jc w:val="both"/>
        <w:rPr/>
      </w:pPr>
      <w:r>
        <w:rPr>
          <w:rFonts w:ascii="Times New Roman" w:hAnsi="Times New Roman" w:eastAsia="Times New Roman" w:cs="Times New Roman"/>
          <w:color w:val="000000"/>
          <w:sz w:val="24"/>
        </w:rPr>
        <w:t xml:space="preserve">Căn cứ Công văn số 1326/BXD-QLN của Bộ xây dựng ngày 08/8/2011 về việc hướng dẫn kiểm kê, đánh giá lại giá trị tài sản cố định là nhà, vật kiến trúc</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rPr>
        <w:t xml:space="preserve">Chất lượng còn lại của tài sản được xác định như sau: </w:t>
      </w:r>
      <w:r>
        <w:rPr>
          <w:rFonts w:ascii="Times New Roman" w:hAnsi="Times New Roman" w:eastAsia="Times New Roman" w:cs="Times New Roman"/>
          <w:sz w:val="24"/>
        </w:rPr>
      </w:r>
      <w:r/>
    </w:p>
    <w:tbl>
      <w:tblPr>
        <w:tblStyle w:val="1034"/>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24"/>
        <w:gridCol w:w="3051"/>
        <w:gridCol w:w="1584"/>
        <w:gridCol w:w="1984"/>
        <w:gridCol w:w="1984"/>
      </w:tblGrid>
      <w:tr>
        <w:trPr>
          <w:trHeight w:val="1180"/>
        </w:trPr>
        <w:tc>
          <w:tcPr>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72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TT</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3050"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TÊN KẾT CẤU CHÍNH</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6" w:space="0"/>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Tỷ lệ giá trị còn lại các kết cấu chính (%)</w:t>
            </w:r>
            <w:r/>
          </w:p>
        </w:tc>
      </w:tr>
      <w:tr>
        <w:trPr>
          <w:trHeight w:val="310"/>
        </w:trPr>
        <w:tc>
          <w:tcPr>
            <w:tcBorders>
              <w:left w:val="single" w:color="000000" w:sz="6" w:space="0"/>
              <w:bottom w:val="single" w:color="000000" w:sz="6" w:space="0"/>
              <w:right w:val="single" w:color="000000" w:sz="6" w:space="0"/>
            </w:tcBorders>
            <w:tcMar>
              <w:left w:w="15" w:type="dxa"/>
              <w:top w:w="15" w:type="dxa"/>
              <w:right w:w="15" w:type="dxa"/>
              <w:bottom w:w="0" w:type="dxa"/>
            </w:tcMar>
            <w:tcW w:w="72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i/>
                <w:color w:val="000000"/>
                <w:sz w:val="24"/>
              </w:rPr>
              <w:t xml:space="preserve">a</w:t>
            </w:r>
            <w:r/>
          </w:p>
        </w:tc>
        <w:tc>
          <w:tcPr>
            <w:tcBorders>
              <w:bottom w:val="single" w:color="000000" w:sz="6" w:space="0"/>
              <w:right w:val="single" w:color="000000" w:sz="6" w:space="0"/>
            </w:tcBorders>
            <w:tcMar>
              <w:left w:w="15" w:type="dxa"/>
              <w:top w:w="15" w:type="dxa"/>
              <w:right w:w="15" w:type="dxa"/>
              <w:bottom w:w="0" w:type="dxa"/>
            </w:tcMar>
            <w:tcW w:w="3050"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i/>
                <w:color w:val="000000"/>
                <w:sz w:val="24"/>
              </w:rPr>
              <w:t xml:space="preserve">b</w:t>
            </w:r>
            <w:r/>
          </w:p>
        </w:tc>
        <w:tc>
          <w:tcPr>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i/>
                <w:color w:val="000000"/>
                <w:sz w:val="24"/>
              </w:rPr>
              <w:t xml:space="preserve">c</w:t>
            </w:r>
            <w:r/>
          </w:p>
        </w:tc>
        <w:tc>
          <w:tcPr>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i/>
                <w:color w:val="000000"/>
                <w:sz w:val="24"/>
              </w:rPr>
              <w:t xml:space="preserve">d</w:t>
            </w:r>
            <w:r/>
          </w:p>
        </w:tc>
        <w:tc>
          <w:tcPr>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i/>
                <w:color w:val="000000"/>
                <w:sz w:val="24"/>
              </w:rPr>
              <w:t xml:space="preserve">e = c x d/g</w:t>
            </w:r>
            <w:r/>
          </w:p>
        </w:tc>
      </w:tr>
      <w:tr>
        <w:trPr>
          <w:trHeight w:val="310"/>
        </w:trPr>
        <w:tc>
          <w:tcPr>
            <w:tcBorders>
              <w:left w:val="single" w:color="000000" w:sz="6" w:space="0"/>
              <w:bottom w:val="single" w:color="000000" w:sz="6" w:space="0"/>
              <w:right w:val="single" w:color="000000" w:sz="6" w:space="0"/>
            </w:tcBorders>
            <w:tcMar>
              <w:left w:w="15" w:type="dxa"/>
              <w:top w:w="15" w:type="dxa"/>
              <w:right w:w="15" w:type="dxa"/>
              <w:bottom w:w="0" w:type="dxa"/>
            </w:tcMar>
            <w:tcW w:w="72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w:t>
            </w:r>
            <w:r/>
          </w:p>
        </w:tc>
        <w:tc>
          <w:tcPr>
            <w:tcBorders>
              <w:bottom w:val="single" w:color="000000" w:sz="6" w:space="0"/>
              <w:right w:val="single" w:color="000000" w:sz="6" w:space="0"/>
            </w:tcBorders>
            <w:tcMar>
              <w:left w:w="15" w:type="dxa"/>
              <w:top w:w="15" w:type="dxa"/>
              <w:right w:w="15" w:type="dxa"/>
              <w:bottom w:w="0" w:type="dxa"/>
            </w:tcMar>
            <w:tcW w:w="3050"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4"/>
              </w:rPr>
              <w:t xml:space="preserve">Móng</w:t>
            </w:r>
            <w:r/>
          </w:p>
        </w:tc>
        <w:tc>
          <w:tcPr>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8%</w:t>
            </w:r>
            <w:r/>
          </w:p>
        </w:tc>
        <w:tc>
          <w:tcPr>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90%</w:t>
            </w:r>
            <w:r/>
          </w:p>
        </w:tc>
        <w:tc>
          <w:tcPr>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11%</w:t>
            </w:r>
            <w:r/>
          </w:p>
        </w:tc>
      </w:tr>
      <w:tr>
        <w:trPr>
          <w:trHeight w:val="310"/>
        </w:trPr>
        <w:tc>
          <w:tcPr>
            <w:tcBorders>
              <w:left w:val="single" w:color="000000" w:sz="6" w:space="0"/>
              <w:bottom w:val="single" w:color="000000" w:sz="6" w:space="0"/>
              <w:right w:val="single" w:color="000000" w:sz="6" w:space="0"/>
            </w:tcBorders>
            <w:tcMar>
              <w:left w:w="15" w:type="dxa"/>
              <w:top w:w="15" w:type="dxa"/>
              <w:right w:w="15" w:type="dxa"/>
              <w:bottom w:w="0" w:type="dxa"/>
            </w:tcMar>
            <w:tcW w:w="72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2</w:t>
            </w:r>
            <w:r/>
          </w:p>
        </w:tc>
        <w:tc>
          <w:tcPr>
            <w:tcBorders>
              <w:bottom w:val="single" w:color="000000" w:sz="6" w:space="0"/>
              <w:right w:val="single" w:color="000000" w:sz="6" w:space="0"/>
            </w:tcBorders>
            <w:tcMar>
              <w:left w:w="15" w:type="dxa"/>
              <w:top w:w="15" w:type="dxa"/>
              <w:right w:w="15" w:type="dxa"/>
              <w:bottom w:w="0" w:type="dxa"/>
            </w:tcMar>
            <w:tcW w:w="3050"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4"/>
              </w:rPr>
              <w:t xml:space="preserve">Khung, cột</w:t>
            </w:r>
            <w:r/>
          </w:p>
        </w:tc>
        <w:tc>
          <w:tcPr>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10%</w:t>
            </w:r>
            <w:r/>
          </w:p>
        </w:tc>
        <w:tc>
          <w:tcPr>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90%</w:t>
            </w:r>
            <w:r/>
          </w:p>
        </w:tc>
        <w:tc>
          <w:tcPr>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14%</w:t>
            </w:r>
            <w:r/>
          </w:p>
        </w:tc>
      </w:tr>
      <w:tr>
        <w:trPr>
          <w:trHeight w:val="310"/>
        </w:trPr>
        <w:tc>
          <w:tcPr>
            <w:tcBorders>
              <w:left w:val="single" w:color="000000" w:sz="6" w:space="0"/>
              <w:bottom w:val="single" w:color="000000" w:sz="6" w:space="0"/>
              <w:right w:val="single" w:color="000000" w:sz="6" w:space="0"/>
            </w:tcBorders>
            <w:tcMar>
              <w:left w:w="15" w:type="dxa"/>
              <w:top w:w="15" w:type="dxa"/>
              <w:right w:w="15" w:type="dxa"/>
              <w:bottom w:w="0" w:type="dxa"/>
            </w:tcMar>
            <w:tcW w:w="72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3</w:t>
            </w:r>
            <w:r/>
          </w:p>
        </w:tc>
        <w:tc>
          <w:tcPr>
            <w:tcBorders>
              <w:bottom w:val="single" w:color="000000" w:sz="6" w:space="0"/>
              <w:right w:val="single" w:color="000000" w:sz="6" w:space="0"/>
            </w:tcBorders>
            <w:tcMar>
              <w:left w:w="15" w:type="dxa"/>
              <w:top w:w="15" w:type="dxa"/>
              <w:right w:w="15" w:type="dxa"/>
              <w:bottom w:w="0" w:type="dxa"/>
            </w:tcMar>
            <w:tcW w:w="3050"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4"/>
              </w:rPr>
              <w:t xml:space="preserve">Tường</w:t>
            </w:r>
            <w:r/>
          </w:p>
        </w:tc>
        <w:tc>
          <w:tcPr>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12%</w:t>
            </w:r>
            <w:r/>
          </w:p>
        </w:tc>
        <w:tc>
          <w:tcPr>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90%</w:t>
            </w:r>
            <w:r/>
          </w:p>
        </w:tc>
        <w:tc>
          <w:tcPr>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17%</w:t>
            </w:r>
            <w:r/>
          </w:p>
        </w:tc>
      </w:tr>
      <w:tr>
        <w:trPr>
          <w:trHeight w:val="310"/>
        </w:trPr>
        <w:tc>
          <w:tcPr>
            <w:tcBorders>
              <w:left w:val="single" w:color="000000" w:sz="6" w:space="0"/>
              <w:bottom w:val="single" w:color="000000" w:sz="6" w:space="0"/>
              <w:right w:val="single" w:color="000000" w:sz="6" w:space="0"/>
            </w:tcBorders>
            <w:tcMar>
              <w:left w:w="15" w:type="dxa"/>
              <w:top w:w="15" w:type="dxa"/>
              <w:right w:w="15" w:type="dxa"/>
              <w:bottom w:w="0" w:type="dxa"/>
            </w:tcMar>
            <w:tcW w:w="72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4</w:t>
            </w:r>
            <w:r/>
          </w:p>
        </w:tc>
        <w:tc>
          <w:tcPr>
            <w:tcBorders>
              <w:bottom w:val="single" w:color="000000" w:sz="6" w:space="0"/>
              <w:right w:val="single" w:color="000000" w:sz="6" w:space="0"/>
            </w:tcBorders>
            <w:tcMar>
              <w:left w:w="15" w:type="dxa"/>
              <w:top w:w="15" w:type="dxa"/>
              <w:right w:w="15" w:type="dxa"/>
              <w:bottom w:w="0" w:type="dxa"/>
            </w:tcMar>
            <w:tcW w:w="3050"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4"/>
              </w:rPr>
              <w:t xml:space="preserve">Nền, sàn</w:t>
            </w:r>
            <w:r/>
          </w:p>
        </w:tc>
        <w:tc>
          <w:tcPr>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16%</w:t>
            </w:r>
            <w:r/>
          </w:p>
        </w:tc>
        <w:tc>
          <w:tcPr>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90%</w:t>
            </w:r>
            <w:r/>
          </w:p>
        </w:tc>
        <w:tc>
          <w:tcPr>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23%</w:t>
            </w:r>
            <w:r/>
          </w:p>
        </w:tc>
      </w:tr>
      <w:tr>
        <w:trPr>
          <w:trHeight w:val="310"/>
        </w:trPr>
        <w:tc>
          <w:tcPr>
            <w:tcBorders>
              <w:left w:val="single" w:color="000000" w:sz="6" w:space="0"/>
              <w:bottom w:val="single" w:color="000000" w:sz="6" w:space="0"/>
              <w:right w:val="single" w:color="000000" w:sz="6" w:space="0"/>
            </w:tcBorders>
            <w:tcMar>
              <w:left w:w="15" w:type="dxa"/>
              <w:top w:w="15" w:type="dxa"/>
              <w:right w:w="15" w:type="dxa"/>
              <w:bottom w:w="0" w:type="dxa"/>
            </w:tcMar>
            <w:tcW w:w="72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5</w:t>
            </w:r>
            <w:r/>
          </w:p>
        </w:tc>
        <w:tc>
          <w:tcPr>
            <w:tcBorders>
              <w:bottom w:val="single" w:color="000000" w:sz="6" w:space="0"/>
              <w:right w:val="single" w:color="000000" w:sz="6" w:space="0"/>
            </w:tcBorders>
            <w:tcMar>
              <w:left w:w="15" w:type="dxa"/>
              <w:top w:w="15" w:type="dxa"/>
              <w:right w:w="15" w:type="dxa"/>
              <w:bottom w:w="0" w:type="dxa"/>
            </w:tcMar>
            <w:tcW w:w="3050"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4"/>
              </w:rPr>
              <w:t xml:space="preserve">Kết cấu đỡ mái</w:t>
            </w:r>
            <w:r/>
          </w:p>
        </w:tc>
        <w:tc>
          <w:tcPr>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12%</w:t>
            </w:r>
            <w:r/>
          </w:p>
        </w:tc>
        <w:tc>
          <w:tcPr>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90%</w:t>
            </w:r>
            <w:r/>
          </w:p>
        </w:tc>
        <w:tc>
          <w:tcPr>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17%</w:t>
            </w:r>
            <w:r/>
          </w:p>
        </w:tc>
      </w:tr>
      <w:tr>
        <w:trPr>
          <w:trHeight w:val="310"/>
        </w:trPr>
        <w:tc>
          <w:tcPr>
            <w:tcBorders>
              <w:left w:val="single" w:color="000000" w:sz="6" w:space="0"/>
              <w:bottom w:val="single" w:color="000000" w:sz="6" w:space="0"/>
              <w:right w:val="single" w:color="000000" w:sz="6" w:space="0"/>
            </w:tcBorders>
            <w:tcMar>
              <w:left w:w="15" w:type="dxa"/>
              <w:top w:w="15" w:type="dxa"/>
              <w:right w:w="15" w:type="dxa"/>
              <w:bottom w:w="0" w:type="dxa"/>
            </w:tcMar>
            <w:tcW w:w="72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6</w:t>
            </w:r>
            <w:r/>
          </w:p>
        </w:tc>
        <w:tc>
          <w:tcPr>
            <w:tcBorders>
              <w:bottom w:val="single" w:color="000000" w:sz="6" w:space="0"/>
              <w:right w:val="single" w:color="000000" w:sz="6" w:space="0"/>
            </w:tcBorders>
            <w:tcMar>
              <w:left w:w="15" w:type="dxa"/>
              <w:top w:w="15" w:type="dxa"/>
              <w:right w:w="15" w:type="dxa"/>
              <w:bottom w:w="0" w:type="dxa"/>
            </w:tcMar>
            <w:tcW w:w="3050" w:type="dxa"/>
            <w:vAlign w:val="center"/>
            <w:textDirection w:val="lrTb"/>
            <w:noWrap w:val="false"/>
          </w:tcPr>
          <w:p>
            <w:pPr>
              <w:suppressLineNumbers w:val="false"/>
              <w:pBdr/>
              <w:spacing w:after="0" w:before="0" w:line="240" w:lineRule="auto"/>
              <w:ind w:right="144" w:left="144"/>
              <w:rPr/>
            </w:pPr>
            <w:r>
              <w:rPr>
                <w:rFonts w:ascii="Times New Roman" w:hAnsi="Times New Roman" w:eastAsia="Times New Roman" w:cs="Times New Roman"/>
                <w:color w:val="000000"/>
                <w:sz w:val="24"/>
              </w:rPr>
              <w:t xml:space="preserve">Mái</w:t>
            </w:r>
            <w:r/>
          </w:p>
        </w:tc>
        <w:tc>
          <w:tcPr>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5%</w:t>
            </w:r>
            <w:r/>
          </w:p>
        </w:tc>
        <w:tc>
          <w:tcPr>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90%</w:t>
            </w:r>
            <w:r/>
          </w:p>
        </w:tc>
        <w:tc>
          <w:tcPr>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7%</w:t>
            </w:r>
            <w:r/>
          </w:p>
        </w:tc>
      </w:tr>
      <w:tr>
        <w:trPr>
          <w:trHeight w:val="310"/>
        </w:trPr>
        <w:tc>
          <w:tcPr>
            <w:gridSpan w:val="2"/>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3775"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Tổng cộng (g)</w:t>
            </w:r>
            <w:r/>
          </w:p>
        </w:tc>
        <w:tc>
          <w:tcPr>
            <w:tcBorders>
              <w:bottom w:val="single" w:color="000000" w:sz="6" w:space="0"/>
              <w:right w:val="single" w:color="000000" w:sz="6" w:space="0"/>
            </w:tcBorders>
            <w:tcMar>
              <w:left w:w="15" w:type="dxa"/>
              <w:top w:w="15" w:type="dxa"/>
              <w:right w:w="15" w:type="dxa"/>
              <w:bottom w:w="0" w:type="dxa"/>
            </w:tcMar>
            <w:tcW w:w="15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63%</w:t>
            </w:r>
            <w:r/>
          </w:p>
        </w:tc>
        <w:tc>
          <w:tcPr>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 </w:t>
            </w:r>
            <w:r/>
          </w:p>
        </w:tc>
        <w:tc>
          <w:tcPr>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color w:val="000000"/>
                <w:sz w:val="24"/>
              </w:rPr>
              <w:t xml:space="preserve"> </w:t>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15" w:type="dxa"/>
              <w:top w:w="15" w:type="dxa"/>
              <w:right w:w="15" w:type="dxa"/>
              <w:bottom w:w="0" w:type="dxa"/>
            </w:tcMar>
            <w:tcW w:w="7343"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Tỷ lệ chất lượng còn lại:</w:t>
            </w:r>
            <w:r/>
          </w:p>
        </w:tc>
        <w:tc>
          <w:tcPr>
            <w:tcBorders>
              <w:bottom w:val="single" w:color="000000" w:sz="6" w:space="0"/>
              <w:right w:val="single" w:color="000000" w:sz="6" w:space="0"/>
            </w:tcBorders>
            <w:tcMar>
              <w:left w:w="15" w:type="dxa"/>
              <w:top w:w="15" w:type="dxa"/>
              <w:right w:w="15" w:type="dxa"/>
              <w:bottom w:w="0" w:type="dxa"/>
            </w:tcMar>
            <w:tcW w:w="1984" w:type="dxa"/>
            <w:vAlign w:val="center"/>
            <w:textDirection w:val="lrTb"/>
            <w:noWrap w:val="false"/>
          </w:tcPr>
          <w:p>
            <w:pPr>
              <w:suppressLineNumbers w:val="false"/>
              <w:pBdr/>
              <w:spacing w:after="0" w:before="0" w:line="240" w:lineRule="auto"/>
              <w:ind w:right="144" w:left="144"/>
              <w:jc w:val="center"/>
              <w:rPr/>
            </w:pPr>
            <w:r>
              <w:rPr>
                <w:rFonts w:ascii="Times New Roman" w:hAnsi="Times New Roman" w:eastAsia="Times New Roman" w:cs="Times New Roman"/>
                <w:b/>
                <w:color w:val="000000"/>
                <w:sz w:val="24"/>
              </w:rPr>
              <w:t xml:space="preserve">90%</w:t>
            </w:r>
            <w:r/>
          </w:p>
        </w:tc>
      </w:tr>
    </w:tbl>
    <w:p>
      <w:pPr>
        <w:pStyle w:val="1030"/>
        <w:pBdr/>
        <w:spacing w:after="120" w:before="120" w:line="276" w:lineRule="auto"/>
        <w:ind w:left="357"/>
        <w:jc w:val="both"/>
        <w:rPr>
          <w:b/>
          <w:lang w:val="pt-BR"/>
        </w:rPr>
      </w:pPr>
      <w:r>
        <w:rPr>
          <w:rFonts w:ascii="Times New Roman" w:hAnsi="Times New Roman" w:eastAsia="Times New Roman" w:cs="Times New Roman"/>
          <w:color w:val="000000"/>
          <w:sz w:val="24"/>
        </w:rPr>
        <w:t xml:space="preserve">Tổ thẩm định xác định Tỷ lệ chất lượng còn lại của công trình là: </w:t>
      </w:r>
      <w:r>
        <w:rPr>
          <w:rFonts w:ascii="Times New Roman" w:hAnsi="Times New Roman" w:eastAsia="Times New Roman" w:cs="Times New Roman"/>
          <w:b/>
          <w:bCs/>
          <w:color w:val="000000"/>
          <w:sz w:val="24"/>
        </w:rPr>
        <w:t xml:space="preserve">90%.</w:t>
      </w:r>
      <w:r>
        <w:rPr>
          <w:b/>
          <w:bCs/>
          <w:lang w:val="pt-BR"/>
        </w:rPr>
      </w:r>
      <w:r>
        <w:rPr>
          <w:b/>
          <w:lang w:val="pt-BR"/>
        </w:rPr>
      </w:r>
    </w:p>
    <w:p>
      <w:pPr>
        <w:pStyle w:val="1030"/>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30"/>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6/2026</w:t>
      </w:r>
      <w:r>
        <w:t xml:space="preserve"> </w:t>
      </w:r>
      <w:r>
        <w:t xml:space="preserve">ước tính </w:t>
      </w:r>
      <w:r>
        <w:t xml:space="preserve">như sau</w:t>
      </w:r>
      <w:r>
        <w:t xml:space="preserve">:</w:t>
      </w:r>
      <w:r/>
    </w:p>
    <w:tbl>
      <w:tblPr>
        <w:tblStyle w:val="1034"/>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41"/>
        <w:gridCol w:w="2345"/>
        <w:gridCol w:w="1682"/>
        <w:gridCol w:w="1525"/>
        <w:gridCol w:w="1560"/>
        <w:gridCol w:w="1809"/>
      </w:tblGrid>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TT</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Tài sản</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Diện tích (m²)</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Đơn giá (đồng/m²)</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Hệ số/</w:t>
              <w:br/>
              <w:t xml:space="preserve"> CLCL (%)</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Thành tiền (đồng)</w:t>
            </w: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r>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both"/>
              <w:rPr>
                <w:b/>
                <w:bCs/>
              </w:rPr>
            </w:pPr>
            <w:r>
              <w:rPr>
                <w:rFonts w:ascii="Times New Roman" w:hAnsi="Times New Roman" w:eastAsia="Times New Roman" w:cs="Times New Roman"/>
                <w:b/>
                <w:color w:val="000000"/>
                <w:sz w:val="24"/>
              </w:rPr>
            </w:r>
            <w:r>
              <w:rPr>
                <w:rFonts w:ascii="Times New Roman" w:hAnsi="Times New Roman" w:eastAsia="Times New Roman" w:cs="Times New Roman"/>
                <w:b/>
                <w:bCs/>
                <w:color w:val="000000"/>
                <w:sz w:val="24"/>
              </w:rPr>
              <w:t xml:space="preserve">Quyền sử dụng đất và tài sản gắn liền với đất tại thửa đất số: 44-1, tờ bản đồ số: 3-1, địa chỉ: Tổ dân phố Đoạn Xá 9, phường Đông Hải 1, quận Hải An, thành phố Hải Phòng (</w:t>
            </w:r>
            <w:r>
              <w:rPr>
                <w:rFonts w:ascii="Times New Roman" w:hAnsi="Times New Roman" w:eastAsia="Times New Roman" w:cs="Times New Roman"/>
                <w:b/>
                <w:bCs/>
                <w:i/>
                <w:iCs/>
                <w:color w:val="000000"/>
                <w:sz w:val="24"/>
              </w:rPr>
              <w:t xml:space="preserve">nay là phường Đông Hải, thành phố Hải Phòng</w:t>
            </w:r>
            <w:r>
              <w:rPr>
                <w:rFonts w:ascii="Times New Roman" w:hAnsi="Times New Roman" w:eastAsia="Times New Roman" w:cs="Times New Roman"/>
                <w:b/>
                <w:bCs/>
                <w:color w:val="000000"/>
                <w:sz w:val="24"/>
              </w:rPr>
              <w:t xml:space="preserve">) theo Giấy chứng nhận quyền sử dụng đấ</w:t>
            </w:r>
            <w:r>
              <w:rPr>
                <w:rFonts w:ascii="Times New Roman" w:hAnsi="Times New Roman" w:eastAsia="Times New Roman" w:cs="Times New Roman"/>
                <w:b/>
                <w:bCs/>
                <w:color w:val="000000"/>
                <w:sz w:val="24"/>
              </w:rPr>
              <w:t xml:space="preserve">t, quyền sở hữu nhà ở và tài sản khác gắn liền với đất số: CU 451880, số vào sổ cấp GCN: CH.06864 do UBND quận Hải An cấp ngày 21/4/2020 cho Bà Phạm Thị Thu Giang</w:t>
            </w:r>
            <w:r>
              <w:rPr>
                <w:b/>
                <w:bCs/>
                <w:i/>
                <w:iCs/>
              </w:rPr>
              <w:t xml:space="preserve">.</w:t>
            </w:r>
            <w:r>
              <w:rPr>
                <w:b/>
                <w:bCs/>
              </w:rPr>
            </w:r>
            <w:r>
              <w:rPr>
                <w:b/>
                <w:bCs/>
              </w:rP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spacing w:after="0" w:before="0" w:line="276" w:lineRule="auto"/>
              <w:ind/>
              <w:rPr/>
            </w:pPr>
            <w: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01</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Quyền sử dụng đất</w:t>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80,0</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57.000.000</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spacing w:after="0" w:before="0" w:line="276" w:lineRule="auto"/>
              <w:ind/>
              <w:jc w:val="center"/>
              <w:rPr/>
            </w:pPr>
            <w:r>
              <w:t xml:space="preserve">100%</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4.560.000.000</w:t>
            </w: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02</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234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rPr/>
            </w:pPr>
            <w:r>
              <w:rPr>
                <w:rFonts w:ascii="Times New Roman" w:hAnsi="Times New Roman" w:eastAsia="Times New Roman" w:cs="Times New Roman"/>
                <w:color w:val="000000"/>
                <w:sz w:val="24"/>
              </w:rPr>
              <w:t xml:space="preserve">Nhà 04 tầng</w:t>
            </w:r>
            <w: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82"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223,88</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2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8.055.156</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90%</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1.623.049.493</w:t>
            </w: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1" w:type="dxa"/>
            <w:vAlign w:val="center"/>
            <w:textDirection w:val="lrTb"/>
            <w:noWrap w:val="false"/>
          </w:tcPr>
          <w:p>
            <w:pPr>
              <w:pBdr/>
              <w:spacing w:after="0" w:before="0" w:line="276" w:lineRule="auto"/>
              <w:ind/>
              <w:rPr/>
            </w:pPr>
            <w:r/>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Tổng cộng:</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6.183.049.493</w:t>
            </w:r>
            <w:r/>
            <w:r/>
          </w:p>
        </w:tc>
      </w:tr>
      <w:tr>
        <w:trPr>
          <w:trHeight w:val="2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641" w:type="dxa"/>
            <w:vAlign w:val="center"/>
            <w:textDirection w:val="lrTb"/>
            <w:noWrap w:val="false"/>
          </w:tcPr>
          <w:p>
            <w:pPr>
              <w:pBdr/>
              <w:spacing w:after="0" w:before="0" w:line="276" w:lineRule="auto"/>
              <w:ind/>
              <w:rPr/>
            </w:pPr>
            <w:r/>
            <w:r/>
            <w:r/>
          </w:p>
        </w:tc>
        <w:tc>
          <w:tcPr>
            <w:gridSpan w:val="4"/>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711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Làm tròn:</w:t>
            </w:r>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80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4"/>
              </w:rPr>
              <w:t xml:space="preserve">6.183.000.000</w:t>
            </w:r>
            <w:r/>
            <w:r/>
          </w:p>
        </w:tc>
      </w:tr>
      <w:tr>
        <w:trPr>
          <w:trHeight w:val="20"/>
        </w:trPr>
        <w:tc>
          <w:tcPr>
            <w:gridSpan w:val="6"/>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956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i/>
                <w:color w:val="000000"/>
                <w:sz w:val="24"/>
              </w:rPr>
              <w:t xml:space="preserve">(Bằng chữ: Sáu tỷ một trăm tám mươi ba triệu đồng ./.)</w:t>
            </w:r>
            <w:r/>
            <w:r/>
          </w:p>
        </w:tc>
      </w:tr>
    </w:tbl>
    <w:p>
      <w:pPr>
        <w:pStyle w:val="1030"/>
        <w:pBdr/>
        <w:tabs>
          <w:tab w:val="left" w:leader="none" w:pos="993"/>
        </w:tabs>
        <w:spacing w:after="120" w:before="120" w:line="293"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0"/>
        <w:numPr>
          <w:ilvl w:val="0"/>
          <w:numId w:val="4"/>
        </w:numPr>
        <w:pBdr/>
        <w:tabs>
          <w:tab w:val="left" w:leader="none" w:pos="993"/>
        </w:tabs>
        <w:spacing w:after="120" w:before="120" w:line="293"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0"/>
        <w:pBdr/>
        <w:tabs>
          <w:tab w:val="left" w:leader="none" w:pos="993"/>
        </w:tabs>
        <w:spacing w:after="120" w:before="120" w:line="293"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0"/>
        <w:numPr>
          <w:ilvl w:val="0"/>
          <w:numId w:val="5"/>
        </w:numPr>
        <w:pBdr/>
        <w:tabs>
          <w:tab w:val="left" w:leader="none" w:pos="993"/>
        </w:tabs>
        <w:spacing w:after="120" w:before="120" w:line="293"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0"/>
        <w:numPr>
          <w:ilvl w:val="0"/>
          <w:numId w:val="5"/>
        </w:numPr>
        <w:pBdr/>
        <w:tabs>
          <w:tab w:val="left" w:leader="none" w:pos="993"/>
        </w:tabs>
        <w:spacing w:after="120" w:before="120" w:line="293"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0"/>
        <w:numPr>
          <w:ilvl w:val="0"/>
          <w:numId w:val="5"/>
        </w:numPr>
        <w:pBdr/>
        <w:tabs>
          <w:tab w:val="left" w:leader="none" w:pos="993"/>
        </w:tabs>
        <w:spacing w:after="120" w:before="120" w:line="293"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0"/>
        <w:numPr>
          <w:ilvl w:val="0"/>
          <w:numId w:val="5"/>
        </w:numPr>
        <w:pBdr/>
        <w:tabs>
          <w:tab w:val="left" w:leader="none" w:pos="993"/>
        </w:tabs>
        <w:spacing w:after="120" w:before="120" w:line="293"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0"/>
        <w:numPr>
          <w:ilvl w:val="0"/>
          <w:numId w:val="10"/>
        </w:numPr>
        <w:pBdr/>
        <w:spacing w:after="120" w:before="120" w:line="293"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0"/>
        <w:numPr>
          <w:ilvl w:val="0"/>
          <w:numId w:val="10"/>
        </w:numPr>
        <w:pBdr/>
        <w:spacing w:after="120" w:before="120" w:line="293"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0"/>
        <w:numPr>
          <w:ilvl w:val="0"/>
          <w:numId w:val="10"/>
        </w:numPr>
        <w:pBdr/>
        <w:spacing w:after="120" w:before="120" w:line="293"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0"/>
        <w:pBdr/>
        <w:tabs>
          <w:tab w:val="left" w:leader="none" w:pos="993"/>
        </w:tabs>
        <w:spacing w:after="120" w:before="120" w:line="293"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0"/>
        <w:numPr>
          <w:ilvl w:val="0"/>
          <w:numId w:val="5"/>
        </w:numPr>
        <w:pBdr/>
        <w:tabs>
          <w:tab w:val="left" w:leader="none" w:pos="993"/>
        </w:tabs>
        <w:spacing w:after="120" w:before="120" w:line="293"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0"/>
        <w:numPr>
          <w:ilvl w:val="0"/>
          <w:numId w:val="5"/>
        </w:numPr>
        <w:pBdr/>
        <w:tabs>
          <w:tab w:val="left" w:leader="none" w:pos="993"/>
        </w:tabs>
        <w:spacing w:after="120" w:before="120" w:line="293"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0"/>
        <w:numPr>
          <w:ilvl w:val="0"/>
          <w:numId w:val="5"/>
        </w:numPr>
        <w:pBdr/>
        <w:tabs>
          <w:tab w:val="left" w:leader="none" w:pos="993"/>
        </w:tabs>
        <w:spacing w:after="120" w:before="120" w:line="293"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0"/>
        <w:numPr>
          <w:ilvl w:val="0"/>
          <w:numId w:val="5"/>
        </w:numPr>
        <w:pBdr/>
        <w:tabs>
          <w:tab w:val="left" w:leader="none" w:pos="993"/>
        </w:tabs>
        <w:spacing w:after="120" w:before="120" w:line="293"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0"/>
        <w:numPr>
          <w:ilvl w:val="0"/>
          <w:numId w:val="5"/>
        </w:numPr>
        <w:pBdr/>
        <w:tabs>
          <w:tab w:val="left" w:leader="none" w:pos="993"/>
        </w:tabs>
        <w:spacing w:after="120" w:before="120" w:line="293"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0"/>
        <w:numPr>
          <w:ilvl w:val="0"/>
          <w:numId w:val="5"/>
        </w:numPr>
        <w:pBdr/>
        <w:tabs>
          <w:tab w:val="left" w:leader="none" w:pos="993"/>
        </w:tabs>
        <w:spacing w:after="120" w:before="120" w:line="293"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0"/>
        <w:numPr>
          <w:ilvl w:val="0"/>
          <w:numId w:val="5"/>
        </w:numPr>
        <w:pBdr/>
        <w:spacing w:after="120" w:before="120" w:line="293"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0"/>
        <w:numPr>
          <w:ilvl w:val="0"/>
          <w:numId w:val="5"/>
        </w:numPr>
        <w:pBdr/>
        <w:tabs>
          <w:tab w:val="left" w:leader="none" w:pos="993"/>
        </w:tabs>
        <w:spacing w:after="120" w:before="120" w:line="293"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0"/>
        <w:numPr>
          <w:ilvl w:val="0"/>
          <w:numId w:val="5"/>
        </w:numPr>
        <w:pBdr/>
        <w:spacing w:after="120" w:before="120" w:line="293"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0"/>
        <w:numPr>
          <w:ilvl w:val="0"/>
          <w:numId w:val="5"/>
        </w:numPr>
        <w:pBdr/>
        <w:tabs>
          <w:tab w:val="left" w:leader="none" w:pos="993"/>
        </w:tabs>
        <w:spacing w:after="120" w:before="120" w:line="293"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w:t>
      </w:r>
      <w:r>
        <w:rPr>
          <w:bCs/>
          <w:spacing w:val="-2"/>
          <w:lang w:val="pt-BR"/>
        </w:rPr>
        <w:t xml:space="preserve"> còn lại của Công trình xây dựng của chúng tôi chỉ dựa vào các văn bản pháp quy hiện hành và qua khảo sát thực tế độc lập, minh bạch dưới sự hướng dẫn khảo sát của các bên liên quan. Vì 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30"/>
        <w:numPr>
          <w:ilvl w:val="0"/>
          <w:numId w:val="3"/>
        </w:numPr>
        <w:pBdr/>
        <w:tabs>
          <w:tab w:val="left" w:leader="none" w:pos="993"/>
        </w:tabs>
        <w:spacing w:after="120" w:before="120" w:line="293"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0"/>
        <w:numPr>
          <w:ilvl w:val="0"/>
          <w:numId w:val="5"/>
        </w:numPr>
        <w:pBdr/>
        <w:tabs>
          <w:tab w:val="left" w:leader="none" w:pos="993"/>
        </w:tabs>
        <w:spacing w:after="120" w:before="120" w:line="293"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0"/>
        <w:numPr>
          <w:ilvl w:val="0"/>
          <w:numId w:val="5"/>
        </w:numPr>
        <w:pBdr/>
        <w:tabs>
          <w:tab w:val="left" w:leader="none" w:pos="993"/>
        </w:tabs>
        <w:spacing w:after="120" w:before="120" w:line="293"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93"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0"/>
        <w:pBdr/>
        <w:tabs>
          <w:tab w:val="left" w:leader="none" w:pos="993"/>
        </w:tabs>
        <w:spacing w:after="120" w:before="120" w:line="293"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0"/>
        <w:pBdr/>
        <w:tabs>
          <w:tab w:val="left" w:leader="none" w:pos="993"/>
        </w:tabs>
        <w:spacing w:after="120" w:before="120" w:line="293"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highlight w:val="none"/>
          <w:lang w:val="vi-VN"/>
        </w:rPr>
      </w:r>
      <w:r>
        <w:rPr>
          <w:lang w:val="vi-VN"/>
        </w:rPr>
      </w:r>
    </w:p>
    <w:p>
      <w:pPr>
        <w:pStyle w:val="1030"/>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275/2026/0920/VFI-CT.48.A</w:t>
      </w:r>
      <w:r>
        <w:rPr>
          <w:color w:val="ff0000"/>
          <w:lang w:val="vi-VN"/>
        </w:rPr>
        <w:t xml:space="preserve"> </w:t>
      </w:r>
      <w:r>
        <w:rPr>
          <w:color w:val="000000" w:themeColor="text1"/>
        </w:rPr>
        <w:t xml:space="preserve">ngày 18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Thịnh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VIII13.990</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275/2026/0920/VFI-BC.48.A</w:t>
      </w:r>
      <w:r>
        <w:rPr>
          <w:i/>
          <w:lang w:val="pt-BR"/>
        </w:rPr>
        <w:t xml:space="preserve"> ngày </w:t>
      </w:r>
      <w:r>
        <w:rPr>
          <w:i/>
          <w:lang w:val="pt-BR"/>
        </w:rPr>
        <w:t xml:space="preserve">18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0"/>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12.50pt;height:150.00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142875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1"/>
                              <a:stretch/>
                            </pic:blipFill>
                            <pic:spPr bwMode="auto">
                              <a:xfrm>
                                <a:off x="0" y="0"/>
                                <a:ext cx="142875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12.50pt;height:150.00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hướng dẫn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30346" cy="197276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546172" name=""/>
                              <pic:cNvPicPr>
                                <a:picLocks noChangeAspect="1"/>
                              </pic:cNvPicPr>
                              <pic:nvPr/>
                            </pic:nvPicPr>
                            <pic:blipFill rotWithShape="1">
                              <a:blip r:embed="rId23"/>
                              <a:stretch/>
                            </pic:blipFill>
                            <pic:spPr bwMode="auto">
                              <a:xfrm flipH="0" flipV="0">
                                <a:off x="0" y="0"/>
                                <a:ext cx="2630346" cy="197275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7.11pt;height:155.3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0.00pt;height:150.00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00.00pt;height:150.00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275/2026/0920/VFI-BC.48.A</w:t>
      </w:r>
      <w:r>
        <w:rPr>
          <w:i/>
          <w:lang w:val="pt-BR"/>
        </w:rPr>
        <w:t xml:space="preserve"> </w:t>
      </w:r>
      <w:r>
        <w:rPr>
          <w:i/>
          <w:lang w:val="pt-BR"/>
        </w:rPr>
        <w:t xml:space="preserve">ngày 18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6048375" cy="6310552"/>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834805" name=""/>
                        <pic:cNvPicPr>
                          <a:picLocks noChangeAspect="1"/>
                        </pic:cNvPicPr>
                        <pic:nvPr/>
                      </pic:nvPicPr>
                      <pic:blipFill rotWithShape="1">
                        <a:blip r:embed="rId26"/>
                        <a:stretch/>
                      </pic:blipFill>
                      <pic:spPr bwMode="auto">
                        <a:xfrm>
                          <a:off x="0" y="0"/>
                          <a:ext cx="6048374" cy="63105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76.25pt;height:496.89pt;mso-wrap-distance-left:0.00pt;mso-wrap-distance-top:0.00pt;mso-wrap-distance-right:0.00pt;mso-wrap-distance-bottom:0.00pt;z-index:1;" stroked="false">
                <v:imagedata r:id="rId26" o:title=""/>
                <o:lock v:ext="edit" rotation="t"/>
              </v:shape>
            </w:pict>
          </mc:Fallback>
        </mc:AlternateContent>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iCs/>
          <w:lang w:val="pt-BR"/>
        </w:rPr>
      </w:pPr>
      <w:r>
        <w:rPr>
          <w:b/>
          <w:bCs/>
          <w:iCs/>
          <w:lang w:val="pt-BR"/>
        </w:rPr>
        <w:t xml:space="preserve">TSSS2</w:t>
      </w:r>
      <w:r>
        <w:rPr>
          <w:iCs/>
          <w:lang w:val="pt-BR"/>
        </w:rPr>
      </w:r>
      <w:r>
        <w:rPr>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624958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871739" name=""/>
                        <pic:cNvPicPr>
                          <a:picLocks noChangeAspect="1"/>
                        </pic:cNvPicPr>
                        <pic:nvPr/>
                      </pic:nvPicPr>
                      <pic:blipFill rotWithShape="1">
                        <a:blip r:embed="rId27"/>
                        <a:stretch/>
                      </pic:blipFill>
                      <pic:spPr bwMode="auto">
                        <a:xfrm>
                          <a:off x="0" y="0"/>
                          <a:ext cx="6048374" cy="62495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6.25pt;height:492.09pt;mso-wrap-distance-left:0.00pt;mso-wrap-distance-top:0.00pt;mso-wrap-distance-right:0.00pt;mso-wrap-distance-bottom:0.00pt;z-index:1;" stroked="false">
                <v:imagedata r:id="rId27"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p>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6048375" cy="6475176"/>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82332" name=""/>
                        <pic:cNvPicPr>
                          <a:picLocks noChangeAspect="1"/>
                        </pic:cNvPicPr>
                        <pic:nvPr/>
                      </pic:nvPicPr>
                      <pic:blipFill rotWithShape="1">
                        <a:blip r:embed="rId28"/>
                        <a:stretch/>
                      </pic:blipFill>
                      <pic:spPr bwMode="auto">
                        <a:xfrm>
                          <a:off x="0" y="0"/>
                          <a:ext cx="6048374" cy="647517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76.25pt;height:509.86pt;mso-wrap-distance-left:0.00pt;mso-wrap-distance-top:0.00pt;mso-wrap-distance-right:0.00pt;mso-wrap-distance-bottom:0.00pt;z-index:1;" stroked="false">
                <v:imagedata r:id="rId28"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hd w:val="nil" w:color="auto"/>
        <w:spacing/>
        <w:ind/>
        <w:rPr>
          <w:lang w:val="pt-BR"/>
        </w:rPr>
      </w:pPr>
      <w:r>
        <w:rPr>
          <w:iCs/>
          <w:lang w:val="pt-BR"/>
        </w:rPr>
        <w:br w:type="page" w:clear="all"/>
      </w:r>
      <w:r>
        <w:rPr>
          <w:iCs/>
          <w:lang w:val="pt-BR"/>
        </w:rPr>
      </w:r>
      <w:r>
        <w:rPr>
          <w:lang w:val="pt-BR"/>
        </w:rPr>
      </w:r>
    </w:p>
    <w:p>
      <w:pPr>
        <w:pBdr/>
        <w:spacing w:after="200" w:line="276" w:lineRule="auto"/>
        <w:ind/>
        <w:jc w:val="center"/>
        <w:rPr>
          <w:b/>
          <w:bCs/>
          <w:iCs/>
          <w:highlight w:val="none"/>
          <w:lang w:val="pt-BR"/>
        </w:rPr>
      </w:pPr>
      <w:r>
        <w:rPr>
          <w:b/>
          <w:bCs/>
          <w:iCs/>
          <w:lang w:val="pt-BR"/>
        </w:rPr>
        <w:t xml:space="preserve">GIẤY CHỨNG NHẬN QSDĐ</w:t>
      </w:r>
      <w:r>
        <w:rPr>
          <w:b/>
          <w:bCs/>
          <w:iCs/>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7467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331438" name=""/>
                        <pic:cNvPicPr>
                          <a:picLocks noChangeAspect="1"/>
                        </pic:cNvPicPr>
                        <pic:nvPr/>
                      </pic:nvPicPr>
                      <pic:blipFill rotWithShape="1">
                        <a:blip r:embed="rId29"/>
                        <a:stretch/>
                      </pic:blipFill>
                      <pic:spPr bwMode="auto">
                        <a:xfrm>
                          <a:off x="0" y="0"/>
                          <a:ext cx="6048374" cy="80746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76.25pt;height:635.80pt;mso-wrap-distance-left:0.00pt;mso-wrap-distance-top:0.00pt;mso-wrap-distance-right:0.00pt;mso-wrap-distance-bottom:0.00pt;z-index:1;" stroked="false">
                <v:imagedata r:id="rId29" o:title=""/>
                <o:lock v:ext="edit" rotation="t"/>
              </v:shape>
            </w:pict>
          </mc:Fallback>
        </mc:AlternateContent>
      </w:r>
      <w:r>
        <w:rPr>
          <w:b/>
          <w:bCs/>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74672"/>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859772" name=""/>
                        <pic:cNvPicPr>
                          <a:picLocks noChangeAspect="1"/>
                        </pic:cNvPicPr>
                        <pic:nvPr/>
                      </pic:nvPicPr>
                      <pic:blipFill rotWithShape="1">
                        <a:blip r:embed="rId30"/>
                        <a:stretch/>
                      </pic:blipFill>
                      <pic:spPr bwMode="auto">
                        <a:xfrm>
                          <a:off x="0" y="0"/>
                          <a:ext cx="6048374" cy="807467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76.25pt;height:635.80pt;mso-wrap-distance-left:0.00pt;mso-wrap-distance-top:0.00pt;mso-wrap-distance-right:0.00pt;mso-wrap-distance-bottom:0.00pt;z-index:1;" stroked="false">
                <v:imagedata r:id="rId30" o:title=""/>
                <o:lock v:ext="edit" rotation="t"/>
              </v:shape>
            </w:pict>
          </mc:Fallback>
        </mc:AlternateContent>
      </w:r>
      <w:r>
        <w:rPr>
          <w:b/>
          <w:bCs/>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72629"/>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00140" name=""/>
                        <pic:cNvPicPr>
                          <a:picLocks noChangeAspect="1"/>
                        </pic:cNvPicPr>
                        <pic:nvPr/>
                      </pic:nvPicPr>
                      <pic:blipFill rotWithShape="1">
                        <a:blip r:embed="rId31"/>
                        <a:stretch/>
                      </pic:blipFill>
                      <pic:spPr bwMode="auto">
                        <a:xfrm>
                          <a:off x="0" y="0"/>
                          <a:ext cx="6048374" cy="80726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635.64pt;mso-wrap-distance-left:0.00pt;mso-wrap-distance-top:0.00pt;mso-wrap-distance-right:0.00pt;mso-wrap-distance-bottom:0.00pt;z-index:1;" stroked="false">
                <v:imagedata r:id="rId31" o:title=""/>
                <o:lock v:ext="edit" rotation="t"/>
              </v:shape>
            </w:pict>
          </mc:Fallback>
        </mc:AlternateContent>
      </w:r>
      <w:r>
        <w:rPr>
          <w:b/>
          <w:bCs/>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072629"/>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19449" name=""/>
                        <pic:cNvPicPr>
                          <a:picLocks noChangeAspect="1"/>
                        </pic:cNvPicPr>
                        <pic:nvPr/>
                      </pic:nvPicPr>
                      <pic:blipFill rotWithShape="1">
                        <a:blip r:embed="rId32"/>
                        <a:stretch/>
                      </pic:blipFill>
                      <pic:spPr bwMode="auto">
                        <a:xfrm>
                          <a:off x="0" y="0"/>
                          <a:ext cx="6048374" cy="807262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64pt;mso-wrap-distance-left:0.00pt;mso-wrap-distance-top:0.00pt;mso-wrap-distance-right:0.00pt;mso-wrap-distance-bottom:0.00pt;z-index:1;" stroked="false">
                <v:imagedata r:id="rId32" o:title=""/>
                <o:lock v:ext="edit" rotation="t"/>
              </v:shape>
            </w:pict>
          </mc:Fallback>
        </mc:AlternateContent>
      </w:r>
      <w:r>
        <w:rPr>
          <w:b/>
          <w:bCs/>
        </w:rPr>
      </w:r>
      <w:r>
        <w:rPr>
          <w:b/>
          <w:bCs/>
          <w:highlight w:val="none"/>
          <w:lang w:val="pt-BR"/>
        </w:rPr>
      </w:r>
    </w:p>
    <w:p>
      <w:pPr>
        <w:pBdr/>
        <w:shd w:val="nil" w:color="auto"/>
        <w:spacing/>
        <w:ind/>
        <w:rPr>
          <w:b/>
          <w:bCs/>
        </w:rPr>
      </w:pPr>
      <w:r>
        <w:rPr>
          <w:b/>
          <w:bCs/>
        </w:rPr>
        <w:br w:type="page" w:clear="all"/>
      </w:r>
      <w:r>
        <w:rPr>
          <w:b/>
          <w:bCs/>
        </w:rPr>
      </w:r>
      <w:r>
        <w:rPr>
          <w:b/>
          <w:bCs/>
        </w:rPr>
      </w:r>
    </w:p>
    <w:p>
      <w:pPr>
        <w:pBdr/>
        <w:spacing w:after="200" w:line="276" w:lineRule="auto"/>
        <w:ind/>
        <w:jc w:val="center"/>
        <w:rPr>
          <w:b/>
          <w:bCs/>
          <w:highlight w:val="none"/>
          <w:lang w:val="pt-BR"/>
        </w:rPr>
      </w:pPr>
      <w:r>
        <w:rPr>
          <w:b/>
          <w:bCs/>
          <w:iCs/>
          <w:highlight w:val="none"/>
          <w:lang w:val="pt-BR"/>
        </w:rPr>
        <w:t xml:space="preserve">BIÊN BẢN KHẢO SÁT</w:t>
      </w:r>
      <w:r>
        <w:rPr>
          <w:b/>
          <w:bCs/>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6532"/>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676452" name=""/>
                        <pic:cNvPicPr>
                          <a:picLocks noChangeAspect="1"/>
                        </pic:cNvPicPr>
                        <pic:nvPr/>
                      </pic:nvPicPr>
                      <pic:blipFill rotWithShape="1">
                        <a:blip r:embed="rId33"/>
                        <a:stretch/>
                      </pic:blipFill>
                      <pic:spPr bwMode="auto">
                        <a:xfrm>
                          <a:off x="0" y="0"/>
                          <a:ext cx="6048374" cy="806653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16pt;mso-wrap-distance-left:0.00pt;mso-wrap-distance-top:0.00pt;mso-wrap-distance-right:0.00pt;mso-wrap-distance-bottom:0.00pt;z-index:1;" stroked="false">
                <v:imagedata r:id="rId33" o:title=""/>
                <o:lock v:ext="edit" rotation="t"/>
              </v:shape>
            </w:pict>
          </mc:Fallback>
        </mc:AlternateContent>
      </w:r>
      <w:r>
        <w:rPr>
          <w:b/>
          <w:bCs/>
          <w:iCs/>
          <w:highlight w:val="none"/>
          <w:lang w:val="pt-BR"/>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6"/>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6"/>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4"/>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1B4587A9"/>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2">
    <w:name w:val="Table Grid Light"/>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1"/>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2"/>
    <w:basedOn w:val="101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3"/>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4"/>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5"/>
    <w:basedOn w:val="101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w:basedOn w:val="101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1"/>
    <w:basedOn w:val="10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2"/>
    <w:basedOn w:val="10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3"/>
    <w:basedOn w:val="10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4"/>
    <w:basedOn w:val="10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5"/>
    <w:basedOn w:val="10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6"/>
    <w:basedOn w:val="10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w:basedOn w:val="10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1"/>
    <w:basedOn w:val="10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5"/>
    <w:basedOn w:val="10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6"/>
    <w:basedOn w:val="10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w:basedOn w:val="101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1"/>
    <w:basedOn w:val="101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5"/>
    <w:basedOn w:val="101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6"/>
    <w:basedOn w:val="101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w:basedOn w:val="101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1"/>
    <w:basedOn w:val="101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2"/>
    <w:basedOn w:val="101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3"/>
    <w:basedOn w:val="101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4"/>
    <w:basedOn w:val="101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5"/>
    <w:basedOn w:val="101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6"/>
    <w:basedOn w:val="101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1"/>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2"/>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3"/>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Accent 4"/>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5"/>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6"/>
    <w:basedOn w:val="101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6 Colorful"/>
    <w:basedOn w:val="101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4">
    <w:name w:val="Grid Table 6 Colorful - Accent 1"/>
    <w:basedOn w:val="101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5">
    <w:name w:val="Grid Table 6 Colorful - Accent 2"/>
    <w:basedOn w:val="10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6">
    <w:name w:val="Grid Table 6 Colorful - Accent 3"/>
    <w:basedOn w:val="101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7">
    <w:name w:val="Grid Table 6 Colorful - Accent 4"/>
    <w:basedOn w:val="10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8">
    <w:name w:val="Grid Table 6 Colorful - Accent 5"/>
    <w:basedOn w:val="101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6 Colorful - Accent 6"/>
    <w:basedOn w:val="101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7 Colorful"/>
    <w:basedOn w:val="101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1"/>
    <w:basedOn w:val="101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2"/>
    <w:basedOn w:val="101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3"/>
    <w:basedOn w:val="101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4"/>
    <w:basedOn w:val="101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5"/>
    <w:basedOn w:val="101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6"/>
    <w:basedOn w:val="101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1"/>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2"/>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3"/>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4"/>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5"/>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6"/>
    <w:basedOn w:val="101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w:basedOn w:val="101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1"/>
    <w:basedOn w:val="101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2"/>
    <w:basedOn w:val="101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3"/>
    <w:basedOn w:val="101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4"/>
    <w:basedOn w:val="101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5"/>
    <w:basedOn w:val="101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6"/>
    <w:basedOn w:val="101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w:basedOn w:val="10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1"/>
    <w:basedOn w:val="101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2"/>
    <w:basedOn w:val="101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3"/>
    <w:basedOn w:val="101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4"/>
    <w:basedOn w:val="101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5"/>
    <w:basedOn w:val="101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6"/>
    <w:basedOn w:val="101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w:basedOn w:val="101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1"/>
    <w:basedOn w:val="101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2"/>
    <w:basedOn w:val="101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3"/>
    <w:basedOn w:val="101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4"/>
    <w:basedOn w:val="101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5"/>
    <w:basedOn w:val="101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6"/>
    <w:basedOn w:val="101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5 Dark"/>
    <w:basedOn w:val="101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1"/>
    <w:basedOn w:val="101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2"/>
    <w:basedOn w:val="101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3"/>
    <w:basedOn w:val="101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4"/>
    <w:basedOn w:val="101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5"/>
    <w:basedOn w:val="101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6"/>
    <w:basedOn w:val="101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6 Colorful"/>
    <w:basedOn w:val="101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1"/>
    <w:basedOn w:val="101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2"/>
    <w:basedOn w:val="101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3"/>
    <w:basedOn w:val="101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4"/>
    <w:basedOn w:val="101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5"/>
    <w:basedOn w:val="101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6"/>
    <w:basedOn w:val="101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7 Colorful"/>
    <w:basedOn w:val="101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0">
    <w:name w:val="List Table 7 Colorful - Accent 1"/>
    <w:basedOn w:val="101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1">
    <w:name w:val="List Table 7 Colorful - Accent 2"/>
    <w:basedOn w:val="101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2">
    <w:name w:val="List Table 7 Colorful - Accent 3"/>
    <w:basedOn w:val="101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3">
    <w:name w:val="List Table 7 Colorful - Accent 4"/>
    <w:basedOn w:val="101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4">
    <w:name w:val="List Table 7 Colorful - Accent 5"/>
    <w:basedOn w:val="101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5">
    <w:name w:val="List Table 7 Colorful - Accent 6"/>
    <w:basedOn w:val="101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6">
    <w:name w:val="Lined - Accent"/>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1"/>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2"/>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3"/>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4"/>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5"/>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6"/>
    <w:basedOn w:val="101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w:basedOn w:val="101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1"/>
    <w:basedOn w:val="101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2"/>
    <w:basedOn w:val="101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3"/>
    <w:basedOn w:val="101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4"/>
    <w:basedOn w:val="101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5"/>
    <w:basedOn w:val="101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6"/>
    <w:basedOn w:val="101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w:basedOn w:val="101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1"/>
    <w:basedOn w:val="101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2"/>
    <w:basedOn w:val="101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3"/>
    <w:basedOn w:val="101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4"/>
    <w:basedOn w:val="101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5"/>
    <w:basedOn w:val="101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6"/>
    <w:basedOn w:val="101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7">
    <w:name w:val="Heading 5"/>
    <w:basedOn w:val="1008"/>
    <w:next w:val="1008"/>
    <w:link w:val="972"/>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8">
    <w:name w:val="Heading 6"/>
    <w:basedOn w:val="1008"/>
    <w:next w:val="1008"/>
    <w:link w:val="973"/>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9">
    <w:name w:val="Heading 7"/>
    <w:basedOn w:val="1008"/>
    <w:next w:val="1008"/>
    <w:link w:val="974"/>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0">
    <w:name w:val="Heading 8"/>
    <w:basedOn w:val="1008"/>
    <w:next w:val="1008"/>
    <w:link w:val="975"/>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1">
    <w:name w:val="Heading 9"/>
    <w:basedOn w:val="1008"/>
    <w:next w:val="1008"/>
    <w:link w:val="976"/>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2">
    <w:name w:val="Heading 5 Char"/>
    <w:basedOn w:val="1013"/>
    <w:link w:val="967"/>
    <w:uiPriority w:val="9"/>
    <w:pPr>
      <w:pBdr/>
      <w:spacing/>
      <w:ind/>
    </w:pPr>
    <w:rPr>
      <w:rFonts w:ascii="Arial" w:hAnsi="Arial" w:eastAsia="Arial" w:cs="Arial"/>
      <w:color w:val="0f4761" w:themeColor="accent1" w:themeShade="BF"/>
    </w:rPr>
  </w:style>
  <w:style w:type="character" w:styleId="973">
    <w:name w:val="Heading 6 Char"/>
    <w:basedOn w:val="1013"/>
    <w:link w:val="968"/>
    <w:uiPriority w:val="9"/>
    <w:pPr>
      <w:pBdr/>
      <w:spacing/>
      <w:ind/>
    </w:pPr>
    <w:rPr>
      <w:rFonts w:ascii="Arial" w:hAnsi="Arial" w:eastAsia="Arial" w:cs="Arial"/>
      <w:i/>
      <w:iCs/>
      <w:color w:val="595959" w:themeColor="text1" w:themeTint="A6"/>
    </w:rPr>
  </w:style>
  <w:style w:type="character" w:styleId="974">
    <w:name w:val="Heading 7 Char"/>
    <w:basedOn w:val="1013"/>
    <w:link w:val="969"/>
    <w:uiPriority w:val="9"/>
    <w:pPr>
      <w:pBdr/>
      <w:spacing/>
      <w:ind/>
    </w:pPr>
    <w:rPr>
      <w:rFonts w:ascii="Arial" w:hAnsi="Arial" w:eastAsia="Arial" w:cs="Arial"/>
      <w:color w:val="595959" w:themeColor="text1" w:themeTint="A6"/>
    </w:rPr>
  </w:style>
  <w:style w:type="character" w:styleId="975">
    <w:name w:val="Heading 8 Char"/>
    <w:basedOn w:val="1013"/>
    <w:link w:val="970"/>
    <w:uiPriority w:val="9"/>
    <w:pPr>
      <w:pBdr/>
      <w:spacing/>
      <w:ind/>
    </w:pPr>
    <w:rPr>
      <w:rFonts w:ascii="Arial" w:hAnsi="Arial" w:eastAsia="Arial" w:cs="Arial"/>
      <w:i/>
      <w:iCs/>
      <w:color w:val="272727" w:themeColor="text1" w:themeTint="D8"/>
    </w:rPr>
  </w:style>
  <w:style w:type="character" w:styleId="976">
    <w:name w:val="Heading 9 Char"/>
    <w:basedOn w:val="1013"/>
    <w:link w:val="971"/>
    <w:uiPriority w:val="9"/>
    <w:pPr>
      <w:pBdr/>
      <w:spacing/>
      <w:ind/>
    </w:pPr>
    <w:rPr>
      <w:rFonts w:ascii="Arial" w:hAnsi="Arial" w:eastAsia="Arial" w:cs="Arial"/>
      <w:i/>
      <w:iCs/>
      <w:color w:val="272727" w:themeColor="text1" w:themeTint="D8"/>
    </w:rPr>
  </w:style>
  <w:style w:type="paragraph" w:styleId="977">
    <w:name w:val="Subtitle"/>
    <w:basedOn w:val="1008"/>
    <w:next w:val="1008"/>
    <w:link w:val="978"/>
    <w:uiPriority w:val="11"/>
    <w:qFormat/>
    <w:pPr>
      <w:numPr>
        <w:ilvl w:val="1"/>
      </w:numPr>
      <w:pBdr/>
      <w:spacing/>
      <w:ind/>
    </w:pPr>
    <w:rPr>
      <w:color w:val="595959" w:themeColor="text1" w:themeTint="A6"/>
      <w:spacing w:val="15"/>
      <w:sz w:val="28"/>
      <w:szCs w:val="28"/>
    </w:rPr>
  </w:style>
  <w:style w:type="character" w:styleId="978">
    <w:name w:val="Subtitle Char"/>
    <w:basedOn w:val="1013"/>
    <w:link w:val="977"/>
    <w:uiPriority w:val="11"/>
    <w:pPr>
      <w:pBdr/>
      <w:spacing/>
      <w:ind/>
    </w:pPr>
    <w:rPr>
      <w:color w:val="595959" w:themeColor="text1" w:themeTint="A6"/>
      <w:spacing w:val="15"/>
      <w:sz w:val="28"/>
      <w:szCs w:val="28"/>
    </w:rPr>
  </w:style>
  <w:style w:type="paragraph" w:styleId="979">
    <w:name w:val="Quote"/>
    <w:basedOn w:val="1008"/>
    <w:next w:val="1008"/>
    <w:link w:val="980"/>
    <w:uiPriority w:val="29"/>
    <w:qFormat/>
    <w:pPr>
      <w:pBdr/>
      <w:spacing w:before="160"/>
      <w:ind/>
      <w:jc w:val="center"/>
    </w:pPr>
    <w:rPr>
      <w:i/>
      <w:iCs/>
      <w:color w:val="404040" w:themeColor="text1" w:themeTint="BF"/>
    </w:rPr>
  </w:style>
  <w:style w:type="character" w:styleId="980">
    <w:name w:val="Quote Char"/>
    <w:basedOn w:val="1013"/>
    <w:link w:val="979"/>
    <w:uiPriority w:val="29"/>
    <w:pPr>
      <w:pBdr/>
      <w:spacing/>
      <w:ind/>
    </w:pPr>
    <w:rPr>
      <w:i/>
      <w:iCs/>
      <w:color w:val="404040" w:themeColor="text1" w:themeTint="BF"/>
    </w:rPr>
  </w:style>
  <w:style w:type="character" w:styleId="981">
    <w:name w:val="Intense Emphasis"/>
    <w:basedOn w:val="1013"/>
    <w:uiPriority w:val="21"/>
    <w:qFormat/>
    <w:pPr>
      <w:pBdr/>
      <w:spacing/>
      <w:ind/>
    </w:pPr>
    <w:rPr>
      <w:i/>
      <w:iCs/>
      <w:color w:val="0f4761" w:themeColor="accent1" w:themeShade="BF"/>
    </w:rPr>
  </w:style>
  <w:style w:type="paragraph" w:styleId="982">
    <w:name w:val="Intense Quote"/>
    <w:basedOn w:val="1008"/>
    <w:next w:val="1008"/>
    <w:link w:val="98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3">
    <w:name w:val="Intense Quote Char"/>
    <w:basedOn w:val="1013"/>
    <w:link w:val="982"/>
    <w:uiPriority w:val="30"/>
    <w:pPr>
      <w:pBdr/>
      <w:spacing/>
      <w:ind/>
    </w:pPr>
    <w:rPr>
      <w:i/>
      <w:iCs/>
      <w:color w:val="0f4761" w:themeColor="accent1" w:themeShade="BF"/>
    </w:rPr>
  </w:style>
  <w:style w:type="character" w:styleId="984">
    <w:name w:val="Intense Reference"/>
    <w:basedOn w:val="1013"/>
    <w:uiPriority w:val="32"/>
    <w:qFormat/>
    <w:pPr>
      <w:pBdr/>
      <w:spacing/>
      <w:ind/>
    </w:pPr>
    <w:rPr>
      <w:b/>
      <w:bCs/>
      <w:smallCaps/>
      <w:color w:val="0f4761" w:themeColor="accent1" w:themeShade="BF"/>
      <w:spacing w:val="5"/>
    </w:rPr>
  </w:style>
  <w:style w:type="paragraph" w:styleId="985">
    <w:name w:val="No Spacing"/>
    <w:basedOn w:val="1008"/>
    <w:uiPriority w:val="1"/>
    <w:qFormat/>
    <w:pPr>
      <w:pBdr/>
      <w:spacing w:after="0" w:line="240" w:lineRule="auto"/>
      <w:ind/>
    </w:pPr>
  </w:style>
  <w:style w:type="character" w:styleId="986">
    <w:name w:val="Subtle Emphasis"/>
    <w:basedOn w:val="1013"/>
    <w:uiPriority w:val="19"/>
    <w:qFormat/>
    <w:pPr>
      <w:pBdr/>
      <w:spacing/>
      <w:ind/>
    </w:pPr>
    <w:rPr>
      <w:i/>
      <w:iCs/>
      <w:color w:val="404040" w:themeColor="text1" w:themeTint="BF"/>
    </w:rPr>
  </w:style>
  <w:style w:type="character" w:styleId="987">
    <w:name w:val="Subtle Reference"/>
    <w:basedOn w:val="1013"/>
    <w:uiPriority w:val="31"/>
    <w:qFormat/>
    <w:pPr>
      <w:pBdr/>
      <w:spacing/>
      <w:ind/>
    </w:pPr>
    <w:rPr>
      <w:smallCaps/>
      <w:color w:val="5a5a5a" w:themeColor="text1" w:themeTint="A5"/>
    </w:rPr>
  </w:style>
  <w:style w:type="character" w:styleId="988">
    <w:name w:val="Book Title"/>
    <w:basedOn w:val="1013"/>
    <w:uiPriority w:val="33"/>
    <w:qFormat/>
    <w:pPr>
      <w:pBdr/>
      <w:spacing/>
      <w:ind/>
    </w:pPr>
    <w:rPr>
      <w:b/>
      <w:bCs/>
      <w:i/>
      <w:iCs/>
      <w:spacing w:val="5"/>
    </w:rPr>
  </w:style>
  <w:style w:type="paragraph" w:styleId="989">
    <w:name w:val="Caption"/>
    <w:basedOn w:val="1008"/>
    <w:next w:val="1008"/>
    <w:uiPriority w:val="35"/>
    <w:unhideWhenUsed/>
    <w:qFormat/>
    <w:pPr>
      <w:pBdr/>
      <w:spacing w:after="200" w:line="240" w:lineRule="auto"/>
      <w:ind/>
    </w:pPr>
    <w:rPr>
      <w:i/>
      <w:iCs/>
      <w:color w:val="0e2841" w:themeColor="text2"/>
      <w:sz w:val="18"/>
      <w:szCs w:val="18"/>
    </w:rPr>
  </w:style>
  <w:style w:type="paragraph" w:styleId="990">
    <w:name w:val="footnote text"/>
    <w:basedOn w:val="1008"/>
    <w:link w:val="991"/>
    <w:uiPriority w:val="99"/>
    <w:semiHidden/>
    <w:unhideWhenUsed/>
    <w:pPr>
      <w:pBdr/>
      <w:spacing w:after="0" w:line="240" w:lineRule="auto"/>
      <w:ind/>
    </w:pPr>
    <w:rPr>
      <w:sz w:val="20"/>
      <w:szCs w:val="20"/>
    </w:rPr>
  </w:style>
  <w:style w:type="character" w:styleId="991">
    <w:name w:val="Footnote Text Char"/>
    <w:basedOn w:val="1013"/>
    <w:link w:val="990"/>
    <w:uiPriority w:val="99"/>
    <w:semiHidden/>
    <w:pPr>
      <w:pBdr/>
      <w:spacing/>
      <w:ind/>
    </w:pPr>
    <w:rPr>
      <w:sz w:val="20"/>
      <w:szCs w:val="20"/>
    </w:rPr>
  </w:style>
  <w:style w:type="character" w:styleId="992">
    <w:name w:val="footnote reference"/>
    <w:basedOn w:val="1013"/>
    <w:uiPriority w:val="99"/>
    <w:semiHidden/>
    <w:unhideWhenUsed/>
    <w:pPr>
      <w:pBdr/>
      <w:spacing/>
      <w:ind/>
    </w:pPr>
    <w:rPr>
      <w:vertAlign w:val="superscript"/>
    </w:rPr>
  </w:style>
  <w:style w:type="paragraph" w:styleId="993">
    <w:name w:val="endnote text"/>
    <w:basedOn w:val="1008"/>
    <w:link w:val="994"/>
    <w:uiPriority w:val="99"/>
    <w:semiHidden/>
    <w:unhideWhenUsed/>
    <w:pPr>
      <w:pBdr/>
      <w:spacing w:after="0" w:line="240" w:lineRule="auto"/>
      <w:ind/>
    </w:pPr>
    <w:rPr>
      <w:sz w:val="20"/>
      <w:szCs w:val="20"/>
    </w:rPr>
  </w:style>
  <w:style w:type="character" w:styleId="994">
    <w:name w:val="Endnote Text Char"/>
    <w:basedOn w:val="1013"/>
    <w:link w:val="993"/>
    <w:uiPriority w:val="99"/>
    <w:semiHidden/>
    <w:pPr>
      <w:pBdr/>
      <w:spacing/>
      <w:ind/>
    </w:pPr>
    <w:rPr>
      <w:sz w:val="20"/>
      <w:szCs w:val="20"/>
    </w:rPr>
  </w:style>
  <w:style w:type="character" w:styleId="995">
    <w:name w:val="endnote reference"/>
    <w:basedOn w:val="1013"/>
    <w:uiPriority w:val="99"/>
    <w:semiHidden/>
    <w:unhideWhenUsed/>
    <w:pPr>
      <w:pBdr/>
      <w:spacing/>
      <w:ind/>
    </w:pPr>
    <w:rPr>
      <w:vertAlign w:val="superscript"/>
    </w:rPr>
  </w:style>
  <w:style w:type="paragraph" w:styleId="996">
    <w:name w:val="toc 1"/>
    <w:basedOn w:val="1008"/>
    <w:next w:val="1008"/>
    <w:uiPriority w:val="39"/>
    <w:unhideWhenUsed/>
    <w:pPr>
      <w:pBdr/>
      <w:spacing w:after="100"/>
      <w:ind/>
    </w:pPr>
  </w:style>
  <w:style w:type="paragraph" w:styleId="997">
    <w:name w:val="toc 2"/>
    <w:basedOn w:val="1008"/>
    <w:next w:val="1008"/>
    <w:uiPriority w:val="39"/>
    <w:unhideWhenUsed/>
    <w:pPr>
      <w:pBdr/>
      <w:spacing w:after="100"/>
      <w:ind w:left="220"/>
    </w:pPr>
  </w:style>
  <w:style w:type="paragraph" w:styleId="998">
    <w:name w:val="toc 3"/>
    <w:basedOn w:val="1008"/>
    <w:next w:val="1008"/>
    <w:uiPriority w:val="39"/>
    <w:unhideWhenUsed/>
    <w:pPr>
      <w:pBdr/>
      <w:spacing w:after="100"/>
      <w:ind w:left="440"/>
    </w:pPr>
  </w:style>
  <w:style w:type="paragraph" w:styleId="999">
    <w:name w:val="toc 4"/>
    <w:basedOn w:val="1008"/>
    <w:next w:val="1008"/>
    <w:uiPriority w:val="39"/>
    <w:unhideWhenUsed/>
    <w:pPr>
      <w:pBdr/>
      <w:spacing w:after="100"/>
      <w:ind w:left="660"/>
    </w:pPr>
  </w:style>
  <w:style w:type="paragraph" w:styleId="1000">
    <w:name w:val="toc 5"/>
    <w:basedOn w:val="1008"/>
    <w:next w:val="1008"/>
    <w:uiPriority w:val="39"/>
    <w:unhideWhenUsed/>
    <w:pPr>
      <w:pBdr/>
      <w:spacing w:after="100"/>
      <w:ind w:left="880"/>
    </w:pPr>
  </w:style>
  <w:style w:type="paragraph" w:styleId="1001">
    <w:name w:val="toc 6"/>
    <w:basedOn w:val="1008"/>
    <w:next w:val="1008"/>
    <w:uiPriority w:val="39"/>
    <w:unhideWhenUsed/>
    <w:pPr>
      <w:pBdr/>
      <w:spacing w:after="100"/>
      <w:ind w:left="1100"/>
    </w:pPr>
  </w:style>
  <w:style w:type="paragraph" w:styleId="1002">
    <w:name w:val="toc 7"/>
    <w:basedOn w:val="1008"/>
    <w:next w:val="1008"/>
    <w:uiPriority w:val="39"/>
    <w:unhideWhenUsed/>
    <w:pPr>
      <w:pBdr/>
      <w:spacing w:after="100"/>
      <w:ind w:left="1320"/>
    </w:pPr>
  </w:style>
  <w:style w:type="paragraph" w:styleId="1003">
    <w:name w:val="toc 8"/>
    <w:basedOn w:val="1008"/>
    <w:next w:val="1008"/>
    <w:uiPriority w:val="39"/>
    <w:unhideWhenUsed/>
    <w:pPr>
      <w:pBdr/>
      <w:spacing w:after="100"/>
      <w:ind w:left="1540"/>
    </w:pPr>
  </w:style>
  <w:style w:type="paragraph" w:styleId="1004">
    <w:name w:val="toc 9"/>
    <w:basedOn w:val="1008"/>
    <w:next w:val="1008"/>
    <w:uiPriority w:val="39"/>
    <w:unhideWhenUsed/>
    <w:pPr>
      <w:pBdr/>
      <w:spacing w:after="100"/>
      <w:ind w:left="1760"/>
    </w:pPr>
  </w:style>
  <w:style w:type="character" w:styleId="1005">
    <w:name w:val="Placeholder Text"/>
    <w:basedOn w:val="1013"/>
    <w:uiPriority w:val="99"/>
    <w:semiHidden/>
    <w:pPr>
      <w:pBdr/>
      <w:spacing/>
      <w:ind/>
    </w:pPr>
    <w:rPr>
      <w:color w:val="666666"/>
    </w:rPr>
  </w:style>
  <w:style w:type="paragraph" w:styleId="1006">
    <w:name w:val="TOC Heading"/>
    <w:uiPriority w:val="39"/>
    <w:unhideWhenUsed/>
    <w:pPr>
      <w:pBdr/>
      <w:spacing/>
      <w:ind/>
    </w:pPr>
  </w:style>
  <w:style w:type="paragraph" w:styleId="1007">
    <w:name w:val="table of figures"/>
    <w:basedOn w:val="1008"/>
    <w:next w:val="1008"/>
    <w:uiPriority w:val="99"/>
    <w:unhideWhenUsed/>
    <w:pPr>
      <w:pBdr/>
      <w:spacing w:after="0" w:afterAutospacing="0"/>
      <w:ind/>
    </w:pPr>
  </w:style>
  <w:style w:type="paragraph" w:styleId="1008" w:default="1">
    <w:name w:val="Normal"/>
    <w:qFormat/>
    <w:pPr>
      <w:pBdr/>
      <w:spacing w:after="0" w:line="240" w:lineRule="auto"/>
      <w:ind/>
    </w:pPr>
    <w:rPr>
      <w:rFonts w:ascii="Times New Roman" w:hAnsi="Times New Roman" w:eastAsia="Times New Roman" w:cs="Times New Roman"/>
      <w:sz w:val="24"/>
      <w:szCs w:val="24"/>
    </w:rPr>
  </w:style>
  <w:style w:type="paragraph" w:styleId="1009">
    <w:name w:val="Heading 1"/>
    <w:basedOn w:val="1008"/>
    <w:next w:val="1008"/>
    <w:link w:val="1016"/>
    <w:qFormat/>
    <w:pPr>
      <w:keepNext w:val="true"/>
      <w:pBdr/>
      <w:spacing w:after="120" w:before="120"/>
      <w:ind/>
      <w:jc w:val="center"/>
      <w:outlineLvl w:val="0"/>
    </w:pPr>
    <w:rPr>
      <w:b/>
      <w:bCs/>
      <w:sz w:val="27"/>
      <w:szCs w:val="27"/>
    </w:rPr>
  </w:style>
  <w:style w:type="paragraph" w:styleId="1010">
    <w:name w:val="Heading 2"/>
    <w:basedOn w:val="1008"/>
    <w:next w:val="1008"/>
    <w:link w:val="1017"/>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1">
    <w:name w:val="Heading 3"/>
    <w:basedOn w:val="1008"/>
    <w:next w:val="1008"/>
    <w:link w:val="1018"/>
    <w:qFormat/>
    <w:pPr>
      <w:keepNext w:val="true"/>
      <w:pBdr/>
      <w:spacing w:before="60"/>
      <w:ind/>
      <w:outlineLvl w:val="2"/>
    </w:pPr>
    <w:rPr>
      <w:sz w:val="28"/>
      <w:szCs w:val="28"/>
    </w:rPr>
  </w:style>
  <w:style w:type="paragraph" w:styleId="1012">
    <w:name w:val="Heading 4"/>
    <w:basedOn w:val="1008"/>
    <w:next w:val="1008"/>
    <w:link w:val="1019"/>
    <w:qFormat/>
    <w:pPr>
      <w:keepNext w:val="true"/>
      <w:pBdr/>
      <w:spacing/>
      <w:ind/>
      <w:jc w:val="center"/>
      <w:outlineLvl w:val="3"/>
    </w:pPr>
    <w:rPr>
      <w:b/>
      <w:bCs/>
    </w:rPr>
  </w:style>
  <w:style w:type="character" w:styleId="1013" w:default="1">
    <w:name w:val="Default Paragraph Font"/>
    <w:uiPriority w:val="1"/>
    <w:semiHidden/>
    <w:unhideWhenUsed/>
    <w:pPr>
      <w:pBdr/>
      <w:spacing/>
      <w:ind/>
    </w:pPr>
  </w:style>
  <w:style w:type="table" w:styleId="101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5" w:default="1">
    <w:name w:val="No List"/>
    <w:uiPriority w:val="99"/>
    <w:semiHidden/>
    <w:unhideWhenUsed/>
    <w:pPr>
      <w:pBdr/>
      <w:spacing/>
      <w:ind/>
    </w:pPr>
  </w:style>
  <w:style w:type="character" w:styleId="1016" w:customStyle="1">
    <w:name w:val="Heading 1 Char"/>
    <w:basedOn w:val="1013"/>
    <w:link w:val="1009"/>
    <w:pPr>
      <w:pBdr/>
      <w:spacing/>
      <w:ind/>
    </w:pPr>
    <w:rPr>
      <w:rFonts w:ascii="Times New Roman" w:hAnsi="Times New Roman" w:eastAsia="Times New Roman" w:cs="Times New Roman"/>
      <w:b/>
      <w:bCs/>
      <w:sz w:val="27"/>
      <w:szCs w:val="27"/>
    </w:rPr>
  </w:style>
  <w:style w:type="character" w:styleId="1017" w:customStyle="1">
    <w:name w:val="Heading 2 Char"/>
    <w:basedOn w:val="1013"/>
    <w:link w:val="1010"/>
    <w:uiPriority w:val="9"/>
    <w:pPr>
      <w:pBdr/>
      <w:spacing/>
      <w:ind/>
    </w:pPr>
    <w:rPr>
      <w:rFonts w:asciiTheme="majorHAnsi" w:hAnsiTheme="majorHAnsi" w:eastAsiaTheme="majorEastAsia" w:cstheme="majorBidi"/>
      <w:color w:val="365f91" w:themeColor="accent1" w:themeShade="BF"/>
      <w:sz w:val="26"/>
      <w:szCs w:val="26"/>
    </w:rPr>
  </w:style>
  <w:style w:type="character" w:styleId="1018" w:customStyle="1">
    <w:name w:val="Heading 3 Char"/>
    <w:basedOn w:val="1013"/>
    <w:link w:val="1011"/>
    <w:pPr>
      <w:pBdr/>
      <w:spacing/>
      <w:ind/>
    </w:pPr>
    <w:rPr>
      <w:rFonts w:ascii="Times New Roman" w:hAnsi="Times New Roman" w:eastAsia="Times New Roman" w:cs="Times New Roman"/>
      <w:sz w:val="28"/>
      <w:szCs w:val="28"/>
    </w:rPr>
  </w:style>
  <w:style w:type="character" w:styleId="1019" w:customStyle="1">
    <w:name w:val="Heading 4 Char"/>
    <w:basedOn w:val="1013"/>
    <w:link w:val="1012"/>
    <w:pPr>
      <w:pBdr/>
      <w:spacing/>
      <w:ind/>
    </w:pPr>
    <w:rPr>
      <w:rFonts w:ascii="Times New Roman" w:hAnsi="Times New Roman" w:eastAsia="Times New Roman" w:cs="Times New Roman"/>
      <w:b/>
      <w:bCs/>
      <w:sz w:val="24"/>
      <w:szCs w:val="24"/>
    </w:rPr>
  </w:style>
  <w:style w:type="character" w:styleId="1020">
    <w:name w:val="Hyperlink"/>
    <w:uiPriority w:val="99"/>
    <w:pPr>
      <w:pBdr/>
      <w:spacing/>
      <w:ind/>
    </w:pPr>
    <w:rPr>
      <w:color w:val="000000"/>
      <w:u w:val="single"/>
    </w:rPr>
  </w:style>
  <w:style w:type="character" w:styleId="1021">
    <w:name w:val="Strong"/>
    <w:uiPriority w:val="22"/>
    <w:qFormat/>
    <w:pPr>
      <w:pBdr/>
      <w:spacing/>
      <w:ind/>
    </w:pPr>
    <w:rPr>
      <w:b/>
      <w:bCs/>
    </w:rPr>
  </w:style>
  <w:style w:type="paragraph" w:styleId="1022">
    <w:name w:val="Balloon Text"/>
    <w:basedOn w:val="1008"/>
    <w:link w:val="1023"/>
    <w:uiPriority w:val="99"/>
    <w:semiHidden/>
    <w:unhideWhenUsed/>
    <w:pPr>
      <w:pBdr/>
      <w:spacing/>
      <w:ind/>
    </w:pPr>
    <w:rPr>
      <w:rFonts w:ascii="Tahoma" w:hAnsi="Tahoma" w:cs="Tahoma"/>
      <w:sz w:val="16"/>
      <w:szCs w:val="16"/>
    </w:rPr>
  </w:style>
  <w:style w:type="character" w:styleId="1023" w:customStyle="1">
    <w:name w:val="Balloon Text Char"/>
    <w:basedOn w:val="1013"/>
    <w:link w:val="1022"/>
    <w:uiPriority w:val="99"/>
    <w:semiHidden/>
    <w:pPr>
      <w:pBdr/>
      <w:spacing/>
      <w:ind/>
    </w:pPr>
    <w:rPr>
      <w:rFonts w:ascii="Tahoma" w:hAnsi="Tahoma" w:eastAsia="Times New Roman" w:cs="Tahoma"/>
      <w:sz w:val="16"/>
      <w:szCs w:val="16"/>
    </w:rPr>
  </w:style>
  <w:style w:type="paragraph" w:styleId="1024">
    <w:name w:val="Header"/>
    <w:basedOn w:val="1008"/>
    <w:link w:val="1025"/>
    <w:unhideWhenUsed/>
    <w:pPr>
      <w:pBdr/>
      <w:tabs>
        <w:tab w:val="center" w:leader="none" w:pos="4680"/>
        <w:tab w:val="right" w:leader="none" w:pos="9360"/>
      </w:tabs>
      <w:spacing/>
      <w:ind/>
    </w:pPr>
  </w:style>
  <w:style w:type="character" w:styleId="1025" w:customStyle="1">
    <w:name w:val="Header Char"/>
    <w:basedOn w:val="1013"/>
    <w:link w:val="1024"/>
    <w:pPr>
      <w:pBdr/>
      <w:spacing/>
      <w:ind/>
    </w:pPr>
    <w:rPr>
      <w:rFonts w:ascii="Times New Roman" w:hAnsi="Times New Roman" w:eastAsia="Times New Roman" w:cs="Times New Roman"/>
      <w:sz w:val="24"/>
      <w:szCs w:val="24"/>
    </w:rPr>
  </w:style>
  <w:style w:type="paragraph" w:styleId="1026">
    <w:name w:val="Footer"/>
    <w:basedOn w:val="1008"/>
    <w:link w:val="1027"/>
    <w:uiPriority w:val="99"/>
    <w:unhideWhenUsed/>
    <w:pPr>
      <w:pBdr/>
      <w:tabs>
        <w:tab w:val="center" w:leader="none" w:pos="4680"/>
        <w:tab w:val="right" w:leader="none" w:pos="9360"/>
      </w:tabs>
      <w:spacing/>
      <w:ind/>
    </w:pPr>
  </w:style>
  <w:style w:type="character" w:styleId="1027" w:customStyle="1">
    <w:name w:val="Footer Char"/>
    <w:basedOn w:val="1013"/>
    <w:link w:val="1026"/>
    <w:uiPriority w:val="99"/>
    <w:pPr>
      <w:pBdr/>
      <w:spacing/>
      <w:ind/>
    </w:pPr>
    <w:rPr>
      <w:rFonts w:ascii="Times New Roman" w:hAnsi="Times New Roman" w:eastAsia="Times New Roman" w:cs="Times New Roman"/>
      <w:sz w:val="24"/>
      <w:szCs w:val="24"/>
    </w:rPr>
  </w:style>
  <w:style w:type="character" w:styleId="1028" w:customStyle="1">
    <w:name w:val="normal-h1"/>
    <w:pPr>
      <w:pBdr/>
      <w:spacing/>
      <w:ind/>
    </w:pPr>
    <w:rPr>
      <w:rFonts w:hint="default" w:ascii=".VnTime" w:hAnsi=".VnTime"/>
      <w:color w:val="0000ff"/>
      <w:sz w:val="24"/>
      <w:szCs w:val="24"/>
    </w:rPr>
  </w:style>
  <w:style w:type="paragraph" w:styleId="1029" w:customStyle="1">
    <w:name w:val="normal-p"/>
    <w:basedOn w:val="1008"/>
    <w:pPr>
      <w:pBdr/>
      <w:spacing/>
      <w:ind/>
      <w:jc w:val="both"/>
    </w:pPr>
    <w:rPr>
      <w:sz w:val="20"/>
      <w:szCs w:val="20"/>
    </w:rPr>
  </w:style>
  <w:style w:type="paragraph" w:styleId="1030">
    <w:name w:val="List Paragraph"/>
    <w:basedOn w:val="1008"/>
    <w:link w:val="1117"/>
    <w:uiPriority w:val="34"/>
    <w:qFormat/>
    <w:pPr>
      <w:pBdr/>
      <w:spacing/>
      <w:ind w:left="720"/>
    </w:pPr>
  </w:style>
  <w:style w:type="paragraph" w:styleId="1031">
    <w:name w:val="Normal (Web)"/>
    <w:basedOn w:val="1008"/>
    <w:uiPriority w:val="99"/>
    <w:pPr>
      <w:pBdr/>
      <w:spacing w:after="100" w:afterAutospacing="1" w:before="100" w:beforeAutospacing="1"/>
      <w:ind/>
    </w:pPr>
  </w:style>
  <w:style w:type="paragraph" w:styleId="1032">
    <w:name w:val="Body Text"/>
    <w:basedOn w:val="1008"/>
    <w:link w:val="1033"/>
    <w:pPr>
      <w:pBdr/>
      <w:spacing w:after="120"/>
      <w:ind/>
      <w:jc w:val="both"/>
    </w:pPr>
  </w:style>
  <w:style w:type="character" w:styleId="1033" w:customStyle="1">
    <w:name w:val="Body Text Char"/>
    <w:basedOn w:val="1013"/>
    <w:link w:val="1032"/>
    <w:pPr>
      <w:pBdr/>
      <w:spacing/>
      <w:ind/>
    </w:pPr>
    <w:rPr>
      <w:rFonts w:ascii="Times New Roman" w:hAnsi="Times New Roman" w:eastAsia="Times New Roman" w:cs="Times New Roman"/>
      <w:sz w:val="24"/>
      <w:szCs w:val="24"/>
    </w:rPr>
  </w:style>
  <w:style w:type="table" w:styleId="1034">
    <w:name w:val="Table Grid"/>
    <w:basedOn w:val="1014"/>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5"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6">
    <w:name w:val="annotation reference"/>
    <w:basedOn w:val="1013"/>
    <w:uiPriority w:val="99"/>
    <w:semiHidden/>
    <w:unhideWhenUsed/>
    <w:pPr>
      <w:pBdr/>
      <w:spacing/>
      <w:ind/>
    </w:pPr>
    <w:rPr>
      <w:sz w:val="16"/>
      <w:szCs w:val="16"/>
    </w:rPr>
  </w:style>
  <w:style w:type="paragraph" w:styleId="1037">
    <w:name w:val="annotation text"/>
    <w:basedOn w:val="1008"/>
    <w:link w:val="1038"/>
    <w:uiPriority w:val="99"/>
    <w:unhideWhenUsed/>
    <w:pPr>
      <w:pBdr/>
      <w:spacing/>
      <w:ind/>
    </w:pPr>
    <w:rPr>
      <w:sz w:val="20"/>
      <w:szCs w:val="20"/>
    </w:rPr>
  </w:style>
  <w:style w:type="character" w:styleId="1038" w:customStyle="1">
    <w:name w:val="Comment Text Char"/>
    <w:basedOn w:val="1013"/>
    <w:link w:val="1037"/>
    <w:uiPriority w:val="99"/>
    <w:pPr>
      <w:pBdr/>
      <w:spacing/>
      <w:ind/>
    </w:pPr>
    <w:rPr>
      <w:rFonts w:ascii="Times New Roman" w:hAnsi="Times New Roman" w:eastAsia="Times New Roman" w:cs="Times New Roman"/>
      <w:sz w:val="20"/>
      <w:szCs w:val="20"/>
    </w:rPr>
  </w:style>
  <w:style w:type="paragraph" w:styleId="1039">
    <w:name w:val="annotation subject"/>
    <w:basedOn w:val="1037"/>
    <w:next w:val="1037"/>
    <w:link w:val="1040"/>
    <w:uiPriority w:val="99"/>
    <w:semiHidden/>
    <w:unhideWhenUsed/>
    <w:pPr>
      <w:pBdr/>
      <w:spacing/>
      <w:ind/>
    </w:pPr>
    <w:rPr>
      <w:b/>
      <w:bCs/>
    </w:rPr>
  </w:style>
  <w:style w:type="character" w:styleId="1040" w:customStyle="1">
    <w:name w:val="Comment Subject Char"/>
    <w:basedOn w:val="1038"/>
    <w:link w:val="1039"/>
    <w:uiPriority w:val="99"/>
    <w:semiHidden/>
    <w:pPr>
      <w:pBdr/>
      <w:spacing/>
      <w:ind/>
    </w:pPr>
    <w:rPr>
      <w:rFonts w:ascii="Times New Roman" w:hAnsi="Times New Roman" w:eastAsia="Times New Roman" w:cs="Times New Roman"/>
      <w:b/>
      <w:bCs/>
      <w:sz w:val="20"/>
      <w:szCs w:val="20"/>
    </w:rPr>
  </w:style>
  <w:style w:type="paragraph" w:styleId="1041" w:customStyle="1">
    <w:name w:val="font5"/>
    <w:basedOn w:val="1008"/>
    <w:pPr>
      <w:pBdr/>
      <w:spacing w:after="100" w:afterAutospacing="1" w:before="100" w:beforeAutospacing="1"/>
      <w:ind/>
    </w:pPr>
    <w:rPr>
      <w:rFonts w:ascii="Tahoma" w:hAnsi="Tahoma" w:cs="Tahoma"/>
      <w:color w:val="000000"/>
      <w:sz w:val="18"/>
      <w:szCs w:val="18"/>
    </w:rPr>
  </w:style>
  <w:style w:type="paragraph" w:styleId="1042" w:customStyle="1">
    <w:name w:val="font6"/>
    <w:basedOn w:val="1008"/>
    <w:pPr>
      <w:pBdr/>
      <w:spacing w:after="100" w:afterAutospacing="1" w:before="100" w:beforeAutospacing="1"/>
      <w:ind/>
    </w:pPr>
    <w:rPr>
      <w:rFonts w:ascii="Tahoma" w:hAnsi="Tahoma" w:cs="Tahoma"/>
      <w:b/>
      <w:bCs/>
      <w:color w:val="000000"/>
      <w:sz w:val="18"/>
      <w:szCs w:val="18"/>
    </w:rPr>
  </w:style>
  <w:style w:type="paragraph" w:styleId="1043" w:customStyle="1">
    <w:name w:val="xl233"/>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4" w:customStyle="1">
    <w:name w:val="xl234"/>
    <w:basedOn w:val="1008"/>
    <w:pPr>
      <w:pBdr/>
      <w:spacing w:after="100" w:afterAutospacing="1" w:before="100" w:beforeAutospacing="1"/>
      <w:ind/>
      <w:jc w:val="center"/>
    </w:pPr>
  </w:style>
  <w:style w:type="paragraph" w:styleId="1045" w:customStyle="1">
    <w:name w:val="xl235"/>
    <w:basedOn w:val="1008"/>
    <w:pPr>
      <w:pBdr/>
      <w:spacing w:after="100" w:afterAutospacing="1" w:before="100" w:beforeAutospacing="1"/>
      <w:ind/>
      <w:jc w:val="center"/>
    </w:pPr>
    <w:rPr>
      <w:b/>
      <w:bCs/>
    </w:rPr>
  </w:style>
  <w:style w:type="paragraph" w:styleId="1046" w:customStyle="1">
    <w:name w:val="xl236"/>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7" w:customStyle="1">
    <w:name w:val="xl23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8" w:customStyle="1">
    <w:name w:val="xl238"/>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9" w:customStyle="1">
    <w:name w:val="xl23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0" w:customStyle="1">
    <w:name w:val="xl240"/>
    <w:basedOn w:val="1008"/>
    <w:pPr>
      <w:pBdr/>
      <w:spacing w:after="100" w:afterAutospacing="1" w:before="100" w:beforeAutospacing="1"/>
      <w:ind/>
    </w:pPr>
  </w:style>
  <w:style w:type="paragraph" w:styleId="1051" w:customStyle="1">
    <w:name w:val="xl241"/>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2" w:customStyle="1">
    <w:name w:val="xl242"/>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3"/>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4" w:customStyle="1">
    <w:name w:val="xl244"/>
    <w:basedOn w:val="1008"/>
    <w:pPr>
      <w:pBdr/>
      <w:spacing w:after="100" w:afterAutospacing="1" w:before="100" w:beforeAutospacing="1"/>
      <w:ind/>
    </w:pPr>
    <w:rPr>
      <w:b/>
      <w:bCs/>
    </w:rPr>
  </w:style>
  <w:style w:type="paragraph" w:styleId="1055" w:customStyle="1">
    <w:name w:val="xl245"/>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6" w:customStyle="1">
    <w:name w:val="xl246"/>
    <w:basedOn w:val="100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7" w:customStyle="1">
    <w:name w:val="xl247"/>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8" w:customStyle="1">
    <w:name w:val="xl248"/>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9" w:customStyle="1">
    <w:name w:val="xl24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0" w:customStyle="1">
    <w:name w:val="xl250"/>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1" w:customStyle="1">
    <w:name w:val="xl251"/>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3"/>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4"/>
    <w:basedOn w:val="1008"/>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5" w:customStyle="1">
    <w:name w:val="xl255"/>
    <w:basedOn w:val="100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6"/>
    <w:basedOn w:val="1008"/>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8"/>
    <w:basedOn w:val="1008"/>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0"/>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1"/>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2"/>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3" w:customStyle="1">
    <w:name w:val="xl263"/>
    <w:basedOn w:val="1008"/>
    <w:pPr>
      <w:pBdr/>
      <w:shd w:val="clear" w:color="000000" w:fill="ffffff"/>
      <w:spacing w:after="100" w:afterAutospacing="1" w:before="100" w:beforeAutospacing="1"/>
      <w:ind/>
    </w:pPr>
  </w:style>
  <w:style w:type="paragraph" w:styleId="1074" w:customStyle="1">
    <w:name w:val="xl264"/>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5" w:customStyle="1">
    <w:name w:val="xl265"/>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6" w:customStyle="1">
    <w:name w:val="xl26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7" w:customStyle="1">
    <w:name w:val="xl267"/>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68"/>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69"/>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70"/>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1" w:customStyle="1">
    <w:name w:val="xl271"/>
    <w:basedOn w:val="1008"/>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2" w:customStyle="1">
    <w:name w:val="xl27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73"/>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4" w:customStyle="1">
    <w:name w:val="xl274"/>
    <w:basedOn w:val="1008"/>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75"/>
    <w:basedOn w:val="1008"/>
    <w:pPr>
      <w:pBdr/>
      <w:spacing w:after="100" w:afterAutospacing="1" w:before="100" w:beforeAutospacing="1"/>
      <w:ind/>
    </w:pPr>
  </w:style>
  <w:style w:type="paragraph" w:styleId="1086" w:customStyle="1">
    <w:name w:val="xl27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7" w:customStyle="1">
    <w:name w:val="xl277"/>
    <w:basedOn w:val="1008"/>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8" w:customStyle="1">
    <w:name w:val="xl278"/>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79"/>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80"/>
    <w:basedOn w:val="1008"/>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1" w:customStyle="1">
    <w:name w:val="xl281"/>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2" w:customStyle="1">
    <w:name w:val="xl282"/>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3"/>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4"/>
    <w:basedOn w:val="1008"/>
    <w:pPr>
      <w:pBdr>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5"/>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86"/>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7" w:customStyle="1">
    <w:name w:val="xl287"/>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8" w:customStyle="1">
    <w:name w:val="xl288"/>
    <w:basedOn w:val="1008"/>
    <w:pPr>
      <w:pBdr>
        <w:top w:val="single" w:color="000000" w:sz="4" w:space="0"/>
        <w:left w:val="single" w:color="000000" w:sz="4" w:space="0"/>
        <w:right w:val="single" w:color="000000" w:sz="4" w:space="0"/>
      </w:pBdr>
      <w:spacing w:after="100" w:afterAutospacing="1" w:before="100" w:beforeAutospacing="1"/>
      <w:ind/>
    </w:pPr>
  </w:style>
  <w:style w:type="paragraph" w:styleId="1099" w:customStyle="1">
    <w:name w:val="xl289"/>
    <w:basedOn w:val="1008"/>
    <w:pPr>
      <w:pBdr>
        <w:left w:val="single" w:color="000000" w:sz="4" w:space="0"/>
        <w:right w:val="single" w:color="000000" w:sz="4" w:space="0"/>
      </w:pBdr>
      <w:spacing w:after="100" w:afterAutospacing="1" w:before="100" w:beforeAutospacing="1"/>
      <w:ind/>
    </w:pPr>
    <w:rPr>
      <w:b/>
      <w:bCs/>
    </w:rPr>
  </w:style>
  <w:style w:type="paragraph" w:styleId="1100" w:customStyle="1">
    <w:name w:val="xl290"/>
    <w:basedOn w:val="1008"/>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1" w:customStyle="1">
    <w:name w:val="xl291"/>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92"/>
    <w:basedOn w:val="1008"/>
    <w:pPr>
      <w:pBdr>
        <w:top w:val="single" w:color="000000" w:sz="4" w:space="0"/>
        <w:left w:val="single" w:color="000000" w:sz="4" w:space="0"/>
        <w:right w:val="single" w:color="000000" w:sz="4" w:space="0"/>
      </w:pBdr>
      <w:spacing w:after="100" w:afterAutospacing="1" w:before="100" w:beforeAutospacing="1"/>
      <w:ind/>
    </w:pPr>
  </w:style>
  <w:style w:type="paragraph" w:styleId="1103" w:customStyle="1">
    <w:name w:val="xl293"/>
    <w:basedOn w:val="1008"/>
    <w:pPr>
      <w:pBdr>
        <w:left w:val="single" w:color="000000" w:sz="4" w:space="0"/>
        <w:bottom w:val="single" w:color="000000" w:sz="4" w:space="0"/>
        <w:right w:val="single" w:color="000000" w:sz="4" w:space="0"/>
      </w:pBdr>
      <w:spacing w:after="100" w:afterAutospacing="1" w:before="100" w:beforeAutospacing="1"/>
      <w:ind/>
    </w:pPr>
  </w:style>
  <w:style w:type="paragraph" w:styleId="1104" w:customStyle="1">
    <w:name w:val="xl294"/>
    <w:basedOn w:val="1008"/>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name w:val="Title"/>
    <w:basedOn w:val="1008"/>
    <w:link w:val="1106"/>
    <w:qFormat/>
    <w:pPr>
      <w:pBdr/>
      <w:spacing/>
      <w:ind/>
      <w:jc w:val="center"/>
    </w:pPr>
    <w:rPr>
      <w:b/>
      <w:bCs/>
      <w:sz w:val="32"/>
      <w:szCs w:val="26"/>
    </w:rPr>
  </w:style>
  <w:style w:type="character" w:styleId="1106" w:customStyle="1">
    <w:name w:val="Title Char"/>
    <w:basedOn w:val="1013"/>
    <w:link w:val="1105"/>
    <w:pPr>
      <w:pBdr/>
      <w:spacing/>
      <w:ind/>
    </w:pPr>
    <w:rPr>
      <w:rFonts w:ascii="Times New Roman" w:hAnsi="Times New Roman" w:eastAsia="Times New Roman" w:cs="Times New Roman"/>
      <w:b/>
      <w:bCs/>
      <w:sz w:val="32"/>
      <w:szCs w:val="26"/>
    </w:rPr>
  </w:style>
  <w:style w:type="character" w:styleId="1107" w:customStyle="1">
    <w:name w:val="Unresolved Mention1"/>
    <w:basedOn w:val="1013"/>
    <w:uiPriority w:val="99"/>
    <w:semiHidden/>
    <w:unhideWhenUsed/>
    <w:pPr>
      <w:pBdr/>
      <w:spacing/>
      <w:ind/>
    </w:pPr>
    <w:rPr>
      <w:color w:val="605e5c"/>
      <w:shd w:val="clear" w:color="auto" w:fill="e1dfdd"/>
    </w:rPr>
  </w:style>
  <w:style w:type="character" w:styleId="1108" w:customStyle="1">
    <w:name w:val="Body text (3)_"/>
    <w:link w:val="1109"/>
    <w:pPr>
      <w:pBdr/>
      <w:spacing/>
      <w:ind/>
    </w:pPr>
    <w:rPr>
      <w:rFonts w:ascii="Times New Roman" w:hAnsi="Times New Roman" w:cs="Times New Roman"/>
      <w:i/>
      <w:iCs/>
      <w:spacing w:val="4"/>
      <w:shd w:val="clear" w:color="auto" w:fill="ffffff"/>
    </w:rPr>
  </w:style>
  <w:style w:type="paragraph" w:styleId="1109" w:customStyle="1">
    <w:name w:val="Body text (3)1"/>
    <w:basedOn w:val="1008"/>
    <w:link w:val="1108"/>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0" w:customStyle="1">
    <w:name w:val="t-j"/>
    <w:basedOn w:val="1008"/>
    <w:pPr>
      <w:pBdr/>
      <w:spacing w:after="100" w:afterAutospacing="1" w:before="100" w:beforeAutospacing="1"/>
      <w:ind/>
    </w:pPr>
  </w:style>
  <w:style w:type="character" w:styleId="1111" w:customStyle="1">
    <w:name w:val="Unresolved Mention2"/>
    <w:basedOn w:val="1013"/>
    <w:uiPriority w:val="99"/>
    <w:semiHidden/>
    <w:unhideWhenUsed/>
    <w:pPr>
      <w:pBdr/>
      <w:spacing/>
      <w:ind/>
    </w:pPr>
    <w:rPr>
      <w:color w:val="605e5c"/>
      <w:shd w:val="clear" w:color="auto" w:fill="e1dfdd"/>
    </w:rPr>
  </w:style>
  <w:style w:type="character" w:styleId="1112">
    <w:name w:val="FollowedHyperlink"/>
    <w:basedOn w:val="1013"/>
    <w:uiPriority w:val="99"/>
    <w:semiHidden/>
    <w:unhideWhenUsed/>
    <w:pPr>
      <w:pBdr/>
      <w:spacing/>
      <w:ind/>
    </w:pPr>
    <w:rPr>
      <w:color w:val="800080" w:themeColor="followedHyperlink"/>
      <w:u w:val="single"/>
    </w:rPr>
  </w:style>
  <w:style w:type="character" w:styleId="1113" w:customStyle="1">
    <w:name w:val="text"/>
    <w:basedOn w:val="1013"/>
    <w:pPr>
      <w:pBdr/>
      <w:spacing/>
      <w:ind/>
    </w:pPr>
  </w:style>
  <w:style w:type="character" w:styleId="1114" w:customStyle="1">
    <w:name w:val="card-send-time__sendtime"/>
    <w:basedOn w:val="1013"/>
    <w:pPr>
      <w:pBdr/>
      <w:spacing/>
      <w:ind/>
    </w:pPr>
  </w:style>
  <w:style w:type="character" w:styleId="1115" w:customStyle="1">
    <w:name w:val="Đề cập Chưa giải quyết1"/>
    <w:basedOn w:val="1013"/>
    <w:uiPriority w:val="99"/>
    <w:semiHidden/>
    <w:unhideWhenUsed/>
    <w:pPr>
      <w:pBdr/>
      <w:spacing/>
      <w:ind/>
    </w:pPr>
    <w:rPr>
      <w:color w:val="605e5c"/>
      <w:shd w:val="clear" w:color="auto" w:fill="e1dfdd"/>
    </w:rPr>
  </w:style>
  <w:style w:type="paragraph" w:styleId="1116" w:customStyle="1">
    <w:name w:val="nqtitle"/>
    <w:basedOn w:val="1008"/>
    <w:pPr>
      <w:pBdr/>
      <w:spacing w:after="100" w:afterAutospacing="1" w:before="100" w:beforeAutospacing="1"/>
      <w:ind/>
    </w:pPr>
    <w:rPr>
      <w:lang w:val="vi-VN" w:eastAsia="vi-VN"/>
    </w:rPr>
  </w:style>
  <w:style w:type="character" w:styleId="1117" w:customStyle="1">
    <w:name w:val="List Paragraph Char"/>
    <w:link w:val="1030"/>
    <w:uiPriority w:val="34"/>
    <w:qFormat/>
    <w:pPr>
      <w:pBdr/>
      <w:spacing/>
      <w:ind/>
    </w:pPr>
    <w:rPr>
      <w:rFonts w:ascii="Times New Roman" w:hAnsi="Times New Roman" w:eastAsia="Times New Roman" w:cs="Times New Roman"/>
      <w:sz w:val="24"/>
      <w:szCs w:val="24"/>
    </w:rPr>
  </w:style>
  <w:style w:type="character" w:styleId="1118" w:customStyle="1">
    <w:name w:val="Đề cập Chưa giải quyết2"/>
    <w:basedOn w:val="1013"/>
    <w:uiPriority w:val="99"/>
    <w:semiHidden/>
    <w:unhideWhenUsed/>
    <w:pPr>
      <w:pBdr/>
      <w:spacing/>
      <w:ind/>
    </w:pPr>
    <w:rPr>
      <w:color w:val="605e5c"/>
      <w:shd w:val="clear" w:color="auto" w:fill="e1dfdd"/>
    </w:rPr>
  </w:style>
  <w:style w:type="character" w:styleId="1119" w:customStyle="1">
    <w:name w:val="Unresolved Mention3"/>
    <w:basedOn w:val="1013"/>
    <w:uiPriority w:val="99"/>
    <w:semiHidden/>
    <w:unhideWhenUsed/>
    <w:pPr>
      <w:pBdr/>
      <w:spacing/>
      <w:ind/>
    </w:pPr>
    <w:rPr>
      <w:color w:val="605e5c"/>
      <w:shd w:val="clear" w:color="auto" w:fill="e1dfdd"/>
    </w:rPr>
  </w:style>
  <w:style w:type="character" w:styleId="1120" w:customStyle="1">
    <w:name w:val="copy"/>
    <w:basedOn w:val="1013"/>
    <w:pPr>
      <w:pBdr/>
      <w:spacing/>
      <w:ind/>
    </w:pPr>
  </w:style>
  <w:style w:type="paragraph" w:styleId="1121" w:customStyle="1">
    <w:name w:val="align-justify"/>
    <w:basedOn w:val="1008"/>
    <w:pPr>
      <w:pBdr/>
      <w:spacing w:after="100" w:afterAutospacing="1" w:before="100" w:beforeAutospacing="1"/>
      <w:ind/>
    </w:pPr>
  </w:style>
  <w:style w:type="character" w:styleId="1122" w:customStyle="1">
    <w:name w:val="btn"/>
    <w:basedOn w:val="1013"/>
    <w:pPr>
      <w:pBdr/>
      <w:spacing/>
      <w:ind/>
    </w:pPr>
  </w:style>
  <w:style w:type="character" w:styleId="1123" w:customStyle="1">
    <w:name w:val="hide_mobile"/>
    <w:basedOn w:val="1013"/>
    <w:pPr>
      <w:pBdr/>
      <w:spacing/>
      <w:ind/>
    </w:pPr>
  </w:style>
  <w:style w:type="character" w:styleId="1124">
    <w:name w:val="Emphasis"/>
    <w:basedOn w:val="1013"/>
    <w:uiPriority w:val="20"/>
    <w:qFormat/>
    <w:pPr>
      <w:pBdr/>
      <w:spacing/>
      <w:ind/>
    </w:pPr>
    <w:rPr>
      <w:i/>
      <w:iCs/>
    </w:rPr>
  </w:style>
  <w:style w:type="character" w:styleId="1125" w:customStyle="1">
    <w:name w:val="t1"/>
    <w:basedOn w:val="1013"/>
    <w:pPr>
      <w:pBdr/>
      <w:spacing/>
      <w:ind/>
    </w:pPr>
  </w:style>
  <w:style w:type="character" w:styleId="1126" w:customStyle="1">
    <w:name w:val="Unresolved Mention4"/>
    <w:basedOn w:val="1013"/>
    <w:uiPriority w:val="99"/>
    <w:semiHidden/>
    <w:unhideWhenUsed/>
    <w:pPr>
      <w:pBdr/>
      <w:spacing/>
      <w:ind/>
    </w:pPr>
    <w:rPr>
      <w:color w:val="605e5c"/>
      <w:shd w:val="clear" w:color="auto" w:fill="e1dfdd"/>
    </w:rPr>
  </w:style>
  <w:style w:type="character" w:styleId="1127">
    <w:name w:val="Unresolved Mention"/>
    <w:basedOn w:val="1013"/>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summerland.com.vn/tong-quan-tiem-nang-du-an-bat-dong-san-thanh-pho-hai-phong"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jpg"/><Relationship Id="rId21" Type="http://schemas.openxmlformats.org/officeDocument/2006/relationships/image" Target="media/image6.jpg"/><Relationship Id="rId22" Type="http://schemas.openxmlformats.org/officeDocument/2006/relationships/image" Target="media/image7.jpg"/><Relationship Id="rId23" Type="http://schemas.openxmlformats.org/officeDocument/2006/relationships/image" Target="media/image8.jpg"/><Relationship Id="rId24" Type="http://schemas.openxmlformats.org/officeDocument/2006/relationships/image" Target="media/image9.jpg"/><Relationship Id="rId25" Type="http://schemas.openxmlformats.org/officeDocument/2006/relationships/image" Target="media/image10.jp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Phạm Thị Dung</cp:lastModifiedBy>
  <cp:revision>280</cp:revision>
  <dcterms:created xsi:type="dcterms:W3CDTF">2025-09-15T09:58:00Z</dcterms:created>
  <dcterms:modified xsi:type="dcterms:W3CDTF">2026-06-22T07:56:32Z</dcterms:modified>
</cp:coreProperties>
</file>