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t xml:space="preserve">ok</w:t>
      </w: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411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411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275/2026/0907/VFI-CT.53.A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XUÂN TIẾP</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highlight w:val="white"/>
                              </w:rPr>
                            </w:pPr>
                            <w:r>
                              <w:rPr>
                                <w:b/>
                              </w:rPr>
                              <w:t xml:space="preserve">Tài sản thẩm </w:t>
                            </w:r>
                            <w:r>
                              <w:rPr>
                                <w:b/>
                              </w:rPr>
                              <w:t xml:space="preserve">định: </w:t>
                            </w:r>
                            <w:r>
                              <w:rPr>
                                <w:color w:val="000000"/>
                                <w:highlight w:val="white"/>
                              </w:rPr>
                              <w:t xml:space="preserve">Quyền sử dụng đất và tài sản gắn liền với đất tại thửa đất số: 146, tờ bản đồ số: 85 có địa chỉ: Lô 20.75 KĐT Phía Tây, phường Tứ Minh, TP Hải Dương, tỉnh Hải Dương (nay là số nhà 22 ngõ 38 Lê Văn Hưu, </w:t>
                            </w:r>
                            <w:r>
                              <w:rPr>
                                <w:color w:val="000000"/>
                                <w:highlight w:val="white"/>
                              </w:rPr>
                              <w:t xml:space="preserve">Phường Tứ Minh, Thành phố Hải Phòng) theo Giấy chứng nhận quyền sử dụng </w:t>
                            </w:r>
                            <w:r>
                              <w:rPr>
                                <w:color w:val="000000"/>
                                <w:highlight w:val="white"/>
                              </w:rPr>
                              <w:t xml:space="preserve">đ</w:t>
                            </w:r>
                            <w:r>
                              <w:rPr>
                                <w:color w:val="000000"/>
                                <w:highlight w:val="white"/>
                              </w:rPr>
                              <w:t xml:space="preserve">ất</w:t>
                            </w:r>
                            <w:r>
                              <w:rPr>
                                <w:color w:val="000000"/>
                                <w:highlight w:val="white"/>
                              </w:rPr>
                              <w:t xml:space="preserve">, quyền sở hữu nhà ở và tài sản khác gắn liền với đất số: DL 503988, số vào sổ cấp GCN: CH - 01512 do Uỷ ban Nhân dân Thành phố Hải Dương cấp ngày 20/09/2023 cho Ông Phạm Xuân Tiếp</w:t>
                            </w:r>
                            <w:r>
                              <w:rPr>
                                <w:bCs/>
                                <w:i/>
                                <w:iCs/>
                                <w:highlight w:val="white"/>
                              </w:rPr>
                              <w:t xml:space="preserve">.</w:t>
                            </w:r>
                            <w:r>
                              <w:rPr>
                                <w:bCs/>
                                <w:i/>
                                <w:iCs/>
                                <w:highlight w:val="white"/>
                              </w:rPr>
                            </w:r>
                            <w:r>
                              <w:rPr>
                                <w:bCs/>
                                <w:i/>
                                <w:iCs/>
                                <w:highlight w:val="white"/>
                              </w:rPr>
                            </w:r>
                          </w:p>
                          <w:p>
                            <w:pPr>
                              <w:pBdr/>
                              <w:spacing w:after="120" w:before="120" w:line="360" w:lineRule="auto"/>
                              <w:ind/>
                              <w:jc w:val="center"/>
                              <w:rPr>
                                <w:i/>
                                <w:iCs/>
                                <w:highlight w:val="none"/>
                              </w:rPr>
                            </w:pPr>
                            <w:r>
                              <w:rPr>
                                <w:b/>
                                <w:bCs/>
                                <w:lang w:val="pt-BR"/>
                              </w:rPr>
                              <w:t xml:space="preserve">Thời điểm thẩm định: </w:t>
                            </w:r>
                            <w:r>
                              <w:rPr>
                                <w:color w:val="000000" w:themeColor="text1"/>
                                <w:lang w:val="pt-BR"/>
                              </w:rPr>
                              <w:t xml:space="preserve">Tháng 06/2026</w:t>
                            </w:r>
                            <w:r>
                              <w:rPr>
                                <w:lang w:val="pt-BR"/>
                              </w:rPr>
                              <w:t xml:space="preserve">.</w:t>
                            </w:r>
                            <w:r>
                              <w:rPr>
                                <w:i/>
                                <w:iCs/>
                                <w:highlight w:val="none"/>
                              </w:rPr>
                            </w:r>
                            <w:r>
                              <w:rPr>
                                <w:i/>
                                <w:iCs/>
                                <w:highlight w:val="none"/>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rFonts w:ascii="Times New Roman" w:hAnsi="Times New Roman" w:eastAsia="Times New Roman" w:cs="Times New Roman"/>
                                <w:sz w:val="24"/>
                                <w:szCs w:val="24"/>
                              </w:rPr>
                            </w:pPr>
                            <w:r>
                              <w:rPr>
                                <w:rFonts w:ascii="Times New Roman" w:hAnsi="Times New Roman" w:eastAsia="Times New Roman" w:cs="Times New Roman"/>
                                <w:color w:val="081b3a"/>
                                <w:spacing w:val="3"/>
                                <w:sz w:val="24"/>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rFonts w:ascii="Times New Roman" w:hAnsi="Times New Roman" w:eastAsia="Times New Roman" w:cs="Times New Roman"/>
                                <w:color w:val="081b3a"/>
                                <w:spacing w:val="3"/>
                                <w:sz w:val="24"/>
                                <w:szCs w:val="24"/>
                                <w:highlight w:val="none"/>
                              </w:rPr>
                            </w:pPr>
                            <w:r>
                              <w:rPr>
                                <w:rFonts w:ascii="Times New Roman" w:hAnsi="Times New Roman" w:eastAsia="Times New Roman" w:cs="Times New Roman"/>
                                <w:color w:val="000000"/>
                                <w:sz w:val="24"/>
                              </w:rPr>
                              <w:t xml:space="preserve">Mã đề nghị: </w:t>
                            </w:r>
                            <w:r>
                              <w:rPr>
                                <w:rFonts w:ascii="Times New Roman" w:hAnsi="Times New Roman" w:eastAsia="Times New Roman" w:cs="Times New Roman"/>
                                <w:color w:val="081b3a"/>
                                <w:spacing w:val="3"/>
                                <w:sz w:val="24"/>
                                <w:highlight w:val="white"/>
                              </w:rPr>
                              <w:t xml:space="preserve">4745223</w:t>
                            </w:r>
                            <w:r>
                              <w:rPr>
                                <w:rFonts w:ascii="Times New Roman" w:hAnsi="Times New Roman" w:eastAsia="Times New Roman" w:cs="Times New Roman"/>
                                <w:color w:val="081b3a"/>
                                <w:spacing w:val="3"/>
                                <w:sz w:val="24"/>
                                <w:szCs w:val="24"/>
                                <w:highlight w:val="none"/>
                              </w:rPr>
                            </w:r>
                            <w:r>
                              <w:rPr>
                                <w:rFonts w:ascii="Times New Roman" w:hAnsi="Times New Roman" w:eastAsia="Times New Roman" w:cs="Times New Roman"/>
                                <w:color w:val="081b3a"/>
                                <w:spacing w:val="3"/>
                                <w:sz w:val="24"/>
                                <w:szCs w:val="24"/>
                                <w:highlight w:val="none"/>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47.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275/2026/0907/VFI-CT.53.A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XUÂN TIẾP</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highlight w:val="white"/>
                        </w:rPr>
                      </w:pPr>
                      <w:r>
                        <w:rPr>
                          <w:b/>
                        </w:rPr>
                        <w:t xml:space="preserve">Tài sản thẩm </w:t>
                      </w:r>
                      <w:r>
                        <w:rPr>
                          <w:b/>
                        </w:rPr>
                        <w:t xml:space="preserve">định: </w:t>
                      </w:r>
                      <w:r>
                        <w:rPr>
                          <w:color w:val="000000"/>
                          <w:highlight w:val="white"/>
                        </w:rPr>
                        <w:t xml:space="preserve">Quyền sử dụng đất và tài sản gắn liền với đất tại thửa đất số: 146, tờ bản đồ số: 85 có địa chỉ: Lô 20.75 KĐT Phía Tây, phường Tứ Minh, TP Hải Dương, tỉnh Hải Dương (nay là số nhà 22 ngõ 38 Lê Văn Hưu, </w:t>
                      </w:r>
                      <w:r>
                        <w:rPr>
                          <w:color w:val="000000"/>
                          <w:highlight w:val="white"/>
                        </w:rPr>
                        <w:t xml:space="preserve">Phường Tứ Minh, Thành phố Hải Phòng) theo Giấy chứng nhận quyền sử dụng </w:t>
                      </w:r>
                      <w:r>
                        <w:rPr>
                          <w:color w:val="000000"/>
                          <w:highlight w:val="white"/>
                        </w:rPr>
                        <w:t xml:space="preserve">đ</w:t>
                      </w:r>
                      <w:r>
                        <w:rPr>
                          <w:color w:val="000000"/>
                          <w:highlight w:val="white"/>
                        </w:rPr>
                        <w:t xml:space="preserve">ất</w:t>
                      </w:r>
                      <w:r>
                        <w:rPr>
                          <w:color w:val="000000"/>
                          <w:highlight w:val="white"/>
                        </w:rPr>
                        <w:t xml:space="preserve">, quyền sở hữu nhà ở và tài sản khác gắn liền với đất số: DL 503988, số vào sổ cấp GCN: CH - 01512 do Uỷ ban Nhân dân Thành phố Hải Dương cấp ngày 20/09/2023 cho Ông Phạm Xuân Tiếp</w:t>
                      </w:r>
                      <w:r>
                        <w:rPr>
                          <w:bCs/>
                          <w:i/>
                          <w:iCs/>
                          <w:highlight w:val="white"/>
                        </w:rPr>
                        <w:t xml:space="preserve">.</w:t>
                      </w:r>
                      <w:r>
                        <w:rPr>
                          <w:bCs/>
                          <w:i/>
                          <w:iCs/>
                          <w:highlight w:val="white"/>
                        </w:rPr>
                      </w:r>
                      <w:r>
                        <w:rPr>
                          <w:bCs/>
                          <w:i/>
                          <w:iCs/>
                          <w:highlight w:val="white"/>
                        </w:rPr>
                      </w:r>
                    </w:p>
                    <w:p>
                      <w:pPr>
                        <w:pBdr/>
                        <w:spacing w:after="120" w:before="120" w:line="360" w:lineRule="auto"/>
                        <w:ind/>
                        <w:jc w:val="center"/>
                        <w:rPr>
                          <w:i/>
                          <w:iCs/>
                          <w:highlight w:val="none"/>
                        </w:rPr>
                      </w:pPr>
                      <w:r>
                        <w:rPr>
                          <w:b/>
                          <w:bCs/>
                          <w:lang w:val="pt-BR"/>
                        </w:rPr>
                        <w:t xml:space="preserve">Thời điểm thẩm định: </w:t>
                      </w:r>
                      <w:r>
                        <w:rPr>
                          <w:color w:val="000000" w:themeColor="text1"/>
                          <w:lang w:val="pt-BR"/>
                        </w:rPr>
                        <w:t xml:space="preserve">Tháng 06/2026</w:t>
                      </w:r>
                      <w:r>
                        <w:rPr>
                          <w:lang w:val="pt-BR"/>
                        </w:rPr>
                        <w:t xml:space="preserve">.</w:t>
                      </w:r>
                      <w:r>
                        <w:rPr>
                          <w:i/>
                          <w:iCs/>
                          <w:highlight w:val="none"/>
                        </w:rPr>
                      </w:r>
                      <w:r>
                        <w:rPr>
                          <w:i/>
                          <w:iCs/>
                          <w:highlight w:val="none"/>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rFonts w:ascii="Times New Roman" w:hAnsi="Times New Roman" w:eastAsia="Times New Roman" w:cs="Times New Roman"/>
                          <w:sz w:val="24"/>
                          <w:szCs w:val="24"/>
                        </w:rPr>
                      </w:pPr>
                      <w:r>
                        <w:rPr>
                          <w:rFonts w:ascii="Times New Roman" w:hAnsi="Times New Roman" w:eastAsia="Times New Roman" w:cs="Times New Roman"/>
                          <w:color w:val="081b3a"/>
                          <w:spacing w:val="3"/>
                          <w:sz w:val="24"/>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rFonts w:ascii="Times New Roman" w:hAnsi="Times New Roman" w:eastAsia="Times New Roman" w:cs="Times New Roman"/>
                          <w:color w:val="081b3a"/>
                          <w:spacing w:val="3"/>
                          <w:sz w:val="24"/>
                          <w:szCs w:val="24"/>
                          <w:highlight w:val="none"/>
                        </w:rPr>
                      </w:pPr>
                      <w:r>
                        <w:rPr>
                          <w:rFonts w:ascii="Times New Roman" w:hAnsi="Times New Roman" w:eastAsia="Times New Roman" w:cs="Times New Roman"/>
                          <w:color w:val="000000"/>
                          <w:sz w:val="24"/>
                        </w:rPr>
                        <w:t xml:space="preserve">Mã đề nghị: </w:t>
                      </w:r>
                      <w:r>
                        <w:rPr>
                          <w:rFonts w:ascii="Times New Roman" w:hAnsi="Times New Roman" w:eastAsia="Times New Roman" w:cs="Times New Roman"/>
                          <w:color w:val="081b3a"/>
                          <w:spacing w:val="3"/>
                          <w:sz w:val="24"/>
                          <w:highlight w:val="white"/>
                        </w:rPr>
                        <w:t xml:space="preserve">4745223</w:t>
                      </w:r>
                      <w:r>
                        <w:rPr>
                          <w:rFonts w:ascii="Times New Roman" w:hAnsi="Times New Roman" w:eastAsia="Times New Roman" w:cs="Times New Roman"/>
                          <w:color w:val="081b3a"/>
                          <w:spacing w:val="3"/>
                          <w:sz w:val="24"/>
                          <w:szCs w:val="24"/>
                          <w:highlight w:val="none"/>
                        </w:rPr>
                      </w:r>
                      <w:r>
                        <w:rPr>
                          <w:rFonts w:ascii="Times New Roman" w:hAnsi="Times New Roman" w:eastAsia="Times New Roman" w:cs="Times New Roman"/>
                          <w:color w:val="081b3a"/>
                          <w:spacing w:val="3"/>
                          <w:sz w:val="24"/>
                          <w:szCs w:val="24"/>
                          <w:highlight w:val="none"/>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t xml:space="preserve">           23-32</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r>
            <w:r>
              <w:rPr>
                <w:b/>
                <w:bCs/>
                <w:highlight w:val="white"/>
              </w:rPr>
            </w:r>
            <w:r>
              <w:rPr>
                <w:b/>
                <w:bCs/>
                <w:highlight w:val="white"/>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441"/>
        <w:gridCol w:w="12118"/>
      </w:tblGrid>
      <w:tr>
        <w:trPr>
          <w:trHeight w:val="1152"/>
        </w:trPr>
        <w:tc>
          <w:tcPr>
            <w:gridSpan w:val="2"/>
            <w:tcBorders/>
            <w:tcW w:w="229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11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275/2026/0907/VFI-CT.53.A</w:t>
            </w:r>
            <w:r>
              <w:rPr>
                <w:color w:val="000000" w:themeColor="text1"/>
                <w:sz w:val="24"/>
                <w:szCs w:val="24"/>
              </w:rPr>
            </w:r>
            <w:r>
              <w:rPr>
                <w:color w:val="000000" w:themeColor="text1"/>
                <w:sz w:val="24"/>
                <w:szCs w:val="24"/>
              </w:rPr>
            </w:r>
          </w:p>
          <w:p>
            <w:pPr>
              <w:pStyle w:val="1030"/>
              <w:pBdr/>
              <w:spacing w:after="60"/>
              <w:ind w:right="-56"/>
              <w:jc w:val="center"/>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16 tháng 6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PHẠM XUÂN TIẾP</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275/2026/0907/VFI-HĐTĐ.53.A</w:t>
      </w:r>
      <w:r>
        <w:rPr>
          <w:spacing w:val="-4"/>
          <w:lang w:val="vi-VN"/>
        </w:rPr>
        <w:t xml:space="preserve"> ký ngày </w:t>
      </w:r>
      <w:r>
        <w:rPr>
          <w:color w:val="000000" w:themeColor="text1"/>
          <w:spacing w:val="-4"/>
        </w:rPr>
        <w:t xml:space="preserve">15 tháng 6 năm 2026</w:t>
      </w:r>
      <w:r>
        <w:rPr>
          <w:spacing w:val="-4"/>
          <w:lang w:val="vi-VN"/>
        </w:rPr>
        <w:t xml:space="preserve"> </w:t>
      </w:r>
      <w:r>
        <w:rPr>
          <w:spacing w:val="-4"/>
          <w:lang w:val="vi-VN"/>
        </w:rPr>
        <w:t xml:space="preserve">giữa </w:t>
      </w:r>
      <w:r>
        <w:rPr>
          <w:color w:val="000000" w:themeColor="text1"/>
          <w:spacing w:val="-4"/>
        </w:rPr>
        <w:t xml:space="preserve">ÔNG PHẠM XUÂN TIẾP</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275/2026/0907/VFI-BC.53.A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PHẠM XUÂN TIẾP</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highlight w:val="white"/>
              </w:rPr>
              <w:t xml:space="preserve">030088008368</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146"/>
              </w:tabs>
              <w:spacing w:after="40" w:before="40" w:line="276" w:lineRule="auto"/>
              <w:ind w:right="0" w:firstLine="0" w:left="0"/>
              <w:jc w:val="both"/>
              <w:rPr/>
            </w:pPr>
            <w:r>
              <w:rPr>
                <w:rFonts w:ascii="Times New Roman" w:hAnsi="Times New Roman" w:eastAsia="Times New Roman" w:cs="Times New Roman"/>
                <w:color w:val="000000"/>
                <w:sz w:val="24"/>
              </w:rPr>
              <w:t xml:space="preserve">Hồng Thái, Ninh Giang, Hải Dương ( Nay là xã Ninh Giang, tỉnh Hải Phòng)</w:t>
            </w:r>
            <w:r>
              <w:tab/>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highlight w:val="white"/>
        </w:rPr>
        <w:t xml:space="preserve">Quyền sử dụng đất và tài sản gắn liền với đất tại thửa đất số: 146, tờ bản đồ số: 85 có địa chỉ: Lô 20.75 KĐT Phía Tây, phường Tứ Minh, TP Hải Dương, tỉnh Hải Dương (nay là số nhà 22 ngõ 38 Lê Văn Hưu, </w:t>
      </w:r>
      <w:r>
        <w:rPr>
          <w:color w:val="000000"/>
          <w:highlight w:val="white"/>
        </w:rPr>
        <w:t xml:space="preserve">Phường Tứ Minh, Thành phố Hải Phòng) theo Giấy chứng nhận quyền sử dụng </w:t>
      </w:r>
      <w:r>
        <w:rPr>
          <w:color w:val="000000"/>
          <w:highlight w:val="white"/>
        </w:rPr>
        <w:t xml:space="preserve">đ</w:t>
      </w:r>
      <w:r>
        <w:rPr>
          <w:color w:val="000000"/>
          <w:highlight w:val="white"/>
        </w:rPr>
        <w:t xml:space="preserve">ất</w:t>
      </w:r>
      <w:r>
        <w:rPr>
          <w:color w:val="000000"/>
          <w:highlight w:val="white"/>
        </w:rPr>
        <w:t xml:space="preserve">, quyền sở hữu nhà ở và tài sản khác gắn liền với đất số: DL 503988, số vào sổ cấp GCN: CH - 01512 do Uỷ ban Nhân dân Thành phố Hải Dương cấp ngày 20/09/2023 cho Ông Phạm Xuân Tiếp</w:t>
      </w:r>
      <w:r>
        <w:rPr>
          <w:bCs/>
          <w:i/>
          <w:iCs/>
          <w:highlight w:val="white"/>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r>
        <w:rPr>
          <w:rFonts w:ascii="Times New Roman" w:hAnsi="Times New Roman" w:eastAsia="Times New Roman" w:cs="Times New Roman"/>
          <w:color w:val="000000" w:themeColor="text1"/>
          <w:spacing w:val="3"/>
          <w:sz w:val="24"/>
          <w:szCs w:val="24"/>
          <w:highlight w:val="none"/>
        </w:rPr>
        <w:t xml:space="preserve"> </w:t>
      </w:r>
      <w:r>
        <w:rPr>
          <w:rFonts w:ascii="Times New Roman" w:hAnsi="Times New Roman" w:eastAsia="Times New Roman" w:cs="Times New Roman"/>
          <w:color w:val="000000" w:themeColor="text1"/>
          <w:spacing w:val="3"/>
          <w:sz w:val="24"/>
          <w:szCs w:val="24"/>
          <w:highlight w:val="white"/>
        </w:rPr>
        <w:t xml:space="preserve">Xác định giá trị tài sản để Nhân hàng SHB CN Hải Dương thực hiện việc nhận tài sản bảo đảm cấp tín dụng cho khách hàng.</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37"/>
        <w:gridCol w:w="2326"/>
        <w:gridCol w:w="1276"/>
        <w:gridCol w:w="1667"/>
        <w:gridCol w:w="1158"/>
        <w:gridCol w:w="2386"/>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Đơn giá (đồng/m²)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Thành tiền (đồng) </w:t>
            </w:r>
            <w:r/>
          </w:p>
        </w:tc>
      </w:tr>
      <w:tr>
        <w:trPr>
          <w:trHeight w:val="303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427" w:type="dxa"/>
            <w:vAlign w:val="center"/>
            <w:textDirection w:val="lrTb"/>
            <w:noWrap w:val="false"/>
          </w:tcPr>
          <w:p>
            <w:pPr>
              <w:pBdr/>
              <w:spacing w:after="40" w:before="40" w:line="288" w:lineRule="auto"/>
              <w:ind/>
              <w:jc w:val="both"/>
              <w:rPr>
                <w:b/>
                <w:bCs/>
              </w:rPr>
            </w:pPr>
            <w:r>
              <w:rPr>
                <w:b/>
                <w:bCs/>
                <w:color w:val="000000"/>
                <w:highlight w:val="white"/>
              </w:rPr>
              <w:t xml:space="preserve">Quyền sử dụng đất và tài sản gắn liền với đất tại thửa đất số: 146, tờ bản đồ số: 85 có địa chỉ: Lô 20.75 KĐT Phía Tây, phường Tứ Minh, TP Hải Dương, tỉnh Hải Dương (nay là số nhà 22 ngõ 38 Lê Văn Hưu, </w:t>
            </w:r>
            <w:r>
              <w:rPr>
                <w:b/>
                <w:bCs/>
                <w:color w:val="000000"/>
                <w:highlight w:val="white"/>
              </w:rPr>
              <w:t xml:space="preserve">Phường Tứ Minh, Thành phố Hải Phòng) theo Giấy chứng nhận quyền sử dụng </w:t>
            </w:r>
            <w:r>
              <w:rPr>
                <w:b/>
                <w:bCs/>
                <w:color w:val="000000"/>
                <w:highlight w:val="white"/>
              </w:rPr>
              <w:t xml:space="preserve">đ</w:t>
            </w:r>
            <w:r>
              <w:rPr>
                <w:b/>
                <w:bCs/>
                <w:color w:val="000000"/>
                <w:highlight w:val="white"/>
              </w:rPr>
              <w:t xml:space="preserve">ất</w:t>
            </w:r>
            <w:r>
              <w:rPr>
                <w:b/>
                <w:bCs/>
                <w:color w:val="000000"/>
                <w:highlight w:val="white"/>
              </w:rPr>
              <w:t xml:space="preserve">, quyền sở hữu nhà ở và tài sản khác gắn liền với đất số: DL 503988, số vào sổ cấp GCN: CH - 01512 do Uỷ ban Nhân dân Thành phố Hải Dương cấp ngày 20/09/2023 cho Ông Phạm Xuân Tiếp</w:t>
            </w:r>
            <w:r>
              <w:rPr>
                <w:b/>
                <w:bCs/>
                <w:i/>
                <w:iCs/>
                <w:highlight w:val="white"/>
              </w:rPr>
              <w:t xml:space="preserve">.</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tại đô thị </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66,00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42.500.000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2.805.000.000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3 tầng </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208,02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7.934.760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1.320.471.020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2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bCs/>
                <w:color w:val="000000"/>
                <w:sz w:val="24"/>
              </w:rPr>
              <w:t xml:space="preserve"> 4.125.471.020 </w:t>
            </w:r>
            <w:r/>
          </w:p>
        </w:tc>
      </w:tr>
      <w:tr>
        <w:trPr>
          <w:trHeight w:val="33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2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4.125.000.000 </w:t>
            </w:r>
            <w:r/>
          </w:p>
        </w:tc>
      </w:tr>
      <w:tr>
        <w:trPr>
          <w:trHeight w:val="309"/>
        </w:trPr>
        <w:tc>
          <w:tcPr>
            <w:gridSpan w:val="6"/>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4"/>
              </w:rPr>
              <w:t xml:space="preserve">Bàng chữ: Bốn tỷ, một trăm hai mươi lăm triệu đồng chẵn./.</w:t>
            </w:r>
            <w:r/>
          </w:p>
        </w:tc>
      </w:tr>
    </w:tbl>
    <w:p>
      <w:pPr>
        <w:pBdr/>
        <w:spacing w:after="120" w:before="120" w:line="312" w:lineRule="auto"/>
        <w:ind/>
        <w:jc w:val="both"/>
        <w:rPr/>
      </w:pPr>
      <w:r/>
      <w:r/>
    </w:p>
    <w:p>
      <w:pPr>
        <w:pBdr/>
        <w:spacing w:after="120" w:before="120" w:line="312" w:lineRule="auto"/>
        <w:ind/>
        <w:jc w:val="both"/>
        <w:rPr/>
      </w:pPr>
      <w:r>
        <w:rPr>
          <w:highlight w:val="none"/>
          <w:lang w:val="vi-VN"/>
        </w:rPr>
      </w:r>
      <w:r>
        <w:rPr>
          <w:highlight w:val="none"/>
          <w:lang w:val="vi-VN"/>
        </w:rPr>
      </w:r>
      <w:r/>
    </w:p>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1016"/>
        <w:gridCol w:w="12546"/>
      </w:tblGrid>
      <w:tr>
        <w:trPr>
          <w:trHeight w:val="1843"/>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54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275/2026/0907/VFI-BC.53.A</w:t>
            </w:r>
            <w:r>
              <w:rPr>
                <w:color w:val="000000" w:themeColor="text1"/>
                <w:sz w:val="24"/>
                <w:szCs w:val="24"/>
              </w:rPr>
            </w:r>
            <w:r>
              <w:rPr>
                <w:color w:val="000000" w:themeColor="text1"/>
                <w:sz w:val="24"/>
                <w:szCs w:val="24"/>
              </w:rPr>
            </w:r>
          </w:p>
          <w:p>
            <w:pPr>
              <w:pStyle w:val="1030"/>
              <w:pBdr/>
              <w:spacing w:after="60"/>
              <w:ind w:right="-56"/>
              <w:jc w:val="center"/>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16 tháng 6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1016" w:type="dxa"/>
            <w:textDirection w:val="lrTb"/>
            <w:noWrap w:val="false"/>
          </w:tcPr>
          <w:p>
            <w:pPr>
              <w:pStyle w:val="1030"/>
              <w:pBdr/>
              <w:spacing w:after="60"/>
              <w:ind/>
              <w:rPr>
                <w:rStyle w:val="1029"/>
                <w:rFonts w:ascii="Times New Roman" w:hAnsi="Times New Roman"/>
                <w:color w:val="000000" w:themeColor="text1"/>
                <w:lang w:val="pt-BR"/>
              </w:rPr>
            </w:pPr>
            <w:r>
              <w:rPr>
                <w:rStyle w:val="1029"/>
                <w:rFonts w:ascii="Times New Roman" w:hAnsi="Times New Roman"/>
                <w:color w:val="000000" w:themeColor="text1"/>
                <w:lang w:val="pt-BR"/>
              </w:rPr>
            </w:r>
            <w:r>
              <w:rPr>
                <w:rStyle w:val="1029"/>
                <w:rFonts w:ascii="Times New Roman" w:hAnsi="Times New Roman"/>
                <w:color w:val="000000" w:themeColor="text1"/>
                <w:lang w:val="pt-BR"/>
              </w:rPr>
            </w:r>
            <w:r>
              <w:rPr>
                <w:rStyle w:val="1029"/>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546" w:type="dxa"/>
            <w:textDirection w:val="lrTb"/>
            <w:noWrap w:val="false"/>
          </w:tcPr>
          <w:p>
            <w:pPr>
              <w:pStyle w:val="1030"/>
              <w:pBdr/>
              <w:spacing w:after="6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275/2026/0907/VFI-CT.53.A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PHẠM XUÂN TIẾP</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highlight w:val="white"/>
              </w:rPr>
              <w:t xml:space="preserve">030088008368</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Địa chỉ</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146"/>
              </w:tabs>
              <w:spacing w:after="40" w:before="40" w:line="276" w:lineRule="auto"/>
              <w:ind w:right="0" w:firstLine="0" w:left="0"/>
              <w:jc w:val="both"/>
              <w:rPr/>
            </w:pPr>
            <w:r>
              <w:rPr>
                <w:rFonts w:ascii="Times New Roman" w:hAnsi="Times New Roman" w:eastAsia="Times New Roman" w:cs="Times New Roman"/>
                <w:color w:val="000000"/>
                <w:sz w:val="24"/>
              </w:rPr>
              <w:t xml:space="preserve">Hồng Thái, Ninh Giang, Hải Dương (Nay là xã Ninh Giang, tỉnh Hải Phòng)</w:t>
            </w:r>
            <w:r>
              <w:tab/>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val="0"/>
                <w:bCs w:val="0"/>
                <w:spacing w:val="2"/>
              </w:rPr>
            </w:pPr>
            <w:r>
              <w:rPr>
                <w:bCs/>
                <w:color w:val="000000" w:themeColor="text1"/>
                <w:lang w:val="pt-BR"/>
              </w:rPr>
            </w:r>
            <w:r>
              <w:rPr>
                <w:color w:val="000000"/>
                <w:highlight w:val="white"/>
              </w:rPr>
              <w:t xml:space="preserve">Quyền sử dụng đất và tài sản gắn liền với đất tại thửa đất số: 146, tờ bản đồ số: 85 có địa chỉ: Lô 20.75 KĐT Phía Tây, phường Tứ Minh, TP Hải Dương, tỉnh Hải Dương (nay là số nhà 22 ngõ 38 Lê Văn Hưu, </w:t>
            </w:r>
            <w:r>
              <w:rPr>
                <w:color w:val="000000"/>
                <w:highlight w:val="white"/>
              </w:rPr>
              <w:t xml:space="preserve">Phường Tứ Minh, Thành phố Hải Phòng) theo Giấy chứng nhận quyền sử dụng </w:t>
            </w:r>
            <w:r>
              <w:rPr>
                <w:color w:val="000000"/>
                <w:highlight w:val="white"/>
              </w:rPr>
              <w:t xml:space="preserve">đ</w:t>
            </w:r>
            <w:r>
              <w:rPr>
                <w:color w:val="000000"/>
                <w:highlight w:val="white"/>
              </w:rPr>
              <w:t xml:space="preserve">ất</w:t>
            </w:r>
            <w:r>
              <w:rPr>
                <w:color w:val="000000"/>
                <w:highlight w:val="white"/>
              </w:rPr>
              <w:t xml:space="preserve">, quyền sở hữu nhà ở và tài sản khác gắn liền với đất số: DL 503988, số vào sổ cấp GCN: CH - 01512 do Uỷ ban Nhân dân Thành phố Hải Dương cấp ngày 20/09/2023 cho Ông Phạm Xuân Tiếp</w:t>
            </w:r>
            <w:r>
              <w:rPr>
                <w:bCs/>
                <w:i/>
                <w:iCs/>
                <w:highlight w:val="white"/>
              </w:rPr>
              <w:t xml:space="preserve">.</w:t>
            </w:r>
            <w:r>
              <w:rPr>
                <w:b w:val="0"/>
                <w:bCs w:val="0"/>
                <w:spacing w:val="2"/>
              </w:rPr>
            </w:r>
            <w:r>
              <w:rPr>
                <w:b w:val="0"/>
                <w:bCs w:val="0"/>
                <w:spacing w:val="2"/>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r>
            <w:r>
              <w:rPr>
                <w:rFonts w:ascii="Times New Roman" w:hAnsi="Times New Roman" w:eastAsia="Times New Roman" w:cs="Times New Roman"/>
                <w:color w:val="000000" w:themeColor="text1"/>
                <w:spacing w:val="3"/>
                <w:sz w:val="24"/>
                <w:szCs w:val="24"/>
                <w:highlight w:val="white"/>
              </w:rPr>
              <w:t xml:space="preserve">Xác định giá trị tài sản để Nhân hàng SHB CN Hải Dương thực hiện việc nhận tài sản bảo đảm cấp tín dụng cho khách hàng.</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 Phường Tứ Minh, Thành phố Hải Phòng.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(20.925666666667, 106.28825)</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Ngày15/6/2026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1"/>
        <w:numPr>
          <w:ilvl w:val="0"/>
          <w:numId w:val="1"/>
        </w:numPr>
        <w:pBdr/>
        <w:spacing w:after="120" w:before="120" w:line="276" w:lineRule="auto"/>
        <w:ind/>
        <w:jc w:val="both"/>
        <w:rPr>
          <w:bCs/>
          <w:spacing w:val="-4"/>
          <w:lang w:val="pt-BR"/>
        </w:rPr>
      </w:pPr>
      <w:r>
        <w:rPr>
          <w:bCs/>
          <w:spacing w:val="-4"/>
          <w:lang w:val="pt-BR"/>
        </w:rPr>
      </w:r>
      <w:r>
        <w:rPr>
          <w:rFonts w:ascii="Times New Roman" w:hAnsi="Times New Roman" w:eastAsia="Times New Roman" w:cs="Times New Roman"/>
          <w:color w:val="000000"/>
          <w:sz w:val="24"/>
        </w:rPr>
        <w:t xml:space="preserve">Quyết định số 425/QĐ-BXD ngày 30/3/2026 của Bộ Xâ</w:t>
      </w:r>
      <w:r>
        <w:rPr>
          <w:rFonts w:ascii="Times New Roman" w:hAnsi="Times New Roman" w:eastAsia="Times New Roman" w:cs="Times New Roman"/>
          <w:color w:val="000000"/>
          <w:sz w:val="24"/>
        </w:rPr>
        <w:t xml:space="preserve">y dựng về việc Công bố suất vốn đầu tư xây dựng công trình và giá xây dựng tổng hợp bộ phận kết cấu công trình năm 2025</w:t>
      </w:r>
      <w:r>
        <w:rPr>
          <w:bCs/>
          <w:spacing w:val="-4"/>
          <w:lang w:val="pt-BR"/>
        </w:rPr>
        <w:t xml:space="preserve">;</w:t>
      </w:r>
      <w:r>
        <w:rPr>
          <w:bCs/>
          <w:spacing w:val="-4"/>
          <w:lang w:val="pt-BR"/>
        </w:rPr>
      </w:r>
      <w:r>
        <w:rPr>
          <w:bCs/>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highlight w:val="white"/>
        </w:rPr>
      </w:pPr>
      <w:r>
        <w:rPr>
          <w:bCs/>
          <w:color w:val="000000" w:themeColor="text1"/>
          <w:highlight w:val="white"/>
          <w:lang w:val="pt-BR"/>
        </w:rPr>
        <w:t xml:space="preserve">Giấy chứng nhận quyền sử dụng </w:t>
      </w:r>
      <w:r>
        <w:rPr>
          <w:bCs/>
          <w:color w:val="000000" w:themeColor="text1"/>
          <w:highlight w:val="white"/>
          <w:lang w:val="pt-BR"/>
        </w:rPr>
        <w:t xml:space="preserve">đất</w:t>
      </w:r>
      <w:r>
        <w:rPr>
          <w:bCs/>
          <w:color w:val="000000" w:themeColor="text1"/>
          <w:highlight w:val="white"/>
          <w:lang w:val="pt-BR"/>
        </w:rPr>
        <w:t xml:space="preserve">, quyền sở hữu nhà ở và tài sản khác gắn liền với đất số: DL 503988, số vào sổ cấp GCN: CH - 01512 do Uỷ ban Nhân dân Thành phố Hải Dương cấp ngày 20/09/2023 cho Ông Phạm Xuân Tiếp</w:t>
      </w:r>
      <w:r>
        <w:rPr>
          <w:highlight w:val="white"/>
          <w:lang w:val="pt-BR"/>
        </w:rPr>
        <w:t xml:space="preserve">.</w:t>
      </w:r>
      <w:r>
        <w:rPr>
          <w:i/>
          <w:iCs/>
          <w:highlight w:val="white"/>
        </w:rPr>
      </w:r>
      <w:r>
        <w:rPr>
          <w:i/>
          <w:iCs/>
          <w:highlight w:val="white"/>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275/2026/0907/VFI-HĐTĐ.53.A ngày 15/06/2026 giữa Ông Phạm Xuân Tiếp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abs>
          <w:tab w:val="left" w:leader="none" w:pos="426"/>
        </w:tabs>
        <w:spacing w:after="120" w:before="120" w:line="276" w:lineRule="auto"/>
        <w:ind/>
        <w:rPr>
          <w:rFonts w:ascii="Times New Roman" w:hAnsi="Times New Roman" w:cs="Times New Roman"/>
          <w:i/>
          <w:iCs/>
          <w:color w:val="000000" w:themeColor="text1"/>
          <w:sz w:val="24"/>
          <w:szCs w:val="24"/>
          <w:highlight w:val="none"/>
        </w:rPr>
      </w:pPr>
      <w:r>
        <w:rPr>
          <w:rFonts w:ascii="Times New Roman" w:hAnsi="Times New Roman" w:eastAsia="Times New Roman" w:cs="Times New Roman"/>
          <w:color w:val="000000" w:themeColor="text1"/>
          <w:sz w:val="24"/>
          <w:szCs w:val="24"/>
          <w:shd w:val="clear" w:color="auto" w:fill="ffffff"/>
        </w:rPr>
      </w:r>
      <w:r>
        <w:rPr>
          <w:rFonts w:ascii="Times New Roman" w:hAnsi="Times New Roman" w:eastAsia="Times New Roman" w:cs="Times New Roman"/>
          <w:color w:val="000000" w:themeColor="text1"/>
          <w:sz w:val="24"/>
          <w:szCs w:val="24"/>
        </w:rPr>
        <w:t xml:space="preserve">Bất động sản Hải Phòng năm 2025 đang chứng kiến sự trỗi dậy mạnh mẽ nhờ vào hàng loạt đại dự án tỷ đô được triển khai. Những dự án này không chỉ làm thay đổi diện mạo thành phố cảng mà còn tạo ra cơ hội đầu tư hấp dẫn cho nhiều doanh nghiệp và cá nhân. Với</w:t>
      </w:r>
      <w:r>
        <w:rPr>
          <w:rFonts w:ascii="Times New Roman" w:hAnsi="Times New Roman" w:eastAsia="Times New Roman" w:cs="Times New Roman"/>
          <w:color w:val="000000" w:themeColor="text1"/>
          <w:sz w:val="24"/>
          <w:szCs w:val="24"/>
        </w:rPr>
        <w:t xml:space="preserve"> tiềm năng phát triển mạnh mẽ, bất động sản Hải Phòng hứa hẹn sẽ trở thành một trong những thị trường sôi động nhất tại Việt Nam.</w:t>
      </w:r>
      <w:r>
        <w:rPr>
          <w:rFonts w:ascii="Times New Roman" w:hAnsi="Times New Roman" w:cs="Times New Roman"/>
          <w:i/>
          <w:iCs/>
          <w:color w:val="000000" w:themeColor="text1"/>
          <w:sz w:val="24"/>
          <w:szCs w:val="24"/>
          <w:highlight w:val="none"/>
        </w:rPr>
      </w:r>
      <w:r>
        <w:rPr>
          <w:rFonts w:ascii="Times New Roman" w:hAnsi="Times New Roman" w:cs="Times New Roman"/>
          <w:i/>
          <w:iCs/>
          <w:color w:val="000000" w:themeColor="text1"/>
          <w:sz w:val="24"/>
          <w:szCs w:val="24"/>
          <w:highlight w:val="none"/>
        </w:rPr>
      </w:r>
    </w:p>
    <w:p>
      <w:pPr>
        <w:pBdr/>
        <w:tabs>
          <w:tab w:val="left" w:leader="none" w:pos="426"/>
        </w:tabs>
        <w:spacing w:after="120" w:before="120" w:line="276" w:lineRule="auto"/>
        <w:ind/>
        <w:rPr>
          <w:rFonts w:ascii="Times New Roman" w:hAnsi="Times New Roman" w:cs="Times New Roman"/>
          <w:bCs/>
          <w:i/>
          <w:color w:val="000000" w:themeColor="text1"/>
          <w:sz w:val="24"/>
          <w:szCs w:val="24"/>
          <w:highlight w:val="none"/>
        </w:rPr>
      </w:pPr>
      <w:r>
        <w:rPr>
          <w:rFonts w:ascii="Times New Roman" w:hAnsi="Times New Roman" w:eastAsia="Times New Roman" w:cs="Times New Roman"/>
          <w:i/>
          <w:iCs/>
          <w:color w:val="000000" w:themeColor="text1"/>
          <w:sz w:val="24"/>
          <w:szCs w:val="24"/>
          <w:highlight w:val="none"/>
          <w:lang w:val="pt-BR" w:bidi="pt-BR"/>
        </w:rPr>
      </w:r>
      <w:r>
        <w:rPr>
          <w:rFonts w:ascii="Times New Roman" w:hAnsi="Times New Roman" w:eastAsia="Times New Roman" w:cs="Times New Roman"/>
          <w:color w:val="000000" w:themeColor="text1"/>
          <w:sz w:val="24"/>
          <w:szCs w:val="24"/>
        </w:rPr>
        <w:t xml:space="preserve">Sự xuất hiện của nhiều ông lớn đã khiến số lượng dự án bất động sản tại Hải Phòng tăng gần gấp đôi trong vòng 5 năm qua. Từ sau Tết, anh Nguyễn Văn Tiến, một môi giới có gần mười năm kinh nghiệm tại Hải Phòng, cho biết đã liên tục tiếp xúc với các nhà đầu </w:t>
      </w:r>
      <w:r>
        <w:rPr>
          <w:rFonts w:ascii="Times New Roman" w:hAnsi="Times New Roman" w:eastAsia="Times New Roman" w:cs="Times New Roman"/>
          <w:color w:val="000000" w:themeColor="text1"/>
          <w:sz w:val="24"/>
          <w:szCs w:val="24"/>
        </w:rPr>
        <w:t xml:space="preserve">tư từ nhiều địa phương như Hà Nội, Hải Dương, Hưng Yên, và cả từ phía Nam, tìm kiếm cơ hội mua bất động sản. Khu vực Thuỷ Nguyên, An Dương và Dương Kinh là những điểm đến được họ chú ý nhiều nhất.</w:t>
      </w:r>
      <w:r>
        <w:rPr>
          <w:rFonts w:ascii="Times New Roman" w:hAnsi="Times New Roman" w:cs="Times New Roman"/>
          <w:bCs/>
          <w:i/>
          <w:color w:val="000000" w:themeColor="text1"/>
          <w:sz w:val="24"/>
          <w:szCs w:val="24"/>
          <w:highlight w:val="none"/>
        </w:rPr>
      </w:r>
      <w:r>
        <w:rPr>
          <w:rFonts w:ascii="Times New Roman" w:hAnsi="Times New Roman" w:cs="Times New Roman"/>
          <w:bCs/>
          <w:i/>
          <w:color w:val="000000" w:themeColor="text1"/>
          <w:sz w:val="24"/>
          <w:szCs w:val="24"/>
          <w:highlight w:val="none"/>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Savills còn cho rằng việc hợp nhất với Hải Dương sẽ đóng góp đáng kể vào việc tăng cường nhu cầu về nhà ở, khách sạn và văn phòng tại Hải Phòng. Sự mở rộng này không chỉ tạo ra nhiều cơ hội đầu tư mới mà còn thu hút thêm nguồn lực và lao động từ các khu vự</w:t>
      </w:r>
      <w:r>
        <w:rPr>
          <w:rFonts w:ascii="Times New Roman" w:hAnsi="Times New Roman" w:eastAsia="Times New Roman" w:cs="Times New Roman"/>
          <w:color w:val="000000" w:themeColor="text1"/>
          <w:sz w:val="24"/>
          <w:szCs w:val="24"/>
        </w:rPr>
        <w:t xml:space="preserve">c lân cận, góp phần làm phong phú thêm thị trường bất động sản.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Bên cạnh đó, việc hợp nhất sẽ giúp cải thiện hạ tầng giao thông và dịch vụ công cộng, từ đó nâng cao chất lượng cuộc sống cho cư dân. Điều này sẽ kích thích sự phát triển bền vững của thị trường bất động sản trong tương lai, tạo điều kiện cho các nhà đầu t</w:t>
      </w:r>
      <w:r>
        <w:rPr>
          <w:rFonts w:ascii="Times New Roman" w:hAnsi="Times New Roman" w:eastAsia="Times New Roman" w:cs="Times New Roman"/>
          <w:color w:val="000000" w:themeColor="text1"/>
          <w:sz w:val="24"/>
          <w:szCs w:val="24"/>
        </w:rPr>
        <w:t xml:space="preserve">ư và doanh nghiệp khai thác tiềm năng phát triển của thành phố.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Việc gia tăng nhu cầu về bất động sản cũng sẽ thúc đẩy các dự án xây dựng mới, đáp ứng nhu cầu ngày càng cao của người dân và doanh nghiệp, từ đó tạo nên một thị trường bất động sản sôi động và đầy triển vọng.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abs>
          <w:tab w:val="left" w:leader="none" w:pos="426"/>
        </w:tabs>
        <w:spacing w:after="120" w:before="120" w:line="276" w:lineRule="auto"/>
        <w:ind/>
        <w:rPr>
          <w:rFonts w:ascii="Times New Roman" w:hAnsi="Times New Roman" w:cs="Times New Roman"/>
          <w:bCs/>
          <w:i/>
          <w:color w:val="000000" w:themeColor="text1"/>
          <w:sz w:val="24"/>
          <w:szCs w:val="24"/>
          <w:highlight w:val="none"/>
        </w:rPr>
      </w:pPr>
      <w:r>
        <w:rPr>
          <w:rFonts w:ascii="Times New Roman" w:hAnsi="Times New Roman" w:eastAsia="Times New Roman" w:cs="Times New Roman"/>
          <w:i/>
          <w:iCs/>
          <w:color w:val="000000" w:themeColor="text1"/>
          <w:sz w:val="24"/>
          <w:szCs w:val="24"/>
          <w:highlight w:val="none"/>
          <w:lang w:val="pt-BR" w:bidi="pt-BR"/>
        </w:rPr>
      </w:r>
      <w:r>
        <w:rPr>
          <w:rFonts w:ascii="Times New Roman" w:hAnsi="Times New Roman" w:eastAsia="Times New Roman" w:cs="Times New Roman"/>
          <w:color w:val="000000" w:themeColor="text1"/>
          <w:sz w:val="24"/>
          <w:szCs w:val="24"/>
        </w:rPr>
        <w:t xml:space="preserve">Nhìn chung, trong năm 2025, bất động sản Hải Phòng dự kiến sẽ tiếp tục bùng nổ mạnh mẽ nhờ vào sự phát triển của các đại dự án tỷ đô, tạo ra nhiều cơ hội đầu tư hấp dẫn. Sự chuyển mình này không chỉ nâng cao giá trị bất động sản mà còn góp phần định hình t</w:t>
      </w:r>
      <w:r>
        <w:rPr>
          <w:rFonts w:ascii="Times New Roman" w:hAnsi="Times New Roman" w:eastAsia="Times New Roman" w:cs="Times New Roman"/>
          <w:color w:val="000000" w:themeColor="text1"/>
          <w:sz w:val="24"/>
          <w:szCs w:val="24"/>
        </w:rPr>
        <w:t xml:space="preserve">ương lai kinh tế vững mạnh cho thành phố cảng.</w:t>
      </w:r>
      <w:r>
        <w:rPr>
          <w:rFonts w:ascii="Times New Roman" w:hAnsi="Times New Roman" w:cs="Times New Roman"/>
          <w:bCs/>
          <w:i/>
          <w:color w:val="000000" w:themeColor="text1"/>
          <w:sz w:val="24"/>
          <w:szCs w:val="24"/>
          <w:highlight w:val="none"/>
        </w:rPr>
      </w:r>
      <w:r>
        <w:rPr>
          <w:rFonts w:ascii="Times New Roman" w:hAnsi="Times New Roman" w:cs="Times New Roman"/>
          <w:bCs/>
          <w:i/>
          <w:color w:val="000000" w:themeColor="text1"/>
          <w:sz w:val="24"/>
          <w:szCs w:val="24"/>
          <w:highlight w:val="none"/>
        </w:rPr>
      </w:r>
    </w:p>
    <w:p>
      <w:pPr>
        <w:pBdr/>
        <w:tabs>
          <w:tab w:val="left" w:leader="none" w:pos="426"/>
        </w:tabs>
        <w:spacing w:after="120" w:before="120" w:line="276" w:lineRule="auto"/>
        <w:ind/>
        <w:rPr>
          <w:bCs/>
          <w:i/>
          <w:color w:val="000000" w:themeColor="text1"/>
          <w:u w:val="single"/>
        </w:rPr>
      </w:pPr>
      <w:r>
        <w:rPr>
          <w:i/>
          <w:iCs/>
          <w:color w:val="000000" w:themeColor="text1"/>
          <w:highlight w:val="none"/>
          <w:u w:val="single"/>
          <w:lang w:val="pt-BR" w:bidi="pt-BR"/>
        </w:rPr>
        <w:t xml:space="preserve">(Nguồn:</w:t>
      </w:r>
      <w:r>
        <w:rPr>
          <w:i/>
          <w:iCs/>
          <w:color w:val="000000" w:themeColor="text1"/>
          <w:highlight w:val="none"/>
          <w:u w:val="single"/>
          <w:lang w:val="pt-BR" w:bidi="pt-BR"/>
        </w:rPr>
        <w:t xml:space="preserve">https://onehousing.vn/blog/bat-dong-san-hai-phong-nam-2025-troi-day-manh-me-nho-loat-dai-du-an-ty-do-n17t</w:t>
      </w:r>
      <w:r>
        <w:rPr>
          <w:i/>
          <w:iCs/>
          <w:color w:val="000000" w:themeColor="text1"/>
          <w:highlight w:val="none"/>
          <w:u w:val="single"/>
          <w:lang w:val="pt-BR" w:bidi="pt-BR"/>
        </w:rPr>
        <w:t xml:space="preserve">)</w:t>
      </w:r>
      <w:r>
        <w:rPr>
          <w:bCs/>
          <w:i/>
          <w:color w:val="000000" w:themeColor="text1"/>
          <w:u w:val="single"/>
        </w:rPr>
      </w:r>
      <w:r>
        <w:rPr>
          <w:bCs/>
          <w:i/>
          <w:color w:val="000000" w:themeColor="text1"/>
          <w:u w:val="single"/>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1020"/>
        <w:gridCol w:w="1435"/>
        <w:gridCol w:w="2227"/>
        <w:gridCol w:w="1964"/>
        <w:gridCol w:w="2879"/>
      </w:tblGrid>
      <w:tr>
        <w:trPr>
          <w:trHeight w:val="1821"/>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505" w:type="dxa"/>
            <w:vAlign w:val="center"/>
            <w:textDirection w:val="lrTb"/>
            <w:noWrap w:val="false"/>
          </w:tcPr>
          <w:p>
            <w:pPr>
              <w:pBdr/>
              <w:spacing w:after="60" w:before="60" w:line="276" w:lineRule="auto"/>
              <w:ind/>
              <w:jc w:val="both"/>
              <w:rPr>
                <w:b/>
                <w:bCs/>
                <w:spacing w:val="2"/>
              </w:rPr>
            </w:pPr>
            <w:r>
              <w:rPr>
                <w:bCs/>
                <w:color w:val="000000" w:themeColor="text1"/>
                <w:lang w:val="pt-BR"/>
              </w:rPr>
            </w:r>
            <w:r>
              <w:rPr>
                <w:b/>
                <w:bCs/>
                <w:color w:val="000000"/>
              </w:rPr>
              <w:t xml:space="preserve">Quyền sử dụng đất và tài sản gắn liền với đất tại thửa đất số: 146, tờ bản đồ số: 85 có địa chỉ: Lô 20.75 KĐT Phía Tây, phường Tứ Minh, TP Hải Dương, tỉnh Hải Dương (nay là số nhà 22 ngõ 38 Lê Văn Hưu, </w:t>
            </w:r>
            <w:r>
              <w:rPr>
                <w:b/>
                <w:bCs/>
                <w:color w:val="000000"/>
              </w:rPr>
              <w:t xml:space="preserve">Phường Tứ Minh, Thành phố Hải Phòng) theo Giấy chứng nhận quyền sử dụng dất, quyền sở hữu nhà ở và tài sản khác gắn liền với đất số: DL 503988, số vào sổ cấp GCN: CH -01512 do Uỷ ban Nhân dân Thành phố Hải Dương cấp ngày 20/09/2023 cho Ông Phạm Xuân Tiếp</w:t>
            </w:r>
            <w:r>
              <w:rPr>
                <w:b/>
                <w:bCs/>
                <w:i/>
                <w:iCs/>
              </w:rPr>
              <w:t xml:space="preserve">.</w:t>
            </w:r>
            <w:r>
              <w:rPr>
                <w:b/>
                <w:bCs/>
                <w:spacing w:val="2"/>
              </w:rPr>
            </w:r>
            <w:r>
              <w:rPr>
                <w:b/>
                <w:bCs/>
                <w:spacing w:val="2"/>
              </w:rP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4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146</w:t>
            </w:r>
            <w:r/>
          </w:p>
        </w:tc>
        <w:tc>
          <w:tcPr>
            <w:tcBorders>
              <w:bottom w:val="single" w:color="000000" w:sz="8" w:space="0"/>
              <w:right w:val="single" w:color="000000" w:sz="8" w:space="0"/>
            </w:tcBorders>
            <w:tcMar>
              <w:left w:w="108" w:type="dxa"/>
              <w:top w:w="0" w:type="dxa"/>
              <w:right w:w="108" w:type="dxa"/>
              <w:bottom w:w="0" w:type="dxa"/>
            </w:tcMar>
            <w:tcW w:w="19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8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85</w:t>
            </w:r>
            <w:r/>
          </w:p>
        </w:tc>
      </w:tr>
      <w:tr>
        <w:trPr>
          <w:trHeight w:val="96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4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70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 w:val="0"/>
                <w:bCs w:val="0"/>
              </w:rPr>
            </w:pPr>
            <w:r>
              <w:rPr>
                <w:rFonts w:ascii="Times New Roman" w:hAnsi="Times New Roman" w:eastAsia="Times New Roman" w:cs="Times New Roman"/>
                <w:color w:val="000000"/>
                <w:sz w:val="24"/>
              </w:rPr>
            </w:r>
            <w:r>
              <w:rPr>
                <w:b w:val="0"/>
                <w:bCs w:val="0"/>
                <w:color w:val="000000"/>
              </w:rPr>
              <w:t xml:space="preserve">Lô 20.75 KĐT Phía Tây, phường Tứ Minh, TP Hải Dương, tỉnh Hải Dương (nay là số nhà 22 ngõ 38 Lê Văn Hưu, </w:t>
            </w:r>
            <w:r>
              <w:rPr>
                <w:b w:val="0"/>
                <w:bCs w:val="0"/>
                <w:color w:val="000000"/>
              </w:rPr>
              <w:t xml:space="preserve">Phường Tứ Minh, Thành phố Hải Phòng</w:t>
            </w:r>
            <w:r>
              <w:rPr>
                <w:rFonts w:ascii="Times New Roman" w:hAnsi="Times New Roman" w:eastAsia="Times New Roman" w:cs="Times New Roman"/>
                <w:b w:val="0"/>
                <w:bCs w:val="0"/>
                <w:color w:val="000000"/>
                <w:sz w:val="24"/>
              </w:rPr>
              <w:t xml:space="preserve">)</w:t>
            </w:r>
            <w:r>
              <w:rPr>
                <w:b w:val="0"/>
                <w:bCs w:val="0"/>
              </w:rPr>
            </w:r>
            <w:r>
              <w:rPr>
                <w:b w:val="0"/>
                <w:bCs w:val="0"/>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4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66,0</w:t>
            </w:r>
            <w:r/>
          </w:p>
        </w:tc>
        <w:tc>
          <w:tcPr>
            <w:tcBorders>
              <w:bottom w:val="single" w:color="000000" w:sz="8" w:space="0"/>
              <w:right w:val="single" w:color="000000" w:sz="8" w:space="0"/>
            </w:tcBorders>
            <w:tcMar>
              <w:left w:w="108" w:type="dxa"/>
              <w:top w:w="0" w:type="dxa"/>
              <w:right w:w="108" w:type="dxa"/>
              <w:bottom w:w="0" w:type="dxa"/>
            </w:tcMar>
            <w:tcW w:w="19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8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4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w:t>
            </w:r>
            <w:r/>
          </w:p>
        </w:tc>
        <w:tc>
          <w:tcPr>
            <w:tcBorders>
              <w:bottom w:val="single" w:color="000000" w:sz="8" w:space="0"/>
              <w:right w:val="single" w:color="000000" w:sz="8" w:space="0"/>
            </w:tcBorders>
            <w:tcMar>
              <w:left w:w="108" w:type="dxa"/>
              <w:top w:w="0" w:type="dxa"/>
              <w:right w:w="108" w:type="dxa"/>
              <w:bottom w:w="0" w:type="dxa"/>
            </w:tcMar>
            <w:tcW w:w="19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8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1164"/>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4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70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GCN cũ số CH- 00110, Cấp ngày 22/4/2014; Thửa đất cũ số Lô 20.75, tờ bản đồ cũ số QH-12; Nhà ở 04 tầng, khung chịu lực, móng BTCT, tầng 1,2,3 mái BTCT, tầng 4 mái BTCT+ mái tôn </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4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70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4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2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9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8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4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2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10,5 cả vỉa hè </w:t>
            </w:r>
            <w:r/>
          </w:p>
        </w:tc>
        <w:tc>
          <w:tcPr>
            <w:tcBorders>
              <w:bottom w:val="single" w:color="000000" w:sz="8" w:space="0"/>
              <w:right w:val="single" w:color="000000" w:sz="8" w:space="0"/>
            </w:tcBorders>
            <w:tcMar>
              <w:left w:w="108" w:type="dxa"/>
              <w:top w:w="0" w:type="dxa"/>
              <w:right w:w="108" w:type="dxa"/>
              <w:bottom w:w="0" w:type="dxa"/>
            </w:tcMar>
            <w:tcW w:w="19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8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10,5m cả vỉa hè </w:t>
            </w: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4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70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trong KĐT Phía Tây, phường Tứ Minh, Thành phố Hải Phòng </w:t>
            </w:r>
            <w:r/>
          </w:p>
        </w:tc>
      </w:tr>
      <w:tr>
        <w:trPr>
          <w:trHeight w:val="1236"/>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4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70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Đông: Tiếp giáp đường nhựa rộng khoảng 10,5 m cả vỉa hè, mặt sau tiếp giáp đường kỹ thuật rộng 2m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 Các hướng khác: Tiếp giáp các thửa đất khác.</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w:t>
            </w:r>
            <w:r>
              <w:rPr>
                <w:rFonts w:ascii="Times New Roman" w:hAnsi="Times New Roman" w:eastAsia="Times New Roman" w:cs="Times New Roman"/>
                <w:color w:val="000000"/>
                <w:sz w:val="24"/>
              </w:rPr>
              <w:t xml:space="preserve">20.925910040310228, 106.28832083829701</w:t>
            </w:r>
            <w:r>
              <w:rPr>
                <w:rFonts w:ascii="Times New Roman" w:hAnsi="Times New Roman" w:eastAsia="Times New Roman" w:cs="Times New Roman"/>
                <w:color w:val="000000"/>
                <w:sz w:val="24"/>
              </w:rP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4616820" cy="219975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877074" name=""/>
                              <pic:cNvPicPr>
                                <a:picLocks noChangeAspect="1"/>
                              </pic:cNvPicPr>
                              <pic:nvPr/>
                            </pic:nvPicPr>
                            <pic:blipFill rotWithShape="1">
                              <a:blip r:embed="rId17"/>
                              <a:stretch/>
                            </pic:blipFill>
                            <pic:spPr bwMode="auto">
                              <a:xfrm flipH="0" flipV="0">
                                <a:off x="0" y="0"/>
                                <a:ext cx="4616820" cy="21997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63.53pt;height:173.21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4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2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66,0</w:t>
            </w:r>
            <w:r/>
          </w:p>
        </w:tc>
        <w:tc>
          <w:tcPr>
            <w:tcBorders>
              <w:bottom w:val="single" w:color="000000" w:sz="8" w:space="0"/>
              <w:right w:val="single" w:color="000000" w:sz="8" w:space="0"/>
            </w:tcBorders>
            <w:tcMar>
              <w:left w:w="108" w:type="dxa"/>
              <w:top w:w="0" w:type="dxa"/>
              <w:right w:w="108" w:type="dxa"/>
              <w:bottom w:w="0" w:type="dxa"/>
            </w:tcMar>
            <w:tcW w:w="19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8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4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2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4,00</w:t>
            </w:r>
            <w:r/>
          </w:p>
        </w:tc>
        <w:tc>
          <w:tcPr>
            <w:tcBorders>
              <w:bottom w:val="single" w:color="000000" w:sz="8" w:space="0"/>
              <w:right w:val="single" w:color="000000" w:sz="8" w:space="0"/>
            </w:tcBorders>
            <w:tcMar>
              <w:left w:w="108" w:type="dxa"/>
              <w:top w:w="0" w:type="dxa"/>
              <w:right w:w="108" w:type="dxa"/>
              <w:bottom w:w="0" w:type="dxa"/>
            </w:tcMar>
            <w:tcW w:w="19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8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16,50</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4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2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vức </w:t>
            </w:r>
            <w:r/>
          </w:p>
        </w:tc>
        <w:tc>
          <w:tcPr>
            <w:tcBorders>
              <w:bottom w:val="single" w:color="000000" w:sz="8" w:space="0"/>
              <w:right w:val="single" w:color="000000" w:sz="8" w:space="0"/>
            </w:tcBorders>
            <w:tcMar>
              <w:left w:w="108" w:type="dxa"/>
              <w:top w:w="0" w:type="dxa"/>
              <w:right w:w="108" w:type="dxa"/>
              <w:bottom w:w="0" w:type="dxa"/>
            </w:tcMar>
            <w:tcW w:w="19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8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4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70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4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70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4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2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19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8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4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19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8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932"/>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505"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highlight w:val="white"/>
              </w:rPr>
              <w:t xml:space="preserve">+ Tại thời điểm khảo sát dưới sự hướng dẫn của khách hàng, CTXD gắn liền với</w:t>
            </w:r>
            <w:r>
              <w:rPr>
                <w:rFonts w:ascii="Times New Roman" w:hAnsi="Times New Roman" w:eastAsia="Times New Roman" w:cs="Times New Roman"/>
                <w:color w:val="000000"/>
                <w:sz w:val="24"/>
                <w:highlight w:val="white"/>
              </w:rPr>
              <w:t xml:space="preserve"> đất là </w:t>
            </w:r>
            <w:r>
              <w:rPr>
                <w:rFonts w:ascii="Times New Roman" w:hAnsi="Times New Roman" w:eastAsia="Times New Roman" w:cs="Times New Roman"/>
                <w:color w:val="000000"/>
                <w:sz w:val="24"/>
                <w:highlight w:val="white"/>
              </w:rPr>
              <w:t xml:space="preserve">3 </w:t>
            </w:r>
            <w:r>
              <w:rPr>
                <w:rFonts w:ascii="Times New Roman" w:hAnsi="Times New Roman" w:eastAsia="Times New Roman" w:cs="Times New Roman"/>
                <w:color w:val="000000"/>
                <w:sz w:val="24"/>
                <w:highlight w:val="white"/>
              </w:rPr>
              <w:t xml:space="preserve">tầng</w:t>
            </w: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rPr>
              <w:t xml:space="preserve">Diện tích sàn là 208,02m2, ngoại quan công trình khá                                                                                                                                         + Công trình đã được chứng nhận trên GCN số DL 5039</w:t>
            </w:r>
            <w:r>
              <w:rPr>
                <w:rFonts w:ascii="Times New Roman" w:hAnsi="Times New Roman" w:eastAsia="Times New Roman" w:cs="Times New Roman"/>
                <w:color w:val="000000"/>
                <w:sz w:val="24"/>
              </w:rPr>
              <w:t xml:space="preserve">88                                                             </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w:t>
      </w:r>
      <w:r>
        <w:rPr>
          <w:spacing w:val="-4"/>
          <w:highlight w:val="white"/>
          <w:lang w:val="pt-BR"/>
        </w:rPr>
        <w:t xml:space="preserve">đất củ</w:t>
      </w:r>
      <w:r>
        <w:rPr>
          <w:spacing w:val="-4"/>
          <w:highlight w:val="white"/>
          <w:lang w:val="pt-BR"/>
        </w:rPr>
        <w:t xml:space="preserve">a </w:t>
      </w:r>
      <w:r>
        <w:rPr>
          <w:spacing w:val="-4"/>
          <w:highlight w:val="white"/>
          <w:lang w:val="pt-BR"/>
        </w:rPr>
        <w:t xml:space="preserve">tài sản thẩm định</w:t>
      </w:r>
      <w:r>
        <w:rPr>
          <w:spacing w:val="-2"/>
          <w:highlight w:val="white"/>
          <w:lang w:val="pt-BR"/>
        </w:rPr>
        <w:t xml:space="preserve">.</w:t>
      </w:r>
      <w:r>
        <w:rPr>
          <w:lang w:val="de-DE"/>
        </w:rPr>
      </w:r>
      <w:r>
        <w:rPr>
          <w:lang w:val="de-DE"/>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5"/>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04"/>
        <w:gridCol w:w="1592"/>
        <w:gridCol w:w="1807"/>
        <w:gridCol w:w="1807"/>
        <w:gridCol w:w="1807"/>
        <w:gridCol w:w="1807"/>
      </w:tblGrid>
      <w:tr>
        <w:trPr>
          <w:trHeight w:val="300"/>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7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STT</w:t>
            </w:r>
            <w:r>
              <w:rPr>
                <w:sz w:val="22"/>
                <w:szCs w:val="22"/>
              </w:rPr>
            </w:r>
            <w:r>
              <w:rPr>
                <w:sz w:val="22"/>
                <w:szCs w:val="22"/>
              </w:rPr>
            </w:r>
          </w:p>
        </w:tc>
        <w:tc>
          <w:tcPr>
            <w:tcBorders>
              <w:top w:val="single" w:color="000000" w:sz="8" w:space="0"/>
              <w:bottom w:val="single" w:color="000000" w:sz="8" w:space="0"/>
              <w:right w:val="single" w:color="000000" w:sz="8" w:space="0"/>
            </w:tcBorders>
            <w:tcMar>
              <w:left w:w="0" w:type="dxa"/>
              <w:top w:w="0" w:type="dxa"/>
              <w:right w:w="0" w:type="dxa"/>
              <w:bottom w:w="0" w:type="dxa"/>
            </w:tcMar>
            <w:tcW w:w="159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ĐẶC ĐIỂM BĐS</w:t>
            </w:r>
            <w:r>
              <w:rPr>
                <w:sz w:val="22"/>
                <w:szCs w:val="22"/>
              </w:rPr>
            </w:r>
            <w:r>
              <w:rPr>
                <w:sz w:val="22"/>
                <w:szCs w:val="22"/>
              </w:rPr>
            </w:r>
          </w:p>
        </w:tc>
        <w:tc>
          <w:tcPr>
            <w:tcBorders>
              <w:top w:val="single" w:color="000000" w:sz="8" w:space="0"/>
              <w:bottom w:val="single" w:color="000000" w:sz="8" w:space="0"/>
              <w:right w:val="single" w:color="000000" w:sz="8" w:space="0"/>
            </w:tcBorders>
            <w:tcMar>
              <w:left w:w="0" w:type="dxa"/>
              <w:top w:w="0" w:type="dxa"/>
              <w:right w:w="0" w:type="dxa"/>
              <w:bottom w:w="0" w:type="dxa"/>
            </w:tcMar>
            <w:tcW w:w="180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TSTĐ</w:t>
            </w:r>
            <w:r>
              <w:rPr>
                <w:sz w:val="22"/>
                <w:szCs w:val="22"/>
              </w:rPr>
            </w:r>
            <w:r>
              <w:rPr>
                <w:sz w:val="22"/>
                <w:szCs w:val="22"/>
              </w:rPr>
            </w:r>
          </w:p>
        </w:tc>
        <w:tc>
          <w:tcPr>
            <w:tcBorders>
              <w:top w:val="single" w:color="000000" w:sz="8" w:space="0"/>
              <w:bottom w:val="single" w:color="000000" w:sz="8" w:space="0"/>
              <w:right w:val="single" w:color="000000" w:sz="8" w:space="0"/>
            </w:tcBorders>
            <w:tcMar>
              <w:left w:w="0" w:type="dxa"/>
              <w:top w:w="0" w:type="dxa"/>
              <w:right w:w="0" w:type="dxa"/>
              <w:bottom w:w="0" w:type="dxa"/>
            </w:tcMar>
            <w:tcW w:w="180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TSSS1</w:t>
            </w:r>
            <w:r>
              <w:rPr>
                <w:sz w:val="22"/>
                <w:szCs w:val="22"/>
              </w:rPr>
            </w:r>
            <w:r>
              <w:rPr>
                <w:sz w:val="22"/>
                <w:szCs w:val="22"/>
              </w:rPr>
            </w:r>
          </w:p>
        </w:tc>
        <w:tc>
          <w:tcPr>
            <w:tcBorders>
              <w:top w:val="single" w:color="000000" w:sz="8" w:space="0"/>
              <w:bottom w:val="single" w:color="000000" w:sz="8" w:space="0"/>
              <w:right w:val="single" w:color="000000" w:sz="8" w:space="0"/>
            </w:tcBorders>
            <w:tcMar>
              <w:left w:w="0" w:type="dxa"/>
              <w:top w:w="0" w:type="dxa"/>
              <w:right w:w="0" w:type="dxa"/>
              <w:bottom w:w="0" w:type="dxa"/>
            </w:tcMar>
            <w:tcW w:w="180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TSSS2</w:t>
            </w:r>
            <w:r>
              <w:rPr>
                <w:sz w:val="22"/>
                <w:szCs w:val="22"/>
              </w:rPr>
            </w:r>
            <w:r>
              <w:rPr>
                <w:sz w:val="22"/>
                <w:szCs w:val="22"/>
              </w:rPr>
            </w:r>
          </w:p>
        </w:tc>
        <w:tc>
          <w:tcPr>
            <w:tcBorders>
              <w:top w:val="single" w:color="000000" w:sz="8" w:space="0"/>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TSSS3</w:t>
            </w:r>
            <w:r>
              <w:rPr>
                <w:sz w:val="22"/>
                <w:szCs w:val="22"/>
              </w:rPr>
            </w:r>
            <w:r>
              <w:rPr>
                <w:sz w:val="22"/>
                <w:szCs w:val="22"/>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A</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b/>
                <w:color w:val="000000"/>
                <w:sz w:val="22"/>
                <w:szCs w:val="22"/>
              </w:rPr>
              <w:t xml:space="preserve">Thông tin về tài sản</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r>
      <w:tr>
        <w:trPr>
          <w:trHeight w:val="1284"/>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Địa chỉ</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Phường Tứ Minh, Thành phố Hải Phòng</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Phường Tứ Minh, Thành phố Hải Phòng</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Phường Tứ Minh, Thành phố Hải Phòng</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Phường Tứ Minh, Thành phố Hải Phòng</w:t>
            </w:r>
            <w:r>
              <w:rPr>
                <w:sz w:val="22"/>
                <w:szCs w:val="22"/>
              </w:rPr>
            </w:r>
            <w:r>
              <w:rPr>
                <w:sz w:val="22"/>
                <w:szCs w:val="22"/>
              </w:rPr>
            </w:r>
          </w:p>
        </w:tc>
      </w:tr>
      <w:tr>
        <w:trPr>
          <w:trHeight w:val="1944"/>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Nguồn tham khảo</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Liên hệ trực tiếp</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Liên hệ trực tiếp</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https://batdongsan.com.vn/ban-dat-pho-le-van-huu-phuong-tu-minh-314/ban-lo-at-sieu-re-sieu-ep-tp-hai-duong-pr45852583</w:t>
            </w:r>
            <w:r>
              <w:rPr>
                <w:sz w:val="22"/>
                <w:szCs w:val="22"/>
              </w:rPr>
            </w:r>
            <w:r>
              <w:rPr>
                <w:sz w:val="22"/>
                <w:szCs w:val="22"/>
              </w:rPr>
            </w:r>
          </w:p>
        </w:tc>
      </w:tr>
      <w:tr>
        <w:trPr>
          <w:trHeight w:val="1068"/>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Thông tin liên lạc</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SDT: 0963140603</w:t>
              <w:br/>
              <w:t xml:space="preserve"> (Sale Vu Thuy)</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SDT: 0963140603</w:t>
              <w:br/>
              <w:t xml:space="preserve"> (Sale Vu Thuy)</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hyperlink r:id="rId18" w:tooltip="tel:0879892555(H%E1%BA%A3i)" w:history="1">
              <w:r>
                <w:rPr>
                  <w:rStyle w:val="1021"/>
                  <w:rFonts w:ascii="Times New Roman" w:hAnsi="Times New Roman" w:eastAsia="Times New Roman" w:cs="Times New Roman"/>
                  <w:color w:val="000000"/>
                  <w:sz w:val="22"/>
                  <w:szCs w:val="22"/>
                  <w:u w:val="single"/>
                </w:rPr>
                <w:t xml:space="preserve">SDT: 0963938961</w:t>
              </w:r>
              <w:r>
                <w:rPr>
                  <w:rStyle w:val="1021"/>
                  <w:rFonts w:ascii="Times New Roman" w:hAnsi="Times New Roman" w:eastAsia="Times New Roman" w:cs="Times New Roman"/>
                  <w:color w:val="000000"/>
                  <w:sz w:val="22"/>
                  <w:szCs w:val="22"/>
                  <w:u w:val="none"/>
                </w:rPr>
                <w:t xml:space="preserve"> </w:t>
              </w:r>
              <w:r>
                <w:rPr>
                  <w:rStyle w:val="1021"/>
                  <w:rFonts w:ascii="Times New Roman" w:hAnsi="Times New Roman" w:eastAsia="Times New Roman" w:cs="Times New Roman"/>
                  <w:color w:val="000000"/>
                  <w:sz w:val="22"/>
                  <w:szCs w:val="22"/>
                  <w:u w:val="single"/>
                </w:rPr>
                <w:t xml:space="preserve">(Sale Thủy)</w:t>
              </w:r>
            </w:hyperlink>
            <w:r>
              <w:rPr>
                <w:sz w:val="22"/>
                <w:szCs w:val="22"/>
              </w:rPr>
            </w:r>
            <w:r>
              <w:rPr>
                <w:sz w:val="22"/>
                <w:szCs w:val="22"/>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Tình trạng giao dịch</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Đang giao dịch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Đang giao dịch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Đang giao dịch </w:t>
            </w:r>
            <w:r>
              <w:rPr>
                <w:sz w:val="22"/>
                <w:szCs w:val="22"/>
              </w:rPr>
            </w:r>
            <w:r>
              <w:rPr>
                <w:sz w:val="22"/>
                <w:szCs w:val="22"/>
              </w:rPr>
            </w:r>
          </w:p>
        </w:tc>
      </w:tr>
      <w:tr>
        <w:trPr>
          <w:trHeight w:val="624"/>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Thời điểm thu thập thông tin</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Tháng 6/2026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Tháng 6/2026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Tháng 6/2026 </w:t>
            </w:r>
            <w:r>
              <w:rPr>
                <w:sz w:val="22"/>
                <w:szCs w:val="22"/>
              </w:rPr>
            </w:r>
            <w:r>
              <w:rPr>
                <w:sz w:val="22"/>
                <w:szCs w:val="22"/>
              </w:rPr>
            </w:r>
          </w:p>
        </w:tc>
      </w:tr>
      <w:tr>
        <w:trPr>
          <w:trHeight w:val="936"/>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Tính chất giao dịch</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r>
      <w:tr>
        <w:trPr>
          <w:trHeight w:val="133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Pháp lý</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r>
      <w:tr>
        <w:trPr>
          <w:trHeight w:val="31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Mục đích sử dụng</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Đất ở tại đô thị  </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Đất ở đô thị</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Đất ở đô thị</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Đất ở đô thị</w:t>
            </w:r>
            <w:r>
              <w:rPr>
                <w:sz w:val="22"/>
                <w:szCs w:val="22"/>
              </w:rPr>
            </w:r>
            <w:r>
              <w:rPr>
                <w:sz w:val="22"/>
                <w:szCs w:val="22"/>
              </w:rPr>
            </w:r>
          </w:p>
        </w:tc>
      </w:tr>
      <w:tr>
        <w:trPr>
          <w:trHeight w:val="31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Thời hạn sử dụng đất</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r>
      <w:tr>
        <w:trPr>
          <w:trHeight w:val="1536"/>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9</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Vị trí</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Lô 20.75,Khu đô thị Phía Tây, Phường Tứ Minh, Thành phố Hải Phòng</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Khu đô thị Phía Tây, Phường Tứ Minh, Thành phố Hải Phòng</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Khu đô thị Phía Tây, Phường Tứ Minh, Thành phố Hải Phòng</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Khu đô thị Phía Tây, Phường Tứ Minh, Thành phố Hải Phòng</w:t>
            </w:r>
            <w:r>
              <w:rPr>
                <w:sz w:val="22"/>
                <w:szCs w:val="22"/>
              </w:rPr>
            </w:r>
            <w:r>
              <w:rPr>
                <w:sz w:val="22"/>
                <w:szCs w:val="22"/>
              </w:rPr>
            </w:r>
          </w:p>
        </w:tc>
      </w:tr>
      <w:tr>
        <w:trPr>
          <w:trHeight w:val="624"/>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Giao thông</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Đường nhựa có vỉa hè</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Đường nhựa có vỉa hè</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Đường nhựa có vỉa hè</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Đường nhựa có vỉa hè</w:t>
            </w:r>
            <w:r>
              <w:rPr>
                <w:sz w:val="22"/>
                <w:szCs w:val="22"/>
              </w:rPr>
            </w:r>
            <w:r>
              <w:rPr>
                <w:sz w:val="22"/>
                <w:szCs w:val="22"/>
              </w:rPr>
            </w:r>
          </w:p>
        </w:tc>
      </w:tr>
      <w:tr>
        <w:trPr>
          <w:trHeight w:val="31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11</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Độ rộng đường (m)</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10,5</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10,5</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10,5</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13,5</w:t>
            </w:r>
            <w:r>
              <w:rPr>
                <w:sz w:val="22"/>
                <w:szCs w:val="22"/>
              </w:rPr>
            </w:r>
            <w:r>
              <w:rPr>
                <w:sz w:val="22"/>
                <w:szCs w:val="22"/>
              </w:rPr>
            </w:r>
          </w:p>
        </w:tc>
      </w:tr>
      <w:tr>
        <w:trPr>
          <w:trHeight w:val="31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11</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Diện tích đất (m²)</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66</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74,75</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69,75</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74,25</w:t>
            </w:r>
            <w:r>
              <w:rPr>
                <w:sz w:val="22"/>
                <w:szCs w:val="22"/>
              </w:rPr>
            </w:r>
            <w:r>
              <w:rPr>
                <w:sz w:val="22"/>
                <w:szCs w:val="22"/>
              </w:rPr>
            </w:r>
          </w:p>
        </w:tc>
      </w:tr>
      <w:tr>
        <w:trPr>
          <w:trHeight w:val="31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12</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Mặt tiền (m)</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5,5</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4,5</w:t>
            </w:r>
            <w:r>
              <w:rPr>
                <w:sz w:val="22"/>
                <w:szCs w:val="22"/>
              </w:rPr>
            </w:r>
            <w:r>
              <w:rPr>
                <w:sz w:val="22"/>
                <w:szCs w:val="22"/>
              </w:rPr>
            </w:r>
          </w:p>
        </w:tc>
      </w:tr>
      <w:tr>
        <w:trPr>
          <w:trHeight w:val="31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13</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Số lượng mặt tiếp giáp</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01 mặt </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01 mặt </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01 mặt </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01 mặt </w:t>
            </w:r>
            <w:r>
              <w:rPr>
                <w:sz w:val="22"/>
                <w:szCs w:val="22"/>
              </w:rPr>
            </w:r>
            <w:r>
              <w:rPr>
                <w:sz w:val="22"/>
                <w:szCs w:val="22"/>
              </w:rPr>
            </w:r>
          </w:p>
        </w:tc>
      </w:tr>
      <w:tr>
        <w:trPr>
          <w:trHeight w:val="384"/>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14</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Hình dáng thửa đất</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Hình chữ nhật</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Hình chữ nhật</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Hình chữ nhật</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Hình chữ nhật</w:t>
            </w:r>
            <w:r>
              <w:rPr>
                <w:sz w:val="22"/>
                <w:szCs w:val="22"/>
              </w:rPr>
            </w:r>
            <w:r>
              <w:rPr>
                <w:sz w:val="22"/>
                <w:szCs w:val="22"/>
              </w:rPr>
            </w:r>
          </w:p>
        </w:tc>
      </w:tr>
      <w:tr>
        <w:trPr>
          <w:trHeight w:val="936"/>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15</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Yếu tố khác </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Đường kỹ thuật rộng 2m phía sau</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Đường kỹ thuật rộng 2m bên hông</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Đường kỹ thuật rộng 2m bên hông</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Đường kỹ thuật rộng 2m phía sau</w:t>
            </w:r>
            <w:r>
              <w:rPr>
                <w:sz w:val="22"/>
                <w:szCs w:val="22"/>
              </w:rPr>
            </w:r>
            <w:r>
              <w:rPr>
                <w:sz w:val="22"/>
                <w:szCs w:val="22"/>
              </w:rPr>
            </w:r>
          </w:p>
        </w:tc>
      </w:tr>
      <w:tr>
        <w:trPr>
          <w:trHeight w:val="936"/>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16</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Điều kiện cơ sở hạ tầng kỹ thuật</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Hệ thống cấp điện, cấp thoát nước đầy đủ. </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sz w:val="22"/>
                <w:szCs w:val="22"/>
              </w:rPr>
            </w:r>
            <w:r>
              <w:rPr>
                <w:sz w:val="22"/>
                <w:szCs w:val="22"/>
              </w:rPr>
            </w:r>
          </w:p>
        </w:tc>
      </w:tr>
      <w:tr>
        <w:trPr>
          <w:trHeight w:val="624"/>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17</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Điều kiện môi trường an ninh</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Tốt</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Tốt</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Tốt</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Tốt</w:t>
            </w:r>
            <w:r>
              <w:rPr>
                <w:sz w:val="22"/>
                <w:szCs w:val="22"/>
              </w:rPr>
            </w:r>
            <w:r>
              <w:rPr>
                <w:sz w:val="22"/>
                <w:szCs w:val="22"/>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18</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Tài sản trên đất</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Nhà 3 tầng  </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Đất trống </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Đất trống </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Đất trống </w:t>
            </w:r>
            <w:r>
              <w:rPr>
                <w:sz w:val="22"/>
                <w:szCs w:val="22"/>
              </w:rPr>
            </w:r>
            <w:r>
              <w:rPr>
                <w:sz w:val="22"/>
                <w:szCs w:val="22"/>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19</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Giá rao (đồng)</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3.590.000.000</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3.050.000.000</w:t>
            </w:r>
            <w:r>
              <w:rPr>
                <w:sz w:val="22"/>
                <w:szCs w:val="22"/>
              </w:rPr>
            </w:r>
            <w:r>
              <w:rPr>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3.400.000.000</w:t>
            </w:r>
            <w:r>
              <w:rPr>
                <w:sz w:val="22"/>
                <w:szCs w:val="22"/>
              </w:rPr>
            </w:r>
            <w:r>
              <w:rPr>
                <w:sz w:val="22"/>
                <w:szCs w:val="22"/>
              </w:rPr>
            </w:r>
          </w:p>
        </w:tc>
      </w:tr>
      <w:tr>
        <w:trPr>
          <w:trHeight w:val="624"/>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20</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Giá thương lượng/bán (đồng)</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3.410.500.000</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2.897.500.000</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3.230.000.000</w:t>
            </w:r>
            <w:r>
              <w:rPr>
                <w:sz w:val="22"/>
                <w:szCs w:val="22"/>
              </w:rPr>
            </w:r>
            <w:r>
              <w:rPr>
                <w:sz w:val="22"/>
                <w:szCs w:val="22"/>
              </w:rP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B</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b/>
                <w:color w:val="000000"/>
                <w:sz w:val="22"/>
                <w:szCs w:val="22"/>
              </w:rPr>
              <w:t xml:space="preserve">Chi tiết tính toán</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r>
      <w:tr>
        <w:trPr>
          <w:trHeight w:val="624"/>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1</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b/>
                <w:color w:val="000000"/>
                <w:sz w:val="22"/>
                <w:szCs w:val="22"/>
              </w:rPr>
              <w:t xml:space="preserve">Giá trị tài sản trên đất (đồng)</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sz w:val="22"/>
                <w:szCs w:val="22"/>
              </w:rPr>
            </w:pPr>
            <w:r>
              <w:rPr>
                <w:sz w:val="22"/>
                <w:szCs w:val="22"/>
              </w:rPr>
              <w:t xml:space="preserve">-</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sz w:val="22"/>
                <w:szCs w:val="22"/>
              </w:rPr>
            </w:pPr>
            <w:r>
              <w:rPr>
                <w:sz w:val="22"/>
                <w:szCs w:val="22"/>
              </w:rPr>
              <w:t xml:space="preserve">-</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sz w:val="22"/>
                <w:szCs w:val="22"/>
              </w:rPr>
            </w:pPr>
            <w:r>
              <w:rPr>
                <w:sz w:val="22"/>
                <w:szCs w:val="22"/>
              </w:rPr>
              <w:t xml:space="preserve">-</w:t>
            </w:r>
            <w:r>
              <w:rPr>
                <w:sz w:val="22"/>
                <w:szCs w:val="22"/>
              </w:rPr>
            </w:r>
            <w:r>
              <w:rPr>
                <w:sz w:val="22"/>
                <w:szCs w:val="22"/>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2</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b/>
                <w:color w:val="000000"/>
                <w:sz w:val="22"/>
                <w:szCs w:val="22"/>
              </w:rPr>
              <w:t xml:space="preserve">Giá trị đất (đồng)</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3.410.500.000</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2.897.500.000</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3.230.000.000</w:t>
            </w:r>
            <w:r>
              <w:rPr>
                <w:sz w:val="22"/>
                <w:szCs w:val="22"/>
              </w:rPr>
            </w:r>
            <w:r>
              <w:rPr>
                <w:sz w:val="22"/>
                <w:szCs w:val="22"/>
              </w:rPr>
            </w:r>
          </w:p>
        </w:tc>
      </w:tr>
      <w:tr>
        <w:trPr>
          <w:trHeight w:val="624"/>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3</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b/>
                <w:color w:val="000000"/>
                <w:sz w:val="22"/>
                <w:szCs w:val="22"/>
              </w:rPr>
              <w:t xml:space="preserve">Đơn giá QSDĐ (đồng/m²)</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45.625.418</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41.541.219</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43.501.684</w:t>
            </w:r>
            <w:r>
              <w:rPr>
                <w:sz w:val="22"/>
                <w:szCs w:val="22"/>
              </w:rPr>
            </w:r>
            <w:r>
              <w:rPr>
                <w:sz w:val="22"/>
                <w:szCs w:val="22"/>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C</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b/>
                <w:color w:val="000000"/>
                <w:sz w:val="22"/>
                <w:szCs w:val="22"/>
              </w:rPr>
              <w:t xml:space="preserve">NHẬN XÉT</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Pháp lý</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Vị trí</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Giao thông</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Độ rộng đường (m)</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Độ rộng đường (m)</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Diện tích đất (m²)</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7</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Mặt tiền (m)</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Số lượng mặt tiếp giáp</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432"/>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9</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Hình dáng thửa đất</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624"/>
        </w:trPr>
        <w:tc>
          <w:tcPr>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10</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Điều kiện cơ sở hạ tầng kỹ thuật</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1928"/>
        <w:gridCol w:w="1031"/>
        <w:gridCol w:w="1271"/>
        <w:gridCol w:w="1551"/>
        <w:gridCol w:w="1551"/>
        <w:gridCol w:w="1551"/>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3.410.500.000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2.897.500.000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3.230.000.000</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45.625.418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41.541.219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43.501.684</w:t>
            </w:r>
            <w:r/>
          </w:p>
        </w:tc>
      </w:tr>
      <w:tr>
        <w:trPr>
          <w:trHeight w:val="5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45.625.418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41.541.219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43.501.684 </w:t>
            </w:r>
            <w:r/>
          </w:p>
        </w:tc>
      </w:tr>
      <w:tr>
        <w:trPr>
          <w:trHeight w:val="187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Lô 20.75,Khu đô thị Phía Tây, Phường Tứ Minh, Thành phố Hải Phòng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Khu đô thị Phía Tây, Phường Tứ Minh, Thành phố Hải Phòng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Khu đô thị Phía Tây, Phường Tứ Minh, Thành phố Hải Phòng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Khu đô thị Phía Tây, Phường Tứ Minh, Thành phố Hải Phòng</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45.625.418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41.541.219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43.501.684 </w:t>
            </w:r>
            <w:r/>
          </w:p>
        </w:tc>
      </w:tr>
      <w:tr>
        <w:trPr>
          <w:trHeight w:val="80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có vỉa hè</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45.625.418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41.541.219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43.501.684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13,5</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45.625.418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41.541.219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43.501.684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74,75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69,75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74,25</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2.281.271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830.824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2.175.084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47.906.689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42.372.043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45.676.768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4,5</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-3.650.033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-2.077.061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44.256.656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40.294.982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45.676.768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4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44.256.656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40.294.982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45.676.768 </w:t>
            </w:r>
            <w:r/>
          </w:p>
        </w:tc>
      </w:tr>
      <w:tr>
        <w:trPr>
          <w:trHeight w:val="4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r>
      <w:tr>
        <w:trPr>
          <w:trHeight w:val="684"/>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4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63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44.256.656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40.294.982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45.676.768 </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khác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kỹ thuật rộng 2m phía sau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kỹ thuật rộng 2m bên 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kỹ thuật rộng 2m bên 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kỹ thuật rộng 2m phía sau</w:t>
            </w:r>
            <w:r/>
          </w:p>
        </w:tc>
      </w:tr>
      <w:tr>
        <w:trPr>
          <w:trHeight w:val="28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9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-1.368.763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-1.246.237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58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42.887.893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39.048.746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45.676.768 </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42.887.893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39.048.746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45.676.768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42.887.893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39.048.746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45.676.768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42.537.802 </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7.300.067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4.154.122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2.175.084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- 8%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- 5%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- 5%</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2.737.525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2.492.473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2.175.084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-8,2% đến  7,4%,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1035"/>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3"/>
        <w:gridCol w:w="2219"/>
        <w:gridCol w:w="2227"/>
        <w:gridCol w:w="2223"/>
        <w:gridCol w:w="2227"/>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2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2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2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2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0" w:type="dxa"/>
              <w:top w:w="0" w:type="dxa"/>
              <w:right w:w="0" w:type="dxa"/>
              <w:bottom w:w="0" w:type="dxa"/>
            </w:tcMar>
            <w:tcW w:w="22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8" w:space="0"/>
              <w:right w:val="single" w:color="000000" w:sz="8" w:space="0"/>
            </w:tcBorders>
            <w:tcMar>
              <w:left w:w="0" w:type="dxa"/>
              <w:top w:w="0" w:type="dxa"/>
              <w:right w:w="0" w:type="dxa"/>
              <w:bottom w:w="0" w:type="dxa"/>
            </w:tcMar>
            <w:tcW w:w="22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42.887.893</w:t>
            </w:r>
            <w:r/>
          </w:p>
        </w:tc>
        <w:tc>
          <w:tcPr>
            <w:shd w:val="clear" w:color="ffffff" w:fill="ffffff"/>
            <w:tcBorders>
              <w:bottom w:val="single" w:color="000000" w:sz="8" w:space="0"/>
              <w:right w:val="single" w:color="000000" w:sz="8" w:space="0"/>
            </w:tcBorders>
            <w:tcMar>
              <w:left w:w="0" w:type="dxa"/>
              <w:top w:w="0" w:type="dxa"/>
              <w:right w:w="0" w:type="dxa"/>
              <w:bottom w:w="0" w:type="dxa"/>
            </w:tcMar>
            <w:tcW w:w="22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8" w:space="0"/>
              <w:right w:val="single" w:color="000000" w:sz="8" w:space="0"/>
            </w:tcBorders>
            <w:tcMar>
              <w:left w:w="0" w:type="dxa"/>
              <w:top w:w="0" w:type="dxa"/>
              <w:right w:w="0" w:type="dxa"/>
              <w:bottom w:w="0" w:type="dxa"/>
            </w:tcMar>
            <w:tcW w:w="22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14.295.964</w:t>
            </w:r>
            <w:r/>
          </w:p>
        </w:tc>
      </w:tr>
      <w:tr>
        <w:trPr>
          <w:trHeight w:val="31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0" w:type="dxa"/>
              <w:top w:w="0" w:type="dxa"/>
              <w:right w:w="0" w:type="dxa"/>
              <w:bottom w:w="0" w:type="dxa"/>
            </w:tcMar>
            <w:tcW w:w="22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8" w:space="0"/>
              <w:right w:val="single" w:color="000000" w:sz="8" w:space="0"/>
            </w:tcBorders>
            <w:tcMar>
              <w:left w:w="0" w:type="dxa"/>
              <w:top w:w="0" w:type="dxa"/>
              <w:right w:w="0" w:type="dxa"/>
              <w:bottom w:w="0" w:type="dxa"/>
            </w:tcMar>
            <w:tcW w:w="22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39.048.746</w:t>
            </w:r>
            <w:r/>
          </w:p>
        </w:tc>
        <w:tc>
          <w:tcPr>
            <w:shd w:val="clear" w:color="ffffff" w:fill="ffffff"/>
            <w:tcBorders>
              <w:bottom w:val="single" w:color="000000" w:sz="8" w:space="0"/>
              <w:right w:val="single" w:color="000000" w:sz="8" w:space="0"/>
            </w:tcBorders>
            <w:tcMar>
              <w:left w:w="0" w:type="dxa"/>
              <w:top w:w="0" w:type="dxa"/>
              <w:right w:w="0" w:type="dxa"/>
              <w:bottom w:w="0" w:type="dxa"/>
            </w:tcMar>
            <w:tcW w:w="22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8" w:space="0"/>
              <w:right w:val="single" w:color="000000" w:sz="8" w:space="0"/>
            </w:tcBorders>
            <w:tcMar>
              <w:left w:w="0" w:type="dxa"/>
              <w:top w:w="0" w:type="dxa"/>
              <w:right w:w="0" w:type="dxa"/>
              <w:bottom w:w="0" w:type="dxa"/>
            </w:tcMar>
            <w:tcW w:w="22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13.016.249</w:t>
            </w:r>
            <w:r/>
          </w:p>
        </w:tc>
      </w:tr>
      <w:tr>
        <w:trPr>
          <w:trHeight w:val="31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9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8" w:space="0"/>
              <w:right w:val="single" w:color="000000" w:sz="8" w:space="0"/>
            </w:tcBorders>
            <w:tcMar>
              <w:left w:w="0" w:type="dxa"/>
              <w:top w:w="0" w:type="dxa"/>
              <w:right w:w="0" w:type="dxa"/>
              <w:bottom w:w="0" w:type="dxa"/>
            </w:tcMar>
            <w:tcW w:w="22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8" w:space="0"/>
              <w:right w:val="single" w:color="000000" w:sz="8" w:space="0"/>
            </w:tcBorders>
            <w:tcMar>
              <w:left w:w="0" w:type="dxa"/>
              <w:top w:w="0" w:type="dxa"/>
              <w:right w:w="0" w:type="dxa"/>
              <w:bottom w:w="0" w:type="dxa"/>
            </w:tcMar>
            <w:tcW w:w="22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45.676.768</w:t>
            </w:r>
            <w:r/>
          </w:p>
        </w:tc>
        <w:tc>
          <w:tcPr>
            <w:shd w:val="clear" w:color="ffffff" w:fill="ffffff"/>
            <w:tcBorders>
              <w:bottom w:val="single" w:color="000000" w:sz="8" w:space="0"/>
              <w:right w:val="single" w:color="000000" w:sz="8" w:space="0"/>
            </w:tcBorders>
            <w:tcMar>
              <w:left w:w="0" w:type="dxa"/>
              <w:top w:w="0" w:type="dxa"/>
              <w:right w:w="0" w:type="dxa"/>
              <w:bottom w:w="0" w:type="dxa"/>
            </w:tcMar>
            <w:tcW w:w="22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8" w:space="0"/>
              <w:right w:val="single" w:color="000000" w:sz="8" w:space="0"/>
            </w:tcBorders>
            <w:tcMar>
              <w:left w:w="0" w:type="dxa"/>
              <w:top w:w="0" w:type="dxa"/>
              <w:right w:w="0" w:type="dxa"/>
              <w:bottom w:w="0" w:type="dxa"/>
            </w:tcMar>
            <w:tcW w:w="22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15.225.589</w:t>
            </w:r>
            <w:r/>
          </w:p>
        </w:tc>
      </w:tr>
      <w:tr>
        <w:trPr>
          <w:trHeight w:val="312"/>
        </w:trPr>
        <w:tc>
          <w:tcPr>
            <w:gridSpan w:val="4"/>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6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8" w:space="0"/>
              <w:right w:val="single" w:color="000000" w:sz="8" w:space="0"/>
            </w:tcBorders>
            <w:tcMar>
              <w:left w:w="0" w:type="dxa"/>
              <w:top w:w="0" w:type="dxa"/>
              <w:right w:w="0" w:type="dxa"/>
              <w:bottom w:w="0" w:type="dxa"/>
            </w:tcMar>
            <w:tcW w:w="22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42.537.802</w:t>
            </w:r>
            <w:r/>
          </w:p>
        </w:tc>
      </w:tr>
      <w:tr>
        <w:trPr>
          <w:trHeight w:val="312"/>
        </w:trPr>
        <w:tc>
          <w:tcPr>
            <w:gridSpan w:val="4"/>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6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0" w:type="dxa"/>
              <w:top w:w="0" w:type="dxa"/>
              <w:right w:w="0" w:type="dxa"/>
              <w:bottom w:w="0" w:type="dxa"/>
            </w:tcMar>
            <w:tcW w:w="22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42.500.000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sz w:val="24"/>
        </w:rPr>
        <w:t xml:space="preserve">42.500.000 đồng/m².</w:t>
      </w:r>
      <w:r/>
    </w:p>
    <w:p>
      <w:pPr>
        <w:pStyle w:val="1031"/>
        <w:numPr>
          <w:ilvl w:val="0"/>
          <w:numId w:val="26"/>
        </w:numPr>
        <w:pBdr>
          <w:top w:val="none" w:color="000000" w:sz="4" w:space="0"/>
          <w:left w:val="none" w:color="000000" w:sz="4" w:space="0"/>
          <w:bottom w:val="none" w:color="000000" w:sz="4" w:space="0"/>
          <w:right w:val="none" w:color="000000" w:sz="4" w:space="0"/>
        </w:pBdr>
        <w:spacing w:after="120" w:before="120" w:line="276" w:lineRule="auto"/>
        <w:ind w:hanging="357" w:left="357"/>
        <w:jc w:val="both"/>
        <w:rPr>
          <w:b/>
          <w:bCs/>
        </w:rPr>
      </w:pPr>
      <w:r>
        <w:rPr>
          <w:b/>
          <w:bCs/>
          <w:lang w:val="pt-BR" w:bidi="pt-BR"/>
        </w:rPr>
      </w:r>
      <w:r>
        <w:rPr>
          <w:rFonts w:ascii="Times New Roman" w:hAnsi="Times New Roman" w:eastAsia="Times New Roman" w:cs="Times New Roman"/>
          <w:b/>
          <w:bCs/>
          <w:color w:val="000000"/>
          <w:sz w:val="24"/>
          <w:highlight w:val="white"/>
        </w:rPr>
        <w:t xml:space="preserve">Xác định giá trị tài sản gắn liền với đất</w:t>
      </w:r>
      <w:r>
        <w:rPr>
          <w:b/>
          <w:bCs/>
        </w:rPr>
      </w:r>
      <w:r>
        <w:rPr>
          <w:b/>
          <w:bCs/>
        </w:rPr>
      </w:r>
    </w:p>
    <w:p>
      <w:pPr>
        <w:numPr>
          <w:ilvl w:val="0"/>
          <w:numId w:val="40"/>
        </w:numPr>
        <w:pBdr>
          <w:top w:val="none" w:color="000000" w:sz="4" w:space="0"/>
          <w:left w:val="none" w:color="000000" w:sz="4" w:space="0"/>
          <w:bottom w:val="none" w:color="000000" w:sz="4" w:space="0"/>
          <w:right w:val="none" w:color="000000" w:sz="4" w:space="0"/>
        </w:pBdr>
        <w:spacing w:after="120" w:before="120" w:line="312" w:lineRule="auto"/>
        <w:ind/>
        <w:jc w:val="both"/>
        <w:rPr/>
      </w:pPr>
      <w:r>
        <w:rPr>
          <w:rFonts w:ascii="Times New Roman" w:hAnsi="Times New Roman" w:eastAsia="Times New Roman" w:cs="Times New Roman"/>
          <w:b/>
          <w:color w:val="000000"/>
          <w:sz w:val="24"/>
        </w:rPr>
        <w:t xml:space="preserve">Xác định đơn giá của công trình xây dựng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color w:val="000000"/>
          <w:sz w:val="24"/>
        </w:rPr>
        <w:t xml:space="preserve">Q</w:t>
      </w:r>
      <w:r>
        <w:rPr>
          <w:rFonts w:ascii="Times New Roman" w:hAnsi="Times New Roman" w:eastAsia="Times New Roman" w:cs="Times New Roman"/>
          <w:color w:val="000000"/>
          <w:sz w:val="24"/>
        </w:rPr>
        <w:t xml:space="preserve">ua tham khảo thị trường về đơn giá xây dựng mới đối với công trình nhà 3 tầng + 1 tum, cân nhắc và xem xét với mức độ hoàn thiện của công trình xây dựng hiện có, tổ thẩm định nhận thấy đơn giá vận dụng theo Quyết định số 425/QĐ-BXD ngày 30/3/2026 của Bộ Xâ</w:t>
      </w:r>
      <w:r>
        <w:rPr>
          <w:rFonts w:ascii="Times New Roman" w:hAnsi="Times New Roman" w:eastAsia="Times New Roman" w:cs="Times New Roman"/>
          <w:color w:val="000000"/>
          <w:sz w:val="24"/>
        </w:rPr>
        <w:t xml:space="preserve">y dựng về việc Công bố suất vốn đầu tư xây dựng công trình và giá xây dựng tổng hợp bộ phận kết cấu công trình năm 2025 là khá phù hợp với thị trường, theo đó:</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i/>
          <w:color w:val="000000"/>
          <w:sz w:val="24"/>
        </w:rPr>
        <w:t xml:space="preserve">“Suất vốn đầu tư xây dựng Nhà từ 2 đến 3 tầng, kết cấu khung chịu lực BTCT; tường bao xây gạch; sàn, mái BTCT đổ tại chỗ không có tầng hầm</w:t>
      </w:r>
      <w:r>
        <w:rPr>
          <w:rFonts w:ascii="Times New Roman" w:hAnsi="Times New Roman" w:eastAsia="Times New Roman" w:cs="Times New Roman"/>
          <w:b/>
          <w:i/>
          <w:color w:val="000000"/>
          <w:sz w:val="24"/>
        </w:rPr>
        <w:t xml:space="preserve"> có đơn giá là 8.370.000 </w:t>
      </w:r>
      <w:r>
        <w:rPr>
          <w:rFonts w:ascii="Times New Roman" w:hAnsi="Times New Roman" w:eastAsia="Times New Roman" w:cs="Times New Roman"/>
          <w:i/>
          <w:color w:val="000000"/>
          <w:sz w:val="24"/>
        </w:rPr>
        <w:t xml:space="preserve">đồng/m² sàn.”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i/>
          <w:color w:val="000000"/>
          <w:sz w:val="24"/>
        </w:rPr>
        <w:t xml:space="preserve">Hệ số điều chỉnh vùng cho Suất đầu tư: </w:t>
      </w:r>
      <w:r>
        <w:rPr>
          <w:rFonts w:ascii="Times New Roman" w:hAnsi="Times New Roman" w:eastAsia="Times New Roman" w:cs="Times New Roman"/>
          <w:i/>
          <w:color w:val="000000"/>
          <w:sz w:val="24"/>
        </w:rPr>
        <w:t xml:space="preserve">Thành phố Hải Dương (cũ) </w:t>
      </w:r>
      <w:r>
        <w:rPr>
          <w:rFonts w:ascii="Times New Roman" w:hAnsi="Times New Roman" w:eastAsia="Times New Roman" w:cs="Times New Roman"/>
          <w:i/>
          <w:color w:val="000000"/>
          <w:sz w:val="24"/>
        </w:rPr>
        <w:t xml:space="preserve">thuộ</w:t>
      </w:r>
      <w:r>
        <w:rPr>
          <w:rFonts w:ascii="Times New Roman" w:hAnsi="Times New Roman" w:eastAsia="Times New Roman" w:cs="Times New Roman"/>
          <w:i/>
          <w:color w:val="000000"/>
          <w:sz w:val="24"/>
          <w:highlight w:val="white"/>
        </w:rPr>
        <w:t xml:space="preserve">c </w:t>
      </w:r>
      <w:r>
        <w:rPr>
          <w:rFonts w:ascii="Times New Roman" w:hAnsi="Times New Roman" w:eastAsia="Times New Roman" w:cs="Times New Roman"/>
          <w:i/>
          <w:color w:val="000000"/>
          <w:sz w:val="24"/>
          <w:highlight w:val="white"/>
        </w:rPr>
        <w:t xml:space="preserve">vùng 2 </w:t>
      </w:r>
      <w:r>
        <w:rPr>
          <w:rFonts w:ascii="Times New Roman" w:hAnsi="Times New Roman" w:eastAsia="Times New Roman" w:cs="Times New Roman"/>
          <w:i/>
          <w:color w:val="000000"/>
          <w:sz w:val="24"/>
          <w:highlight w:val="white"/>
        </w:rPr>
        <w:t xml:space="preserve">có hệ số điều chỉnh là </w:t>
      </w:r>
      <w:r>
        <w:rPr>
          <w:rFonts w:ascii="Times New Roman" w:hAnsi="Times New Roman" w:eastAsia="Times New Roman" w:cs="Times New Roman"/>
          <w:b/>
          <w:i/>
          <w:color w:val="000000"/>
          <w:sz w:val="24"/>
          <w:highlight w:val="white"/>
        </w:rPr>
        <w:t xml:space="preserve">0,948</w:t>
      </w:r>
      <w:r>
        <w:rPr>
          <w:rFonts w:ascii="Times New Roman" w:hAnsi="Times New Roman" w:eastAsia="Times New Roman" w:cs="Times New Roman"/>
          <w:i/>
          <w:color w:val="000000"/>
          <w:sz w:val="24"/>
          <w:highlight w:val="white"/>
        </w:rPr>
        <w:t xml:space="preserve">.”</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i/>
          <w:color w:val="000000"/>
          <w:sz w:val="24"/>
        </w:rPr>
        <w:t xml:space="preserve">Do đó, Tổ thẩm định xác định đơn giá xây mới của công trình xây dựng là: (Suất đầu tư xây dựng) x (Hệ số vùng) = 8.370.000 x 0,948 = </w:t>
      </w:r>
      <w:r>
        <w:rPr>
          <w:rFonts w:ascii="Times New Roman" w:hAnsi="Times New Roman" w:eastAsia="Times New Roman" w:cs="Times New Roman"/>
          <w:b/>
          <w:i/>
          <w:color w:val="000000"/>
          <w:sz w:val="24"/>
        </w:rPr>
        <w:t xml:space="preserve">7.934.760 </w:t>
      </w:r>
      <w:r>
        <w:rPr>
          <w:rFonts w:ascii="Times New Roman" w:hAnsi="Times New Roman" w:eastAsia="Times New Roman" w:cs="Times New Roman"/>
          <w:color w:val="000000"/>
          <w:sz w:val="24"/>
        </w:rPr>
        <w:t xml:space="preserve">đồng</w:t>
      </w:r>
      <w:r>
        <w:rPr>
          <w:rFonts w:ascii="Times New Roman" w:hAnsi="Times New Roman" w:eastAsia="Times New Roman" w:cs="Times New Roman"/>
          <w:i/>
          <w:color w:val="000000"/>
          <w:sz w:val="24"/>
        </w:rPr>
        <w:t xml:space="preserve">/m² sàn. </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b/>
          <w:color w:val="000000"/>
          <w:sz w:val="24"/>
        </w:rPr>
        <w:t xml:space="preserve">Xác định giá trị hao mòn theo phương pháp tổng cộng:</w:t>
      </w:r>
      <w:r/>
    </w:p>
    <w:p>
      <w:pPr>
        <w:pBdr>
          <w:top w:val="none" w:color="000000" w:sz="4" w:space="0"/>
          <w:left w:val="none" w:color="000000" w:sz="4" w:space="0"/>
          <w:bottom w:val="none" w:color="000000" w:sz="4" w:space="0"/>
          <w:right w:val="none" w:color="000000" w:sz="4" w:space="0"/>
        </w:pBdr>
        <w:spacing w:after="120" w:before="120" w:line="276" w:lineRule="auto"/>
        <w:ind w:right="0" w:firstLine="450" w:left="0"/>
        <w:jc w:val="both"/>
        <w:rPr/>
      </w:pPr>
      <w:r>
        <w:rPr>
          <w:rFonts w:ascii="Times New Roman" w:hAnsi="Times New Roman" w:eastAsia="Times New Roman" w:cs="Times New Roman"/>
          <w:b/>
          <w:i/>
          <w:color w:val="000000"/>
          <w:sz w:val="24"/>
        </w:rPr>
        <w:t xml:space="preserve">Tổng giá trị hao mòn của tài sản được xác định thông qua tổng giá trị các loại hao mòn vật lý, chức năng và ngoại biên của tài sản:</w:t>
      </w:r>
      <w:r/>
    </w:p>
    <w:p>
      <w:pPr>
        <w:pBdr>
          <w:top w:val="none" w:color="000000" w:sz="4" w:space="0"/>
          <w:left w:val="none" w:color="000000" w:sz="4" w:space="0"/>
          <w:bottom w:val="none" w:color="000000" w:sz="4" w:space="0"/>
          <w:right w:val="none" w:color="000000" w:sz="4" w:space="0"/>
        </w:pBdr>
        <w:spacing w:after="120" w:before="120" w:line="276" w:lineRule="auto"/>
        <w:ind w:right="0" w:firstLine="498" w:left="0"/>
        <w:jc w:val="both"/>
        <w:rPr/>
      </w:pPr>
      <w:r>
        <w:rPr>
          <w:rFonts w:ascii="Times New Roman" w:hAnsi="Times New Roman" w:eastAsia="Times New Roman" w:cs="Times New Roman"/>
          <w:color w:val="000000"/>
          <w:sz w:val="24"/>
        </w:rPr>
        <w:t xml:space="preserve">+ Hao mòn chức năng và hao mòn ngoại biên: Công trình xây dựng hiện đang sử dụng bình thường, đáp ứng đầy đủ về công năng sử dụng =&gt; hao mòn chức năng và hao mòn ngoại biên là không đáng kể.</w:t>
        <w:tab/>
        <w:tab/>
        <w:tab/>
        <w:tab/>
        <w:tab/>
        <w:tab/>
        <w:tab/>
        <w:tab/>
        <w:tab/>
      </w:r>
      <w:r/>
    </w:p>
    <w:p>
      <w:pPr>
        <w:pBdr>
          <w:top w:val="none" w:color="000000" w:sz="4" w:space="0"/>
          <w:left w:val="none" w:color="000000" w:sz="4" w:space="0"/>
          <w:bottom w:val="none" w:color="000000" w:sz="4" w:space="0"/>
          <w:right w:val="none" w:color="000000" w:sz="4" w:space="0"/>
        </w:pBdr>
        <w:spacing w:after="120" w:before="120" w:line="276" w:lineRule="auto"/>
        <w:ind w:right="0" w:firstLine="498" w:left="0"/>
        <w:jc w:val="both"/>
        <w:rPr/>
      </w:pPr>
      <w:r>
        <w:rPr>
          <w:rFonts w:ascii="Times New Roman" w:hAnsi="Times New Roman" w:eastAsia="Times New Roman" w:cs="Times New Roman"/>
          <w:color w:val="000000"/>
          <w:sz w:val="24"/>
        </w:rPr>
        <w:t xml:space="preserve">+ Hao mòn vật lý: Xác định tỷ lệ hao mòn vật lý căn cứ vào đánh giá mức độ hao mòn các kết cấu chính của tài sản.</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Qua khảo sát hiện trạng, dựa vào đặc điểm tài sản và tham khảo ý kiến các chuyên giá về xây dựng, Tổ thẩm định đánh giá tỷ lệ chất lượng còn lại của công trình xây dựng theo Văn bản số 1326/BXD-QLN do Bộ Xây dựng ban hành ngày 08/8/2011 về việc hướng dẫn k</w:t>
      </w:r>
      <w:r>
        <w:rPr>
          <w:rFonts w:ascii="Times New Roman" w:hAnsi="Times New Roman" w:eastAsia="Times New Roman" w:cs="Times New Roman"/>
          <w:color w:val="000000"/>
          <w:sz w:val="24"/>
        </w:rPr>
        <w:t xml:space="preserve">iểm kê, đánh giá lại giá trị tài sản cố định là nhà, vật kiến trúc như sau: Tỷ lệ chất lượng còn lại của nhà, vật kiến trúc được xác định căn cứ vào tỷ lệ chất lượng còn lại của các kết cấu chính (nếu là nhà thì kết cấu chính gồm: móng, khung, cột, tường, </w:t>
      </w:r>
      <w:r>
        <w:rPr>
          <w:rFonts w:ascii="Times New Roman" w:hAnsi="Times New Roman" w:eastAsia="Times New Roman" w:cs="Times New Roman"/>
          <w:color w:val="000000"/>
          <w:sz w:val="24"/>
        </w:rPr>
        <w:t xml:space="preserve">nền, sàn, kết cấu đỡ mái và mái) tạo nên nhà đó và tỷ lệ giá trị của các kết cấu chính đó so với tổng giá trị của nhà hoặc vật kiến trúc.</w:t>
      </w:r>
      <w:r/>
    </w:p>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Công thức tính như sau:</w:t>
      </w:r>
      <w:r/>
    </w:p>
    <w:tbl>
      <w:tblPr>
        <w:tblStyle w:val="1035"/>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80"/>
        <w:gridCol w:w="690"/>
        <w:gridCol w:w="870"/>
        <w:gridCol w:w="3570"/>
        <w:gridCol w:w="795"/>
        <w:gridCol w:w="3075"/>
      </w:tblGrid>
      <w:tr>
        <w:trPr/>
        <w:tc>
          <w:tcPr>
            <w:tcBorders/>
            <w:tcMar>
              <w:left w:w="15" w:type="dxa"/>
              <w:top w:w="15" w:type="dxa"/>
              <w:right w:w="15" w:type="dxa"/>
              <w:bottom w:w="15" w:type="dxa"/>
            </w:tcMar>
            <w:tcW w:w="258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Tỷ lệ chất lượng còn lại lại của nhà, vật kiến trúc (%)</w:t>
            </w:r>
            <w:r/>
          </w:p>
        </w:tc>
        <w:tc>
          <w:tcPr>
            <w:tcBorders/>
            <w:tcMar>
              <w:left w:w="15" w:type="dxa"/>
              <w:top w:w="15" w:type="dxa"/>
              <w:right w:w="15" w:type="dxa"/>
              <w:bottom w:w="15" w:type="dxa"/>
            </w:tcMar>
            <w:tcW w:w="69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5" w:type="dxa"/>
              <w:top w:w="15" w:type="dxa"/>
              <w:right w:w="15" w:type="dxa"/>
              <w:bottom w:w="15" w:type="dxa"/>
            </w:tcMar>
            <w:tcW w:w="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15" w:type="dxa"/>
            </w:tcMar>
            <w:tcW w:w="35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tcMar>
              <w:left w:w="15" w:type="dxa"/>
              <w:top w:w="15" w:type="dxa"/>
              <w:right w:w="15" w:type="dxa"/>
              <w:bottom w:w="15" w:type="dxa"/>
            </w:tcMar>
            <w:tcW w:w="7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x</w:t>
            </w:r>
            <w:r/>
          </w:p>
        </w:tc>
        <w:tc>
          <w:tcPr>
            <w:tcBorders/>
            <w:tcMar>
              <w:left w:w="15" w:type="dxa"/>
              <w:top w:w="15" w:type="dxa"/>
              <w:right w:w="15" w:type="dxa"/>
              <w:bottom w:w="15" w:type="dxa"/>
            </w:tcMar>
            <w:tcW w:w="30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5" w:type="dxa"/>
              <w:top w:w="15" w:type="dxa"/>
              <w:right w:w="15" w:type="dxa"/>
              <w:bottom w:w="15" w:type="dxa"/>
            </w:tcMar>
            <w:tcW w:w="83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i/>
          <w:color w:val="000000"/>
          <w:sz w:val="24"/>
        </w:rPr>
        <w:t xml:space="preserve">Trong đó:</w:t>
      </w:r>
      <w:r/>
    </w:p>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i: số thứ tự của kết cấu chính</w:t>
      </w:r>
      <w:r/>
    </w:p>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n: số các kết cấu chính.</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2121"/>
        <w:gridCol w:w="2010"/>
        <w:gridCol w:w="2531"/>
        <w:gridCol w:w="2316"/>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rHeight w:val="58"/>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88%</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29%</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Tổng cộng (g)</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54%</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Tỷ lệ chất lượng còn lại:</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80%</w:t>
            </w:r>
            <w:r/>
          </w:p>
        </w:tc>
      </w:tr>
    </w:tbl>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Tổ thẩm định xác định, tỷ lệ chất lượng còn lại của công trình xây dựng là: </w:t>
      </w:r>
      <w:r>
        <w:rPr>
          <w:rFonts w:ascii="Times New Roman" w:hAnsi="Times New Roman" w:eastAsia="Times New Roman" w:cs="Times New Roman"/>
          <w:b/>
          <w:color w:val="000000"/>
          <w:sz w:val="24"/>
        </w:rPr>
        <w:t xml:space="preserve">80%. </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b/>
          <w:color w:val="000000"/>
          <w:sz w:val="24"/>
        </w:rPr>
        <w:t xml:space="preserve">Do đó, tỷ lệ hao mòn của công trình là 100% - 80%=20%</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35"/>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2"/>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 </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729"/>
        <w:gridCol w:w="1134"/>
        <w:gridCol w:w="1134"/>
        <w:gridCol w:w="1559"/>
        <w:gridCol w:w="855"/>
        <w:gridCol w:w="1412"/>
        <w:gridCol w:w="1702"/>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Diện tích sàn</w:t>
              <w:br/>
              <w:t xml:space="preserve">    (m²)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Đơn giá xây dựng mới (đồng/m²)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Chi phí thay thế (đồng)</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8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hao mòn </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4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Gía trị hao mòn </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trị thẩm định tại thời điểm thẩm định giá (đồng)</w:t>
            </w:r>
            <w:r/>
          </w:p>
        </w:tc>
      </w:tr>
      <w:tr>
        <w:trPr>
          <w:trHeight w:val="331"/>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17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(A)</w:t>
            </w:r>
            <w:r/>
          </w:p>
        </w:tc>
        <w:tc>
          <w:tcPr>
            <w:shd w:val="clear" w:color="ffffff" w:fill="ffffff"/>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 (2) * (1)</w:t>
            </w:r>
            <w:r/>
          </w:p>
        </w:tc>
        <w:tc>
          <w:tcPr>
            <w:shd w:val="clear" w:color="ffffff" w:fill="ffffff"/>
            <w:tcBorders>
              <w:bottom w:val="single" w:color="000000" w:sz="8" w:space="0"/>
              <w:right w:val="single" w:color="000000" w:sz="8" w:space="0"/>
            </w:tcBorders>
            <w:tcMar>
              <w:left w:w="0" w:type="dxa"/>
              <w:top w:w="0" w:type="dxa"/>
              <w:right w:w="0" w:type="dxa"/>
              <w:bottom w:w="0" w:type="dxa"/>
            </w:tcMar>
            <w:tcW w:w="8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0" w:type="dxa"/>
              <w:top w:w="0" w:type="dxa"/>
              <w:right w:w="0" w:type="dxa"/>
              <w:bottom w:w="0" w:type="dxa"/>
            </w:tcMar>
            <w:tcW w:w="14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(3)*(4)</w:t>
            </w:r>
            <w:r/>
          </w:p>
        </w:tc>
        <w:tc>
          <w:tcPr>
            <w:shd w:val="clear" w:color="ffffff" w:fill="ffffff"/>
            <w:tcBorders>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 = (3) - (5)</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1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3 tầng 1 tum</w:t>
            </w: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208,02</w:t>
            </w: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pacing w:val="3"/>
                <w:sz w:val="22"/>
              </w:rPr>
              <w:t xml:space="preserve">7.934.760</w:t>
            </w: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1.650.588.775</w:t>
            </w:r>
            <w:r/>
          </w:p>
        </w:tc>
        <w:tc>
          <w:tcPr>
            <w:tcBorders>
              <w:bottom w:val="single" w:color="000000" w:sz="8" w:space="0"/>
              <w:right w:val="single" w:color="000000" w:sz="8" w:space="0"/>
            </w:tcBorders>
            <w:tcMar>
              <w:left w:w="0" w:type="dxa"/>
              <w:top w:w="0" w:type="dxa"/>
              <w:right w:w="0" w:type="dxa"/>
              <w:bottom w:w="0" w:type="dxa"/>
            </w:tcMar>
            <w:tcW w:w="85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0" w:type="dxa"/>
              <w:top w:w="0" w:type="dxa"/>
              <w:right w:w="0" w:type="dxa"/>
              <w:bottom w:w="0" w:type="dxa"/>
            </w:tcMar>
            <w:tcW w:w="14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330.117.755</w:t>
            </w:r>
            <w:r/>
          </w:p>
        </w:tc>
        <w:tc>
          <w:tcPr>
            <w:tcBorders>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1.320.471.020</w:t>
            </w:r>
            <w:r/>
          </w:p>
        </w:tc>
      </w:tr>
    </w:tbl>
    <w:p>
      <w:pPr>
        <w:pStyle w:val="1031"/>
        <w:numPr>
          <w:ilvl w:val="0"/>
          <w:numId w:val="26"/>
        </w:numPr>
        <w:pBdr>
          <w:top w:val="none" w:color="000000" w:sz="4" w:space="0"/>
          <w:left w:val="none" w:color="000000" w:sz="4" w:space="0"/>
          <w:bottom w:val="none" w:color="000000" w:sz="4" w:space="0"/>
          <w:right w:val="none" w:color="000000" w:sz="4" w:space="0"/>
        </w:pBdr>
        <w:spacing w:after="120" w:before="120" w:line="276" w:lineRule="auto"/>
        <w:ind w:hanging="357" w:left="357"/>
        <w:jc w:val="both"/>
        <w:rPr>
          <w:b/>
          <w:bCs/>
        </w:rPr>
      </w:pPr>
      <w:r>
        <w:rPr>
          <w:rFonts w:ascii="Times New Roman" w:hAnsi="Times New Roman" w:eastAsia="Times New Roman" w:cs="Times New Roman"/>
          <w:b/>
          <w:bCs/>
          <w:color w:val="000000"/>
          <w:sz w:val="24"/>
          <w:szCs w:val="24"/>
          <w:highlight w:val="white"/>
        </w:rPr>
      </w:r>
      <w:r>
        <w:rPr>
          <w:rFonts w:ascii="Times New Roman" w:hAnsi="Times New Roman" w:eastAsia="Times New Roman" w:cs="Times New Roman"/>
          <w:b/>
          <w:bCs/>
          <w:color w:val="000000"/>
          <w:sz w:val="24"/>
        </w:rPr>
        <w:t xml:space="preserve">Kết quả thẩm định giá:</w:t>
      </w:r>
      <w:r>
        <w:rPr>
          <w:b/>
          <w:bCs/>
        </w:rPr>
      </w:r>
      <w:r>
        <w:rPr>
          <w:b/>
          <w:bCs/>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06/2026 ước tính như sau:</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2413"/>
        <w:gridCol w:w="1766"/>
        <w:gridCol w:w="1966"/>
        <w:gridCol w:w="997"/>
        <w:gridCol w:w="1836"/>
      </w:tblGrid>
      <w:tr>
        <w:trPr>
          <w:trHeight w:val="729"/>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CLCL </w:t>
              <w:br/>
              <w:t xml:space="preserve">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8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7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r>
            <w:r>
              <w:rPr>
                <w:b/>
                <w:bCs/>
                <w:color w:val="000000"/>
              </w:rPr>
              <w:t xml:space="preserve">Quyền sử dụng đất và tài sản gắn liền với đất tại thửa đất số: 146, tờ bản đồ số: 85 có địa chỉ: Lô 20.75 KĐT Phía Tây, phường Tứ Minh, TP Hải Dương, tỉnh Hải Dương (nay là số nhà 22 ngõ 38 Lê Văn Hưu, </w:t>
            </w:r>
            <w:r>
              <w:rPr>
                <w:b/>
                <w:bCs/>
                <w:color w:val="000000"/>
              </w:rPr>
              <w:t xml:space="preserve">Phường Tứ Minh, Thành phố Hải Phòng) theo Giấy chứng nhận quyền sử dụng dất, quyền sở hữu nhà ở và tài sản khác gắn liền với đất số: DL 503988, số vào sổ cấp GCN: CH -01512 do Uỷ ban Nhân dân Thành phố Hải Dương cấp ngày 20/09/2023 cho Ông Phạm Xuân Tiếp</w:t>
            </w:r>
            <w:r>
              <w:rPr>
                <w:rFonts w:ascii="Times New Roman" w:hAnsi="Times New Roman" w:eastAsia="Times New Roman" w:cs="Times New Roman"/>
                <w:b/>
                <w:color w:val="000000"/>
                <w:sz w:val="24"/>
              </w:r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tại đô thị </w:t>
            </w:r>
            <w:r/>
          </w:p>
        </w:tc>
        <w:tc>
          <w:tcPr>
            <w:tcBorders>
              <w:bottom w:val="single" w:color="000000" w:sz="8" w:space="0"/>
              <w:right w:val="single" w:color="000000" w:sz="8" w:space="0"/>
            </w:tcBorders>
            <w:tcMar>
              <w:left w:w="108" w:type="dxa"/>
              <w:top w:w="0" w:type="dxa"/>
              <w:right w:w="108" w:type="dxa"/>
              <w:bottom w:w="0" w:type="dxa"/>
            </w:tcMar>
            <w:tcW w:w="176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42.500.000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2.805.000.000</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3 tầng</w:t>
            </w:r>
            <w:r/>
          </w:p>
        </w:tc>
        <w:tc>
          <w:tcPr>
            <w:tcBorders>
              <w:bottom w:val="single" w:color="000000" w:sz="8" w:space="0"/>
              <w:right w:val="single" w:color="000000" w:sz="8" w:space="0"/>
            </w:tcBorders>
            <w:tcMar>
              <w:left w:w="108" w:type="dxa"/>
              <w:top w:w="0" w:type="dxa"/>
              <w:right w:w="108" w:type="dxa"/>
              <w:bottom w:w="0" w:type="dxa"/>
            </w:tcMar>
            <w:tcW w:w="176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208,02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7.934.760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1.320.471.020</w:t>
            </w:r>
            <w:r/>
          </w:p>
        </w:tc>
      </w:tr>
      <w:tr>
        <w:trPr>
          <w:trHeight w:val="312"/>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67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8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4.125.471.020</w:t>
            </w:r>
            <w:r/>
          </w:p>
        </w:tc>
      </w:tr>
      <w:tr>
        <w:trPr>
          <w:trHeight w:val="312"/>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67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8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4.125.000.000</w:t>
            </w:r>
            <w:r/>
          </w:p>
        </w:tc>
      </w:tr>
      <w:tr>
        <w:trPr>
          <w:trHeight w:val="309"/>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5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Bốn tỷ một trăm hai mươi lăm triệu đồng chẵn./.)</w:t>
            </w:r>
            <w:r/>
          </w:p>
        </w:tc>
      </w:tr>
    </w:tbl>
    <w:p>
      <w:pPr>
        <w:pStyle w:val="1031"/>
        <w:pBdr/>
        <w:tabs>
          <w:tab w:val="left" w:leader="none" w:pos="993"/>
        </w:tabs>
        <w:spacing w:after="120" w:before="120" w:line="276" w:lineRule="auto"/>
        <w:ind w:left="0"/>
        <w:jc w:val="both"/>
        <w:rPr/>
      </w:pPr>
      <w:r/>
      <w:r/>
    </w:p>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275/2026/0907/VFI-CT.53.A</w:t>
      </w:r>
      <w:r>
        <w:rPr>
          <w:color w:val="ff0000"/>
          <w:lang w:val="vi-VN"/>
        </w:rPr>
        <w:t xml:space="preserve"> </w:t>
      </w:r>
      <w:r>
        <w:rPr>
          <w:color w:val="000000" w:themeColor="text1"/>
        </w:rPr>
        <w:t xml:space="preserve">ngày 16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275/2026/0907/VFI-BC.53.A</w:t>
      </w:r>
      <w:r>
        <w:rPr>
          <w:i/>
        </w:rPr>
        <w:t xml:space="preserve"> ngày</w:t>
      </w:r>
      <w:r>
        <w:rPr>
          <w:i/>
          <w:lang w:val="pt-BR"/>
        </w:rPr>
        <w:t xml:space="preserve"> </w:t>
      </w:r>
      <w:r>
        <w:rPr>
          <w:i/>
          <w:lang w:val="pt-BR"/>
        </w:rPr>
        <w:t xml:space="preserve">16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w:t>
            </w:r>
            <w:r>
              <w:rPr>
                <w:b/>
                <w:bCs/>
                <w:i/>
                <w:lang w:val="pt-BR"/>
              </w:rPr>
              <w:t xml:space="preserve">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197752" cy="310468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36388" name=""/>
                              <pic:cNvPicPr>
                                <a:picLocks noChangeAspect="1"/>
                              </pic:cNvPicPr>
                              <pic:nvPr/>
                            </pic:nvPicPr>
                            <pic:blipFill rotWithShape="1">
                              <a:blip r:embed="rId19"/>
                              <a:stretch/>
                            </pic:blipFill>
                            <pic:spPr bwMode="auto">
                              <a:xfrm flipH="0" flipV="0">
                                <a:off x="0" y="0"/>
                                <a:ext cx="2197751" cy="31046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3.05pt;height:244.46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04813" cy="258149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222303" name=""/>
                              <pic:cNvPicPr>
                                <a:picLocks noChangeAspect="1"/>
                              </pic:cNvPicPr>
                              <pic:nvPr/>
                            </pic:nvPicPr>
                            <pic:blipFill rotWithShape="1">
                              <a:blip r:embed="rId20"/>
                              <a:stretch/>
                            </pic:blipFill>
                            <pic:spPr bwMode="auto">
                              <a:xfrm flipH="0" flipV="0">
                                <a:off x="0" y="0"/>
                                <a:ext cx="3004813" cy="25814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6.60pt;height:203.27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left"/>
              <w:rPr>
                <w:b/>
                <w:bCs/>
                <w:i/>
                <w:lang w:val="pt-BR"/>
              </w:rPr>
            </w:pPr>
            <w:r>
              <w:rPr>
                <w:b/>
                <w:bCs/>
                <w:i/>
                <w:lang w:val="pt-BR"/>
              </w:rPr>
              <w:t xml:space="preserve">           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left"/>
              <w:rPr>
                <w:b/>
                <w:bCs/>
                <w:i/>
                <w:lang w:val="pt-BR"/>
              </w:rPr>
            </w:pPr>
            <w:r>
              <w:rPr>
                <w:b/>
                <w:bCs/>
                <w:i/>
                <w:lang w:val="pt-BR"/>
              </w:rPr>
              <w:t xml:space="preserve">                     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64132" cy="192309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720458" name=""/>
                              <pic:cNvPicPr>
                                <a:picLocks noChangeAspect="1"/>
                              </pic:cNvPicPr>
                              <pic:nvPr/>
                            </pic:nvPicPr>
                            <pic:blipFill rotWithShape="1">
                              <a:blip r:embed="rId21"/>
                              <a:stretch/>
                            </pic:blipFill>
                            <pic:spPr bwMode="auto">
                              <a:xfrm flipH="0" flipV="0">
                                <a:off x="0" y="0"/>
                                <a:ext cx="2564132" cy="19230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1.90pt;height:151.43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85469" cy="20891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06851" name=""/>
                              <pic:cNvPicPr>
                                <a:picLocks noChangeAspect="1"/>
                              </pic:cNvPicPr>
                              <pic:nvPr/>
                            </pic:nvPicPr>
                            <pic:blipFill rotWithShape="1">
                              <a:blip r:embed="rId22"/>
                              <a:stretch/>
                            </pic:blipFill>
                            <pic:spPr bwMode="auto">
                              <a:xfrm flipH="0" flipV="0">
                                <a:off x="0" y="0"/>
                                <a:ext cx="2785469" cy="20891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9.33pt;height:164.5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06690" cy="218001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204968" name=""/>
                              <pic:cNvPicPr>
                                <a:picLocks noChangeAspect="1"/>
                              </pic:cNvPicPr>
                              <pic:nvPr/>
                            </pic:nvPicPr>
                            <pic:blipFill rotWithShape="1">
                              <a:blip r:embed="rId23"/>
                              <a:stretch/>
                            </pic:blipFill>
                            <pic:spPr bwMode="auto">
                              <a:xfrm flipH="0" flipV="0">
                                <a:off x="0" y="0"/>
                                <a:ext cx="2906689" cy="21800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8.87pt;height:171.65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24187" cy="226814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32622" name=""/>
                              <pic:cNvPicPr>
                                <a:picLocks noChangeAspect="1"/>
                              </pic:cNvPicPr>
                              <pic:nvPr/>
                            </pic:nvPicPr>
                            <pic:blipFill rotWithShape="1">
                              <a:blip r:embed="rId24"/>
                              <a:stretch/>
                            </pic:blipFill>
                            <pic:spPr bwMode="auto">
                              <a:xfrm flipH="0" flipV="0">
                                <a:off x="0" y="0"/>
                                <a:ext cx="3024187" cy="22681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8.12pt;height:178.5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275/2026/0907/VFI-BC.53.A</w:t>
      </w:r>
      <w:r>
        <w:rPr>
          <w:i/>
        </w:rPr>
        <w:t xml:space="preserve"> ngày</w:t>
      </w:r>
      <w:r>
        <w:rPr>
          <w:i/>
          <w:lang w:val="pt-BR"/>
        </w:rPr>
        <w:t xml:space="preserve"> </w:t>
      </w:r>
      <w:r>
        <w:rPr>
          <w:i/>
          <w:lang w:val="pt-BR"/>
        </w:rPr>
        <w:t xml:space="preserve">16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0963140603</w:t>
            </w:r>
            <w:r>
              <w:rPr>
                <w:sz w:val="22"/>
                <w:szCs w:val="22"/>
              </w:rPr>
              <w:t xml:space="preserve"> </w:t>
            </w:r>
            <w:r>
              <w:rPr>
                <w:sz w:val="22"/>
                <w:szCs w:val="22"/>
              </w:rPr>
              <w:br/>
              <w:t xml:space="preserve">(Vu Thuy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3.410.500.000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(74,75m²)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Khu đô thị Phía Tây, Phường Tứ Minh, Thành phố Hải Phòng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74,75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581291"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65812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518.21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601762"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6601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519.82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311437"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631143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96.9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Trần Thị Thanh Tâm</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0963140603</w:t>
            </w:r>
            <w:r>
              <w:rPr>
                <w:sz w:val="22"/>
                <w:szCs w:val="22"/>
              </w:rPr>
              <w:t xml:space="preserve"> </w:t>
            </w:r>
            <w:r>
              <w:rPr>
                <w:sz w:val="22"/>
                <w:szCs w:val="22"/>
              </w:rPr>
              <w:br/>
              <w:t xml:space="preserve">(Vu Thuy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2.897.500.000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(69,75m²)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Khu đô thị Phía Tây, Phường Tứ Minh, Thành phố Hải Phòng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747880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747880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588.88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44812"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64481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44.47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745348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74534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586.89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t xml:space="preserve">                                                                                   </w:t>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https://batdongsan.com.vn/ban-dat-pho-le-van-huu-phuong-tu-minh-314/ban-lo-at-sieu-re-sieu-ep-tp-hai-duong-pr45852583</w:t>
            </w:r>
            <w:r>
              <w:rPr>
                <w:color w:val="000000" w:themeColor="text1"/>
                <w:sz w:val="22"/>
                <w:szCs w:val="22"/>
              </w:rPr>
              <w:br/>
            </w:r>
            <w:r>
              <w:rPr>
                <w:sz w:val="22"/>
                <w:szCs w:val="22"/>
              </w:rPr>
              <w:t xml:space="preserve">SĐT: </w:t>
            </w:r>
            <w:r>
              <w:rPr>
                <w:color w:val="000000" w:themeColor="text1"/>
                <w:sz w:val="22"/>
                <w:szCs w:val="22"/>
              </w:rPr>
              <w:t xml:space="preserve">0963938961</w:t>
            </w:r>
            <w:r>
              <w:rPr>
                <w:sz w:val="22"/>
                <w:szCs w:val="22"/>
              </w:rPr>
              <w:t xml:space="preserve"> </w:t>
            </w:r>
            <w:r>
              <w:rPr>
                <w:sz w:val="22"/>
                <w:szCs w:val="22"/>
              </w:rPr>
              <w:br/>
              <w:t xml:space="preserve">(Thủy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(74,25m²)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Khu đô thị Phía Tây, Phường Tứ Minh, Thành phố Hải Phòng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74,25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01150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601150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3.35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48776"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84877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45.57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08289"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570828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49.47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Trần Thị Thanh Tâm</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8409104" cy="598479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09939" name=""/>
                        <pic:cNvPicPr>
                          <a:picLocks noChangeAspect="1"/>
                        </pic:cNvPicPr>
                        <pic:nvPr/>
                      </pic:nvPicPr>
                      <pic:blipFill rotWithShape="1">
                        <a:blip r:embed="rId34"/>
                        <a:stretch/>
                      </pic:blipFill>
                      <pic:spPr bwMode="auto">
                        <a:xfrm rot="5399976" flipH="0" flipV="0">
                          <a:off x="0" y="0"/>
                          <a:ext cx="8409104" cy="59847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662.13pt;height:471.24pt;mso-wrap-distance-left:0.00pt;mso-wrap-distance-top:0.00pt;mso-wrap-distance-right:0.00pt;mso-wrap-distance-bottom:0.00pt;rotation:89;z-index:1;" stroked="false">
                <v:imagedata r:id="rId34"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iCs/>
          <w:highlight w:val="none"/>
          <w:lang w:val="pt-BR"/>
        </w:rPr>
      </w:r>
      <w:r>
        <mc:AlternateContent>
          <mc:Choice Requires="wpg">
            <w:drawing>
              <wp:inline xmlns:wp="http://schemas.openxmlformats.org/drawingml/2006/wordprocessingDrawing" distT="0" distB="0" distL="0" distR="0">
                <wp:extent cx="8857710" cy="6351101"/>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733216" name=""/>
                        <pic:cNvPicPr>
                          <a:picLocks noChangeAspect="1"/>
                        </pic:cNvPicPr>
                        <pic:nvPr/>
                      </pic:nvPicPr>
                      <pic:blipFill rotWithShape="1">
                        <a:blip r:embed="rId35"/>
                        <a:stretch/>
                      </pic:blipFill>
                      <pic:spPr bwMode="auto">
                        <a:xfrm rot="5399976" flipH="0" flipV="0">
                          <a:off x="0" y="0"/>
                          <a:ext cx="8857710" cy="63511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697.46pt;height:500.09pt;mso-wrap-distance-left:0.00pt;mso-wrap-distance-top:0.00pt;mso-wrap-distance-right:0.00pt;mso-wrap-distance-bottom:0.00pt;rotation:89;z-index:1;" stroked="false">
                <v:imagedata r:id="rId35" o:title=""/>
                <o:lock v:ext="edit" rotation="t"/>
              </v:shape>
            </w:pict>
          </mc:Fallback>
        </mc:AlternateContent>
      </w:r>
      <w:r>
        <w:rPr>
          <w:b/>
          <w:bCs/>
          <w:highlight w:val="none"/>
        </w:rPr>
      </w:r>
      <w:r>
        <w:rPr>
          <w:b/>
          <w:bCs/>
          <w:highlight w:val="none"/>
        </w:rPr>
      </w:r>
    </w:p>
    <w:p>
      <w:pPr>
        <w:pBdr/>
        <w:spacing w:after="200" w:line="276" w:lineRule="auto"/>
        <w:ind/>
        <w:jc w:val="center"/>
        <w:rPr>
          <w:lang w:val="pt-BR"/>
        </w:rPr>
      </w:pPr>
      <w:r>
        <w:rPr>
          <w:lang w:val="pt-BR"/>
        </w:rPr>
      </w:r>
      <w:r>
        <w:rPr>
          <w:lang w:val="pt-BR"/>
        </w:rPr>
      </w:r>
      <w:r>
        <w:rPr>
          <w:lang w:val="pt-BR"/>
        </w:rPr>
      </w:r>
    </w:p>
    <w:p>
      <w:pPr>
        <w:pBdr/>
        <w:spacing w:after="200" w:line="276" w:lineRule="auto"/>
        <w:ind/>
        <w:jc w:val="center"/>
        <w:rPr>
          <w:b/>
          <w:bCs/>
          <w:highlight w:val="none"/>
          <w:lang w:val="pt-BR" w:bidi="pt-BR"/>
        </w:rPr>
      </w:pPr>
      <w:r>
        <w:rPr>
          <w:b/>
          <w:bCs/>
          <w:iCs/>
          <w:highlight w:val="none"/>
          <w:lang w:val="pt-BR" w:bidi="pt-BR"/>
        </w:rPr>
        <w:t xml:space="preserve">BIÊN BẢN KHẢO SÁT </w:t>
      </w:r>
      <w:r>
        <w:rPr>
          <w:b/>
          <w:bCs/>
          <w:highlight w:val="none"/>
          <w:lang w:val="pt-BR" w:bidi="pt-BR"/>
        </w:rPr>
      </w:r>
      <w:r>
        <w:rPr>
          <w:b/>
          <w:bCs/>
          <w:highlight w:val="none"/>
          <w:lang w:val="pt-BR" w:bidi="pt-BR"/>
        </w:rPr>
      </w:r>
    </w:p>
    <w:p>
      <w:pPr>
        <w:pBdr/>
        <w:spacing w:after="200" w:line="276" w:lineRule="auto"/>
        <w:ind/>
        <w:jc w:val="center"/>
        <w:rPr>
          <w:b/>
          <w:bCs/>
        </w:rPr>
      </w:pPr>
      <w:r>
        <w:rPr>
          <w:b/>
          <w:bCs/>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128269"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6"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F9351DF"/>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8">
    <w:nsid w:val="1495EFF9"/>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1ED16533"/>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tel:0879892555(H%E1%BA%A3i)" TargetMode="External"/><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516</cp:revision>
  <dcterms:created xsi:type="dcterms:W3CDTF">2025-09-15T02:01:00Z</dcterms:created>
  <dcterms:modified xsi:type="dcterms:W3CDTF">2026-06-24T02:53:39Z</dcterms:modified>
</cp:coreProperties>
</file>