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45317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453174"/>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275/2026/0901/VFI-CT.36.A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CÔNG TY CỔ PHẦN ĐẦU TƯ ĐẠI PHÚ VINH</w:t>
                            </w:r>
                            <w:r>
                              <w:rPr>
                                <w:rFonts w:ascii="Times New Roman Bold" w:hAnsi="Times New Roman Bold"/>
                                <w:b/>
                                <w:color w:val="000000" w:themeColor="text1"/>
                                <w:lang w:val="pt-BR"/>
                              </w:rPr>
                            </w:r>
                            <w:r>
                              <w:rPr>
                                <w:rFonts w:ascii="Times New Roman Bold" w:hAnsi="Times New Roman Bold"/>
                                <w:b/>
                                <w:color w:val="000000" w:themeColor="text1"/>
                              </w:rPr>
                            </w:r>
                          </w:p>
                          <w:p>
                            <w:pPr>
                              <w:pBdr/>
                              <w:spacing w:after="120" w:before="120" w:line="360" w:lineRule="auto"/>
                              <w:ind/>
                              <w:jc w:val="both"/>
                              <w:rPr>
                                <w:bCs/>
                                <w:i/>
                                <w:iCs/>
                              </w:rPr>
                            </w:pPr>
                            <w:r>
                              <w:rPr>
                                <w:b/>
                                <w:color w:val="000000" w:themeColor="text1"/>
                              </w:rPr>
                              <w:t xml:space="preserve">Tài sản thẩm </w:t>
                            </w:r>
                            <w:r>
                              <w:rPr>
                                <w:b/>
                                <w:color w:val="000000" w:themeColor="text1"/>
                              </w:rPr>
                              <w:t xml:space="preserve">định: </w:t>
                            </w:r>
                            <w:r>
                              <w:rPr>
                                <w:color w:val="000000" w:themeColor="text1"/>
                              </w:rPr>
                              <w:t xml:space="preserve">Quyền sử dụng đất và tài sản gắn liền với đất tại thửa đất số: ./., tờ bản đồ số: ./., có địa chỉ: BT13-25, Khu đô thị</w:t>
                            </w:r>
                            <w:r>
                              <w:rPr>
                                <w:color w:val="000000"/>
                              </w:rPr>
                              <w:t xml:space="preserve"> mới Phú Lương, phường Phú Lương, quận Hà Đông, Thành phố Hà Nội (Nay là: Phường Kiến Hưng, thành phố Hà Nội) theo Giấ</w:t>
                            </w:r>
                            <w:r>
                              <w:rPr>
                                <w:color w:val="000000"/>
                              </w:rPr>
                              <w:t xml:space="preserve">y chứng nhận quyền sử dụng đất quyền sở hữu nhà ở và tài sản khác gắn liền với đất số: DC 635668, số vào sổ cấp GCN: CS 41864 do Sở Tài nguyên và Môi trường thành phố Hà Nội cấp ngày 29/06/2021; Chủ sử dụng đất là ông Trịnh Ngọc Hương và bà Đào Thị Lan Anh</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271.9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color w:val="000000" w:themeColor="text1"/>
                        </w:rPr>
                      </w:pPr>
                      <w:r>
                        <w:rPr>
                          <w:b/>
                          <w:color w:val="000000" w:themeColor="text1"/>
                        </w:rPr>
                        <w:t xml:space="preserve">Số: </w:t>
                      </w:r>
                      <w:r>
                        <w:rPr>
                          <w:b/>
                          <w:color w:val="000000" w:themeColor="text1"/>
                        </w:rPr>
                        <w:t xml:space="preserve">275/2026/0901/VFI-CT.36.A</w:t>
                      </w:r>
                      <w:r>
                        <w:rPr>
                          <w:b/>
                          <w:color w:val="000000" w:themeColor="text1"/>
                        </w:rPr>
                      </w:r>
                      <w:r>
                        <w:rPr>
                          <w:b/>
                          <w:color w:val="000000" w:themeColor="text1"/>
                        </w:rPr>
                      </w:r>
                    </w:p>
                    <w:p>
                      <w:pPr>
                        <w:pBdr/>
                        <w:tabs>
                          <w:tab w:val="left" w:leader="none" w:pos="3002"/>
                        </w:tabs>
                        <w:spacing w:after="120" w:before="120" w:line="276" w:lineRule="auto"/>
                        <w:ind/>
                        <w:jc w:val="center"/>
                        <w:rPr>
                          <w:rFonts w:ascii="Times New Roman Bold" w:hAnsi="Times New Roman Bold"/>
                          <w:b/>
                          <w:color w:val="000000" w:themeColor="text1"/>
                        </w:rPr>
                      </w:pPr>
                      <w:r>
                        <w:rPr>
                          <w:rFonts w:ascii="Times New Roman Bold" w:hAnsi="Times New Roman Bold"/>
                          <w:b/>
                          <w:color w:val="000000" w:themeColor="text1"/>
                          <w:lang w:val="pt-BR"/>
                        </w:rPr>
                        <w:t xml:space="preserve">Khách hàng yêu cầu: </w:t>
                      </w:r>
                      <w:r>
                        <w:rPr>
                          <w:rFonts w:ascii="Times New Roman Bold" w:hAnsi="Times New Roman Bold"/>
                          <w:b/>
                          <w:color w:val="000000" w:themeColor="text1"/>
                          <w:lang w:val="pt-BR"/>
                        </w:rPr>
                        <w:t xml:space="preserve">CÔNG TY CỔ PHẦN ĐẦU TƯ ĐẠI PHÚ VINH</w:t>
                      </w:r>
                      <w:r>
                        <w:rPr>
                          <w:rFonts w:ascii="Times New Roman Bold" w:hAnsi="Times New Roman Bold"/>
                          <w:b/>
                          <w:color w:val="000000" w:themeColor="text1"/>
                          <w:lang w:val="pt-BR"/>
                        </w:rPr>
                      </w:r>
                      <w:r>
                        <w:rPr>
                          <w:rFonts w:ascii="Times New Roman Bold" w:hAnsi="Times New Roman Bold"/>
                          <w:b/>
                          <w:color w:val="000000" w:themeColor="text1"/>
                        </w:rPr>
                      </w:r>
                    </w:p>
                    <w:p>
                      <w:pPr>
                        <w:pBdr/>
                        <w:spacing w:after="120" w:before="120" w:line="360" w:lineRule="auto"/>
                        <w:ind/>
                        <w:jc w:val="both"/>
                        <w:rPr>
                          <w:bCs/>
                          <w:i/>
                          <w:iCs/>
                        </w:rPr>
                      </w:pPr>
                      <w:r>
                        <w:rPr>
                          <w:b/>
                          <w:color w:val="000000" w:themeColor="text1"/>
                        </w:rPr>
                        <w:t xml:space="preserve">Tài sản thẩm </w:t>
                      </w:r>
                      <w:r>
                        <w:rPr>
                          <w:b/>
                          <w:color w:val="000000" w:themeColor="text1"/>
                        </w:rPr>
                        <w:t xml:space="preserve">định: </w:t>
                      </w:r>
                      <w:r>
                        <w:rPr>
                          <w:color w:val="000000" w:themeColor="text1"/>
                        </w:rPr>
                        <w:t xml:space="preserve">Quyền sử dụng đất và tài sản gắn liền với đất tại thửa đất số: ./., tờ bản đồ số: ./., có địa chỉ: BT13-25, Khu đô thị</w:t>
                      </w:r>
                      <w:r>
                        <w:rPr>
                          <w:color w:val="000000"/>
                        </w:rPr>
                        <w:t xml:space="preserve"> mới Phú Lương, phường Phú Lương, quận Hà Đông, Thành phố Hà Nội (Nay là: Phường Kiến Hưng, thành phố Hà Nội) theo Giấ</w:t>
                      </w:r>
                      <w:r>
                        <w:rPr>
                          <w:color w:val="000000"/>
                        </w:rPr>
                        <w:t xml:space="preserve">y chứng nhận quyền sử dụng đất quyền sở hữu nhà ở và tài sản khác gắn liền với đất số: DC 635668, số vào sổ cấp GCN: CS 41864 do Sở Tài nguyên và Môi trường thành phố Hà Nội cấp ngày 29/06/2021; Chủ sử dụng đất là ông Trịnh Ngọc Hương và bà Đào Thị Lan Anh</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06/2026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right"/>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default" r:id="rId9"/>
          <w:headerReference w:type="even" r:id="rId10"/>
          <w:footerReference w:type="default" r:id="rId11"/>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4 - 21</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4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22 - 25</w:t>
            </w:r>
            <w:r>
              <w:rPr>
                <w:b/>
                <w:bCs/>
              </w:rPr>
            </w:r>
            <w:r>
              <w:rPr>
                <w:b/>
                <w:bCs/>
              </w:rPr>
            </w:r>
          </w:p>
        </w:tc>
      </w:tr>
      <w:tr>
        <w:trPr/>
        <w:tc>
          <w:tcPr>
            <w:tcBorders/>
            <w:tcMar>
              <w:left w:w="108" w:type="dxa"/>
              <w:right w:w="108" w:type="dxa"/>
            </w:tcMar>
            <w:tcW w:w="7280" w:type="dxa"/>
            <w:vAlign w:val="center"/>
            <w:textDirection w:val="lrTb"/>
            <w:noWrap w:val="false"/>
          </w:tcPr>
          <w:p>
            <w:pPr>
              <w:pStyle w:val="104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26 - 29</w:t>
            </w:r>
            <w:r>
              <w:rPr>
                <w:b/>
                <w:bCs/>
              </w:rPr>
            </w:r>
            <w:r>
              <w:rPr>
                <w:b/>
                <w:bCs/>
              </w:rPr>
            </w:r>
          </w:p>
        </w:tc>
      </w:tr>
    </w:tbl>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6"/>
        <w:pBdr/>
        <w:tabs>
          <w:tab w:val="left" w:leader="none" w:pos="5103"/>
        </w:tabs>
        <w:spacing w:line="360" w:lineRule="auto"/>
        <w:ind/>
        <w:rPr>
          <w:b/>
          <w:sz w:val="22"/>
          <w:szCs w:val="22"/>
          <w:lang w:val="vi-VN"/>
        </w:rPr>
        <w:sectPr>
          <w:footerReference w:type="first" r:id="rId12"/>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3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46"/>
              <w:pBdr/>
              <w:spacing w:after="60"/>
              <w:ind/>
              <w:rPr>
                <w:color w:val="000000" w:themeColor="text1"/>
                <w:sz w:val="24"/>
                <w:szCs w:val="24"/>
              </w:rPr>
            </w:pPr>
            <w:r>
              <w:rPr>
                <w:rStyle w:val="1045"/>
                <w:rFonts w:ascii="Times New Roman" w:hAnsi="Times New Roman"/>
                <w:color w:val="000000" w:themeColor="text1"/>
                <w:lang w:val="pt-BR"/>
              </w:rPr>
              <w:t xml:space="preserve">Số: </w:t>
            </w:r>
            <w:r>
              <w:rPr>
                <w:rStyle w:val="1045"/>
                <w:rFonts w:ascii="Times New Roman" w:hAnsi="Times New Roman"/>
                <w:color w:val="000000" w:themeColor="text1"/>
                <w:lang w:val="pt-BR"/>
              </w:rPr>
              <w:t xml:space="preserve">275/2026/0901/VFI-CT.36.A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1046"/>
              <w:pBdr/>
              <w:spacing w:after="60"/>
              <w:ind w:right="-56"/>
              <w:jc w:val="right"/>
              <w:rPr>
                <w:color w:val="000000" w:themeColor="text1"/>
                <w:sz w:val="24"/>
                <w:szCs w:val="24"/>
                <w:lang w:val="vi-VN"/>
              </w:rPr>
            </w:pPr>
            <w:r>
              <w:rPr>
                <w:rStyle w:val="1045"/>
                <w:rFonts w:ascii="Times New Roman" w:hAnsi="Times New Roman"/>
                <w:i/>
                <w:color w:val="auto"/>
              </w:rPr>
              <w:t xml:space="preserve">TP. Hà Nội</w:t>
            </w:r>
            <w:r>
              <w:rPr>
                <w:rStyle w:val="1045"/>
                <w:rFonts w:ascii="Times New Roman" w:hAnsi="Times New Roman"/>
                <w:i/>
                <w:color w:val="auto"/>
                <w:lang w:val="vi-VN"/>
              </w:rPr>
              <w:t xml:space="preserve">, </w:t>
            </w:r>
            <w:r>
              <w:rPr>
                <w:rStyle w:val="1045"/>
                <w:rFonts w:ascii="Times New Roman" w:hAnsi="Times New Roman"/>
                <w:i/>
                <w:color w:val="000000" w:themeColor="text1"/>
                <w:lang w:val="vi-VN"/>
              </w:rPr>
              <w:t xml:space="preserve">ngày 15 tháng 6 năm 2026</w:t>
            </w:r>
            <w:r>
              <w:rPr>
                <w:color w:val="000000" w:themeColor="text1"/>
                <w:sz w:val="24"/>
                <w:szCs w:val="24"/>
                <w:lang w:val="vi-VN"/>
              </w:rPr>
            </w:r>
            <w:r>
              <w:rPr>
                <w:color w:val="000000" w:themeColor="text1"/>
                <w:sz w:val="24"/>
                <w:szCs w:val="24"/>
                <w:lang w:val="vi-VN"/>
              </w:rPr>
            </w:r>
          </w:p>
        </w:tc>
      </w:tr>
    </w:tbl>
    <w:p>
      <w:pPr>
        <w:pStyle w:val="1046"/>
        <w:pBdr/>
        <w:spacing w:after="120" w:before="200" w:line="288" w:lineRule="auto"/>
        <w:ind/>
        <w:jc w:val="center"/>
        <w:rPr>
          <w:rStyle w:val="1045"/>
          <w:rFonts w:ascii="Times New Roman" w:hAnsi="Times New Roman"/>
          <w:b/>
          <w:bCs/>
          <w:color w:val="auto"/>
          <w:sz w:val="30"/>
          <w:szCs w:val="30"/>
          <w:lang w:val="vi-VN"/>
        </w:rPr>
      </w:pPr>
      <w:r>
        <w:rPr>
          <w:rStyle w:val="1045"/>
          <w:rFonts w:ascii="Times New Roman" w:hAnsi="Times New Roman"/>
          <w:b/>
          <w:bCs/>
          <w:color w:val="auto"/>
          <w:sz w:val="30"/>
          <w:szCs w:val="30"/>
          <w:lang w:val="vi-VN"/>
        </w:rPr>
        <w:t xml:space="preserve">CHỨNG THƯ THẨM ĐỊNH GIÁ</w:t>
      </w:r>
      <w:r>
        <w:rPr>
          <w:rStyle w:val="1045"/>
          <w:rFonts w:ascii="Times New Roman" w:hAnsi="Times New Roman"/>
          <w:b/>
          <w:bCs/>
          <w:color w:val="auto"/>
          <w:sz w:val="30"/>
          <w:szCs w:val="30"/>
          <w:lang w:val="vi-VN"/>
        </w:rPr>
      </w:r>
      <w:r>
        <w:rPr>
          <w:rStyle w:val="1045"/>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CỔ PHẦN ĐẦU TƯ ĐẠI PHÚ VINH</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275/2026/0901/VFI-HĐTĐ.36.A</w:t>
      </w:r>
      <w:r>
        <w:rPr>
          <w:spacing w:val="-4"/>
          <w:lang w:val="vi-VN"/>
        </w:rPr>
        <w:t xml:space="preserve"> ký ngày </w:t>
      </w:r>
      <w:r>
        <w:rPr>
          <w:color w:val="000000" w:themeColor="text1"/>
          <w:spacing w:val="-4"/>
        </w:rPr>
        <w:t xml:space="preserve">29 tháng 4 năm 2026</w:t>
      </w:r>
      <w:r>
        <w:rPr>
          <w:spacing w:val="-4"/>
          <w:lang w:val="vi-VN"/>
        </w:rPr>
        <w:t xml:space="preserve"> </w:t>
      </w:r>
      <w:r>
        <w:rPr>
          <w:spacing w:val="-4"/>
          <w:lang w:val="vi-VN"/>
        </w:rPr>
        <w:t xml:space="preserve">giữa </w:t>
      </w:r>
      <w:r>
        <w:rPr>
          <w:rFonts w:ascii="Times New Roman Bold" w:hAnsi="Times New Roman Bold"/>
          <w:b w:val="0"/>
          <w:bCs w:val="0"/>
          <w:color w:val="000000" w:themeColor="text1"/>
          <w:lang w:val="pt-BR"/>
        </w:rPr>
        <w:t xml:space="preserve">Công ty cổ phần đầu tư Đại Phú Vinh</w:t>
      </w:r>
      <w:r>
        <w:rPr>
          <w:bCs/>
        </w:rPr>
        <w:t xml:space="preserve"> </w:t>
      </w:r>
      <w:r>
        <w:rPr>
          <w:spacing w:val="-6"/>
        </w:rPr>
        <w:t xml:space="preserve">v</w:t>
      </w:r>
      <w:r>
        <w:rPr>
          <w:spacing w:val="-6"/>
        </w:rPr>
        <w:t xml:space="preserve">ới</w:t>
      </w:r>
      <w:r>
        <w:rPr>
          <w:spacing w:val="-6"/>
        </w:rPr>
        <w:t xml:space="preserve"> </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275/2026/0901/VFI-BC.36.A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15 tháng 6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CỔ PHẦN ĐẦU TƯ ĐẠI PHÚ VINH</w:t>
            </w:r>
            <w:r>
              <w:rPr>
                <w:b/>
                <w:bCs/>
              </w:rPr>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Mã số thuế</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0108043055</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Đại diện</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BÀ </w:t>
            </w:r>
            <w:r>
              <w:rPr>
                <w:b/>
                <w:bCs/>
                <w:color w:val="000000" w:themeColor="text1"/>
                <w:lang w:val="vi-VN"/>
              </w:rPr>
              <w:t xml:space="preserve">ĐÀO THỊ LAN ANH      </w:t>
            </w:r>
            <w:r>
              <w:rPr>
                <w:b/>
                <w:bCs/>
                <w:color w:val="000000" w:themeColor="text1"/>
                <w:lang w:val="vi-VN"/>
              </w:rPr>
              <w:t xml:space="preserve">   </w:t>
            </w:r>
            <w:r>
              <w:rPr>
                <w:b/>
                <w:bCs/>
                <w:color w:val="000000" w:themeColor="text1"/>
                <w:lang w:val="vi-VN"/>
              </w:rPr>
              <w:t xml:space="preserve">     Chức vụ:</w:t>
            </w:r>
            <w:r>
              <w:rPr>
                <w:b w:val="0"/>
                <w:bCs w:val="0"/>
                <w:color w:val="000000" w:themeColor="text1"/>
                <w:lang w:val="vi-VN"/>
              </w:rPr>
              <w:t xml:space="preserve"> </w:t>
            </w:r>
            <w:r>
              <w:rPr>
                <w:b/>
                <w:bCs/>
                <w:color w:val="000000" w:themeColor="text1"/>
                <w:lang w:val="vi-VN"/>
              </w:rPr>
              <w:t xml:space="preserve">Giám đốc</w:t>
            </w:r>
            <w:r>
              <w:rPr>
                <w:b/>
                <w:bCs/>
                <w:color w:val="ff0000"/>
              </w:rPr>
            </w:r>
            <w:r>
              <w:rPr>
                <w:b/>
                <w:bCs/>
                <w:color w:val="ff0000"/>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Thôn Giang Triều, Xã Ứng Hòa, TP Hà Nội, Việt Nam</w:t>
            </w:r>
            <w:r>
              <w:rPr>
                <w:color w:val="ff0000"/>
                <w:lang w:val="pt-BR"/>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và tài sản gắn liền với đất tại thửa đất số: ./., tờ bản đồ số: ./., có địa chỉ: BT13-25, Khu đô thị mới Phú Lương, phường Phú Lương, quận Hà Đông, Thành phố Hà Nội (Nay là: Phường Kiến Hưng, thành phố Hà Nội) theo Giấ</w:t>
      </w:r>
      <w:r>
        <w:rPr>
          <w:color w:val="000000" w:themeColor="text1"/>
        </w:rPr>
        <w:t xml:space="preserve">y</w:t>
      </w:r>
      <w:r>
        <w:rPr>
          <w:color w:val="000000" w:themeColor="text1"/>
        </w:rPr>
        <w:t xml:space="preserve"> chứng nhận quyền sử dụng đất quyền sở hữu nhà ở và tài sản khác gắn liền với đất số: DC 635668, số vào sổ cấp GCN: CS 41864 do Sở Tài nguyên và Môi trường thành phố Hà Nội cấp ngày 29/06/2021; Chủ sử dụng đất là Ông Trịnh Ngọc Hương và bà Đào Thị Lan Anh.</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06/2026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06/2026</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5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5"/>
        <w:gridCol w:w="2884"/>
        <w:gridCol w:w="1216"/>
        <w:gridCol w:w="1454"/>
        <w:gridCol w:w="1499"/>
        <w:gridCol w:w="2027"/>
      </w:tblGrid>
      <w:tr>
        <w:trPr>
          <w:trHeight w:val="7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8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21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45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4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Hệ số/</w:t>
              <w:br/>
              <w:t xml:space="preserve">CLCL (%)</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2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(đồng)</w:t>
            </w:r>
            <w:r/>
          </w:p>
        </w:tc>
      </w:tr>
      <w:tr>
        <w:trPr>
          <w:trHeight w:val="2249"/>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7053"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và tài sản gắn liền với đất tại thửa đất số: ./., tờ bản đồ số: ./., có địa chỉ: BT13-25, Khu đô thị mới Phú Lương, phường Phú Lương, quận Hà Đông, Thành phố Hà Nội (Nay là: Phường Kiến Hưng, thành phố Hà Nội) theo Giấy chứng nhận quyền s</w:t>
            </w:r>
            <w:r>
              <w:rPr>
                <w:rFonts w:ascii="Times New Roman" w:hAnsi="Times New Roman" w:eastAsia="Times New Roman" w:cs="Times New Roman"/>
                <w:b/>
                <w:color w:val="000000"/>
                <w:sz w:val="24"/>
              </w:rPr>
              <w:t xml:space="preserve">ử dụng đất quyền sở hữu nhà ở và tài sản khác gắn liền với đất số: DC 635668, số vào sổ cấp GCN: CS 41864 do Sở Tài nguyên và Môi trường thành phố Hà Nội cấp ngày 29/06/2021; Chủ sử dụng đất là Ông Trịnh Ngọc Hương và bà Đào Thị Lan Anh.</w:t>
            </w:r>
            <w:r/>
          </w:p>
        </w:tc>
        <w:tc>
          <w:tcPr>
            <w:shd w:val="clear" w:color="ffffff" w:fill="ffffff"/>
            <w:tcBorders>
              <w:bottom w:val="single" w:color="000000" w:sz="6" w:space="0"/>
              <w:right w:val="single" w:color="000000" w:sz="6" w:space="0"/>
            </w:tcBorders>
            <w:tcMar>
              <w:left w:w="0" w:type="dxa"/>
              <w:top w:w="0" w:type="dxa"/>
              <w:right w:w="0" w:type="dxa"/>
              <w:bottom w:w="0" w:type="dxa"/>
            </w:tcMar>
            <w:tcW w:w="2027"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8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w:t>
            </w:r>
            <w:r/>
          </w:p>
        </w:tc>
        <w:tc>
          <w:tcPr>
            <w:tcBorders>
              <w:bottom w:val="single" w:color="000000" w:sz="6" w:space="0"/>
              <w:right w:val="single" w:color="000000" w:sz="6" w:space="0"/>
            </w:tcBorders>
            <w:tcMar>
              <w:left w:w="0" w:type="dxa"/>
              <w:top w:w="0" w:type="dxa"/>
              <w:right w:w="0" w:type="dxa"/>
              <w:bottom w:w="0" w:type="dxa"/>
            </w:tcMar>
            <w:tcW w:w="12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200,0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4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172.000.000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4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r>
            <w:r/>
          </w:p>
        </w:tc>
        <w:tc>
          <w:tcPr>
            <w:shd w:val="clear" w:color="ffffff" w:fill="ffffff"/>
            <w:tcBorders>
              <w:bottom w:val="single" w:color="000000" w:sz="6" w:space="0"/>
              <w:right w:val="single" w:color="000000" w:sz="6" w:space="0"/>
            </w:tcBorders>
            <w:tcMar>
              <w:left w:w="0" w:type="dxa"/>
              <w:top w:w="0" w:type="dxa"/>
              <w:right w:w="0" w:type="dxa"/>
              <w:bottom w:w="0" w:type="dxa"/>
            </w:tcMar>
            <w:tcW w:w="2027"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34.400.000.000</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8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biệt thự</w:t>
            </w:r>
            <w:r/>
          </w:p>
        </w:tc>
        <w:tc>
          <w:tcPr>
            <w:tcBorders>
              <w:bottom w:val="single" w:color="000000" w:sz="6" w:space="0"/>
              <w:right w:val="single" w:color="000000" w:sz="6" w:space="0"/>
            </w:tcBorders>
            <w:tcMar>
              <w:left w:w="0" w:type="dxa"/>
              <w:top w:w="0" w:type="dxa"/>
              <w:right w:w="0" w:type="dxa"/>
              <w:bottom w:w="0" w:type="dxa"/>
            </w:tcMar>
            <w:tcW w:w="1216"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291,0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4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5.006.092 </w:t>
            </w:r>
            <w:r/>
          </w:p>
        </w:tc>
        <w:tc>
          <w:tcPr>
            <w:shd w:val="clear" w:color="ffffff" w:fill="ffffff"/>
            <w:tcBorders>
              <w:bottom w:val="single" w:color="000000" w:sz="6" w:space="0"/>
              <w:right w:val="single" w:color="000000" w:sz="6" w:space="0"/>
            </w:tcBorders>
            <w:tcMar>
              <w:left w:w="0" w:type="dxa"/>
              <w:top w:w="0" w:type="dxa"/>
              <w:right w:w="0" w:type="dxa"/>
              <w:bottom w:w="0" w:type="dxa"/>
            </w:tcMar>
            <w:tcW w:w="14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88%</w:t>
            </w:r>
            <w:r/>
          </w:p>
        </w:tc>
        <w:tc>
          <w:tcPr>
            <w:shd w:val="clear" w:color="ffffff" w:fill="ffffff"/>
            <w:tcBorders>
              <w:bottom w:val="single" w:color="000000" w:sz="6" w:space="0"/>
              <w:right w:val="single" w:color="000000" w:sz="6" w:space="0"/>
            </w:tcBorders>
            <w:tcMar>
              <w:left w:w="0" w:type="dxa"/>
              <w:top w:w="0" w:type="dxa"/>
              <w:right w:w="0" w:type="dxa"/>
              <w:bottom w:w="0" w:type="dxa"/>
            </w:tcMar>
            <w:tcW w:w="2027"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1.281.960.039</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2027"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35.681.960.039</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2027"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35.682.000.000</w:t>
            </w:r>
            <w:r/>
          </w:p>
        </w:tc>
      </w:tr>
      <w:tr>
        <w:trPr>
          <w:trHeight w:val="310"/>
        </w:trPr>
        <w:tc>
          <w:tcPr>
            <w:gridSpan w:val="6"/>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615"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Ba mươi lăm tỷ sáu trăm tám mươi hai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spacing w:val="-4"/>
          <w:lang w:val="pt-BR"/>
        </w:rPr>
      </w:pPr>
      <w:r>
        <w:rPr>
          <w:lang w:val="pt-BR"/>
        </w:rPr>
        <w:t xml:space="preserve">- </w:t>
      </w:r>
      <w:r>
        <w:rPr>
          <w:lang w:val="pt-BR"/>
        </w:rPr>
        <w:t xml:space="preserve">Chi tiết như Báo cáo kèm theo.</w:t>
      </w:r>
      <w:r>
        <w:rPr>
          <w:rFonts w:eastAsia="Calibri"/>
          <w:b/>
          <w:spacing w:val="-4"/>
          <w:lang w:val="pt-BR"/>
        </w:rPr>
      </w:r>
      <w:r>
        <w:rPr>
          <w:rFonts w:eastAsia="Calibri"/>
          <w:b/>
          <w:spacing w:val="-4"/>
          <w:lang w:val="pt-BR"/>
        </w:rPr>
      </w:r>
    </w:p>
    <w:p>
      <w:pPr>
        <w:pBdr/>
        <w:spacing w:after="120" w:before="120" w:line="312" w:lineRule="auto"/>
        <w:ind/>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98" w:type="pct"/>
        <w:tblBorders/>
        <w:tblLook w:val="01E0" w:firstRow="1" w:lastRow="1" w:firstColumn="1" w:lastColumn="1" w:noHBand="0" w:noVBand="0"/>
      </w:tblPr>
      <w:tblGrid>
        <w:gridCol w:w="4768"/>
        <w:gridCol w:w="4563"/>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54"/>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5"/>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5" o:title=""/>
                      <o:lock v:ext="edit" rotation="t"/>
                    </v:shape>
                  </w:pict>
                </mc:Fallback>
              </mc:AlternateContent>
            </w:r>
            <w:r>
              <w:rPr>
                <w:i/>
                <w:szCs w:val="26"/>
                <w:lang w:eastAsia="zh-CN"/>
              </w:rPr>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7" w:tooltip="mailto:ilotus.contact@gmail.com" w:history="1">
              <w:r>
                <w:rPr>
                  <w:rStyle w:val="1037"/>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46"/>
              <w:pBdr/>
              <w:spacing w:after="60"/>
              <w:ind/>
              <w:rPr>
                <w:color w:val="000000" w:themeColor="text1"/>
                <w:sz w:val="24"/>
                <w:szCs w:val="24"/>
              </w:rPr>
            </w:pPr>
            <w:r>
              <w:rPr>
                <w:rStyle w:val="1045"/>
                <w:rFonts w:ascii="Times New Roman" w:hAnsi="Times New Roman"/>
                <w:color w:val="000000" w:themeColor="text1"/>
                <w:lang w:val="pt-BR"/>
              </w:rPr>
              <w:t xml:space="preserve">Số: </w:t>
            </w:r>
            <w:r>
              <w:rPr>
                <w:rStyle w:val="1045"/>
                <w:rFonts w:ascii="Times New Roman" w:hAnsi="Times New Roman"/>
                <w:color w:val="000000" w:themeColor="text1"/>
                <w:lang w:val="pt-BR"/>
              </w:rPr>
              <w:t xml:space="preserve">275/2026/0901/VFI-BC.36.A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1046"/>
              <w:pBdr/>
              <w:spacing w:after="60"/>
              <w:ind w:right="-56"/>
              <w:jc w:val="right"/>
              <w:rPr>
                <w:color w:val="000000" w:themeColor="text1"/>
                <w:sz w:val="24"/>
                <w:szCs w:val="24"/>
                <w:lang w:val="vi-VN"/>
              </w:rPr>
            </w:pPr>
            <w:r>
              <w:rPr>
                <w:rStyle w:val="1045"/>
                <w:rFonts w:ascii="Times New Roman" w:hAnsi="Times New Roman"/>
                <w:i/>
                <w:color w:val="auto"/>
              </w:rPr>
              <w:t xml:space="preserve">TP. Hà Nội</w:t>
            </w:r>
            <w:r>
              <w:rPr>
                <w:rStyle w:val="1045"/>
                <w:rFonts w:ascii="Times New Roman" w:hAnsi="Times New Roman"/>
                <w:i/>
                <w:color w:val="auto"/>
                <w:lang w:val="vi-VN"/>
              </w:rPr>
              <w:t xml:space="preserve">, </w:t>
            </w:r>
            <w:r>
              <w:rPr>
                <w:rStyle w:val="1045"/>
                <w:rFonts w:ascii="Times New Roman" w:hAnsi="Times New Roman"/>
                <w:i/>
                <w:color w:val="000000" w:themeColor="text1"/>
                <w:lang w:val="vi-VN"/>
              </w:rPr>
              <w:t xml:space="preserve">ngày 15 tháng 6 năm 2026</w:t>
            </w:r>
            <w:r>
              <w:rPr>
                <w:color w:val="000000" w:themeColor="text1"/>
                <w:sz w:val="24"/>
                <w:szCs w:val="24"/>
                <w:lang w:val="vi-VN"/>
              </w:rPr>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1046"/>
              <w:pBdr/>
              <w:spacing w:after="60"/>
              <w:ind/>
              <w:rPr>
                <w:rStyle w:val="1045"/>
                <w:rFonts w:ascii="Times New Roman" w:hAnsi="Times New Roman"/>
                <w:color w:val="000000" w:themeColor="text1"/>
                <w:lang w:val="pt-BR"/>
              </w:rPr>
            </w:pPr>
            <w:r>
              <w:rPr>
                <w:rStyle w:val="1045"/>
                <w:rFonts w:ascii="Times New Roman" w:hAnsi="Times New Roman"/>
                <w:color w:val="000000" w:themeColor="text1"/>
                <w:lang w:val="pt-BR"/>
              </w:rPr>
            </w:r>
            <w:r>
              <w:rPr>
                <w:rStyle w:val="1045"/>
                <w:rFonts w:ascii="Times New Roman" w:hAnsi="Times New Roman"/>
                <w:color w:val="000000" w:themeColor="text1"/>
                <w:lang w:val="pt-BR"/>
              </w:rPr>
            </w:r>
            <w:r>
              <w:rPr>
                <w:rStyle w:val="1045"/>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1046"/>
              <w:pBdr/>
              <w:spacing w:after="60"/>
              <w:ind w:right="-56"/>
              <w:rPr>
                <w:rStyle w:val="1045"/>
                <w:rFonts w:ascii="Times New Roman" w:hAnsi="Times New Roman"/>
                <w:i/>
                <w:color w:val="auto"/>
              </w:rPr>
            </w:pPr>
            <w:r>
              <w:rPr>
                <w:rFonts w:ascii="Times New Roman" w:hAnsi="Times New Roman"/>
                <w:i/>
                <w:color w:val="auto"/>
              </w:rPr>
            </w:r>
            <w:r>
              <w:rPr>
                <w:rStyle w:val="1045"/>
                <w:rFonts w:ascii="Times New Roman" w:hAnsi="Times New Roman"/>
                <w:i/>
                <w:color w:val="auto"/>
              </w:rPr>
            </w:r>
            <w:r>
              <w:rPr>
                <w:rStyle w:val="1045"/>
                <w:rFonts w:ascii="Times New Roman" w:hAnsi="Times New Roman"/>
                <w:i/>
                <w:color w:val="auto"/>
              </w:rPr>
            </w:r>
          </w:p>
        </w:tc>
      </w:tr>
    </w:tbl>
    <w:p>
      <w:pPr>
        <w:pStyle w:val="1046"/>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2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275/2026/0901/VFI-CT.36.A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15 tháng 6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2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 </w:t>
            </w:r>
            <w:r>
              <w:rPr>
                <w:b/>
                <w:bCs/>
              </w:rPr>
              <w:t xml:space="preserve">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4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ind/>
              <w:rPr/>
            </w:pPr>
            <w:r>
              <w:rPr>
                <w:b/>
                <w:bCs/>
              </w:rPr>
            </w:r>
            <w:r>
              <w:rPr>
                <w:rFonts w:ascii="Times New Roman Bold" w:hAnsi="Times New Roman Bold"/>
                <w:b/>
                <w:color w:val="000000" w:themeColor="text1"/>
                <w:lang w:val="pt-BR"/>
              </w:rPr>
              <w:t xml:space="preserve">CÔNG TY CỔ PHẦN ĐẦU TƯ ĐẠI PHÚ VINH</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Mã số thuế</w:t>
            </w:r>
            <w:r>
              <w:rPr>
                <w:bCs/>
                <w:lang w:val="pt-BR"/>
              </w:rPr>
            </w:r>
            <w:r>
              <w:rPr>
                <w:bCs/>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0108043055</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Đại diện</w:t>
            </w:r>
            <w:r>
              <w:rPr>
                <w:bCs/>
                <w:lang w:val="pt-BR"/>
              </w:rPr>
            </w:r>
            <w:r>
              <w:rPr>
                <w:bCs/>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b/>
                <w:bCs/>
                <w:color w:val="ff0000"/>
              </w:rPr>
            </w:pPr>
            <w:r>
              <w:rPr>
                <w:b/>
                <w:bCs/>
                <w:color w:val="000000" w:themeColor="text1"/>
                <w:lang w:val="vi-VN"/>
              </w:rPr>
              <w:t xml:space="preserve">BÀ </w:t>
            </w:r>
            <w:r>
              <w:rPr>
                <w:b/>
                <w:bCs/>
                <w:color w:val="000000" w:themeColor="text1"/>
                <w:lang w:val="vi-VN"/>
              </w:rPr>
              <w:t xml:space="preserve">ĐÀO THỊ LAN ANH      </w:t>
            </w:r>
            <w:r>
              <w:rPr>
                <w:b/>
                <w:bCs/>
                <w:color w:val="000000" w:themeColor="text1"/>
                <w:lang w:val="vi-VN"/>
              </w:rPr>
              <w:t xml:space="preserve">   </w:t>
            </w:r>
            <w:r>
              <w:rPr>
                <w:b/>
                <w:bCs/>
                <w:color w:val="000000" w:themeColor="text1"/>
                <w:lang w:val="vi-VN"/>
              </w:rPr>
              <w:t xml:space="preserve">     Chức vụ:</w:t>
            </w:r>
            <w:r>
              <w:rPr>
                <w:b w:val="0"/>
                <w:bCs w:val="0"/>
                <w:color w:val="000000" w:themeColor="text1"/>
                <w:lang w:val="vi-VN"/>
              </w:rPr>
              <w:t xml:space="preserve"> </w:t>
            </w:r>
            <w:r>
              <w:rPr>
                <w:b/>
                <w:bCs/>
                <w:color w:val="000000" w:themeColor="text1"/>
                <w:lang w:val="vi-VN"/>
              </w:rPr>
              <w:t xml:space="preserve">Giám đốc</w:t>
            </w:r>
            <w:r>
              <w:rPr>
                <w:b/>
                <w:bCs/>
                <w:color w:val="ff0000"/>
              </w:rPr>
            </w:r>
            <w:r>
              <w:rPr>
                <w:b/>
                <w:bCs/>
                <w:color w:val="ff000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r>
              <w:rPr>
                <w:bCs/>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Thôn Giang Triều, Xã Ứng Hòa, TP Hà Nội, Việt Nam</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tài sản gắn liền với đất tại thửa đất số: ./., tờ bản đồ số: ./., có địa chỉ: BT13-25, Khu đô thị mới Phú Lương, phường Phú Lương, quận Hà Đông, Thành phố Hà Nội (Nay là: Phường Kiến Hưng, thành phố Hà Nội) theo Giấ</w:t>
            </w:r>
            <w:r>
              <w:rPr>
                <w:bCs/>
                <w:color w:val="000000" w:themeColor="text1"/>
                <w:lang w:val="pt-BR"/>
              </w:rPr>
              <w:t xml:space="preserve">y chứng nhận quyền sử dụng đất quyền sở hữu nhà ở và tài sản khác gắn liền với đất số: DC 635668, số vào sổ cấp GCN: CS 41864 do Sở Tài nguyên và Môi trường thành phố Hà Nội cấp ngày 29/06/2021; Chủ sử dụng đất là Ông Trịnh Ngọc Hương và bà Đào Thị Lan Anh</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06/2026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BT13-25 Khu đô thị mới Phú Lương phường Phú Lương quận Hà Đồng thành phố Hà Nội (Nay là: phường Kiến Hưng,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27"/>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(20.950611111111, 105.77225)</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47"/>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29/4/2026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4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4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4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47"/>
        <w:pBdr/>
        <w:tabs>
          <w:tab w:val="left" w:leader="none" w:pos="993"/>
        </w:tabs>
        <w:spacing w:after="120" w:before="120" w:line="276" w:lineRule="auto"/>
        <w:ind w:left="0"/>
        <w:jc w:val="both"/>
        <w:rPr>
          <w:lang w:val="pt-BR"/>
        </w:rPr>
      </w:pPr>
      <w:r>
        <w:rPr>
          <w:bCs/>
          <w:color w:val="000000" w:themeColor="text1"/>
          <w:lang w:val="pt-BR"/>
        </w:rPr>
        <w:t xml:space="preserve">-  </w:t>
      </w:r>
      <w:r>
        <w:rPr>
          <w:b/>
          <w:color w:val="000000" w:themeColor="text1"/>
          <w:lang w:val="pt-BR"/>
        </w:rPr>
        <w:t xml:space="preserve"> </w:t>
      </w:r>
      <w:r>
        <w:rPr>
          <w:lang w:val="pt-BR"/>
        </w:rPr>
        <w:t xml:space="preserve">Luật Giá số 16/2023/QH15 ngày 19/6/2023;</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4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4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4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4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4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47"/>
        <w:numPr>
          <w:ilvl w:val="0"/>
          <w:numId w:val="1"/>
        </w:numPr>
        <w:pBdr/>
        <w:spacing w:after="120" w:before="120" w:line="276" w:lineRule="auto"/>
        <w:ind/>
        <w:jc w:val="both"/>
        <w:rPr>
          <w:bCs/>
          <w:spacing w:val="-4"/>
          <w:lang w:val="pt-BR"/>
        </w:rPr>
      </w:pPr>
      <w:r>
        <w:rPr>
          <w:bCs/>
          <w:spacing w:val="-4"/>
          <w:lang w:val="pt-BR"/>
        </w:rPr>
        <w:t xml:space="preserve">Quyết định số 425/QĐ-BXD ngày 30/3/2026 của Bộ Xây dựng về việc Công bố suất vốn đầu tư xây dựng công trình và giá xây dựng tổng hợp bộ phận kết cấu công trình năm 2025;</w:t>
      </w:r>
      <w:r>
        <w:rPr>
          <w:bCs/>
          <w:spacing w:val="-4"/>
          <w:lang w:val="pt-BR"/>
        </w:rPr>
      </w:r>
      <w:r>
        <w:rPr>
          <w:bCs/>
          <w:spacing w:val="-4"/>
          <w:lang w:val="pt-BR"/>
        </w:rPr>
      </w:r>
    </w:p>
    <w:p>
      <w:pPr>
        <w:pStyle w:val="1047"/>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pPr>
        <w:pStyle w:val="104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4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4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47"/>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w:t>
      </w:r>
      <w:r>
        <w:rPr>
          <w:bCs/>
          <w:color w:val="000000" w:themeColor="text1"/>
          <w:lang w:val="pt-BR"/>
        </w:rPr>
        <w:t xml:space="preserve">y chứng nhận quyền sử dụng đất quyền sở hữu nhà ở và tài sản khác gắn liền với đất số: DC 635668, số vào sổ cấp GCN: CS 41864 do Sở Tài nguyên và Môi trường thành phố Hà Nội cấp ngày 29/06/2021; Chủ sử dụng đất là Ông Trịnh Ngọc Hương và bà Đào Thị Lan Anh</w:t>
      </w:r>
      <w:r>
        <w:rPr>
          <w:lang w:val="pt-BR"/>
        </w:rPr>
        <w:t xml:space="preserve">.</w:t>
      </w:r>
      <w:r>
        <w:rPr>
          <w:i/>
          <w:iCs/>
          <w:lang w:val="pt-BR"/>
        </w:rPr>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47"/>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275/2026/0901/VFI-HĐTĐ.36.A ngày 29/04/2026 giữa Công ty cổ phần đầu tư Đại Phú Vinh với Công ty Cổ phần Thẩm định và Đầu tư Tài chính Hoa Sen.</w:t>
      </w:r>
      <w:r>
        <w:rPr>
          <w:b/>
          <w:lang w:val="pt-BR"/>
        </w:rPr>
      </w:r>
      <w:r>
        <w:rPr>
          <w:b/>
          <w:lang w:val="pt-BR"/>
        </w:rPr>
      </w:r>
    </w:p>
    <w:p>
      <w:pPr>
        <w:pStyle w:val="1047"/>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Bức tranh thị trường bất động sản Hà Nội năm 2026: Hạ tầng dẫn dắt, thị trường bước vào chu kỳ tăng trưởng mới.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Bước sang năm 2026, thị trường bất động sản Hà Nội được kỳ vọng bước vào chu kỳ tăng trưởng mới với nền tảng hạ tầng, pháp lý và chính sách ngày càng rõ nét. Thay vì những cơn “sốt nóng”, thị trường vận động theo hướng chọn lọc, phân hóa mạnh, lấy nhu cầu </w:t>
      </w:r>
      <w:r>
        <w:rPr>
          <w:rFonts w:ascii="Times New Roman" w:hAnsi="Times New Roman" w:eastAsia="Times New Roman" w:cs="Times New Roman"/>
          <w:color w:val="000000"/>
          <w:sz w:val="24"/>
          <w:highlight w:val="white"/>
        </w:rPr>
        <w:t xml:space="preserve">ở thực, chất lượng dự án và năng lực doanh nghiệp làm trụ cột phát triển bền vững.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Trong bối cảnh kinh tế vĩ mô dần ổn định, khuôn khổ pháp lý được hoàn thiện và đầu tư công tiếp tục giữ vai trò "đầu kéo", bất động sản Thủ đô bước vào một chu kỳ phát triển mới – thận trọng hơn, thực chất hơn và lấy hạ tầng làm động lực trung tâm. Thay vì</w:t>
      </w:r>
      <w:r>
        <w:rPr>
          <w:rFonts w:ascii="Times New Roman" w:hAnsi="Times New Roman" w:eastAsia="Times New Roman" w:cs="Times New Roman"/>
          <w:color w:val="000000"/>
          <w:sz w:val="24"/>
          <w:highlight w:val="white"/>
        </w:rPr>
        <w:t xml:space="preserve"> những cơn "sốt nóng" ngắn hạn, thị trường năm 2026 được kỳ vọng tăng trưởng trên nền tảng bền vững, gắn chặt với quy hoạch đô thị, nhu cầu ở thực và năng lực triển khai của doanh nghiệp.</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Hạ tầng – "xương sống" mở không gian phát triển mới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Trong nhiều năm qua, hạ tầng giao thông luôn là yếu tố then chốt định hình không gian phát triển đô thị Hà Nội. Đến năm 2026, vai trò này càng trở nên rõ rệt khi hàng loạt dự án trọng điểm được triển khai đồng bộ, tạo lực đẩy dài hạn cho thị trường bất độn</w:t>
      </w:r>
      <w:r>
        <w:rPr>
          <w:rFonts w:ascii="Times New Roman" w:hAnsi="Times New Roman" w:eastAsia="Times New Roman" w:cs="Times New Roman"/>
          <w:color w:val="000000"/>
          <w:sz w:val="24"/>
          <w:highlight w:val="white"/>
        </w:rPr>
        <w:t xml:space="preserve">g sản.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Dự án đường Vành đai 4 – Vùng Thủ đô, với quy mô hơn 85.000 tỷ đồng, được coi là "đòn bẩy chiến lược" mở rộng không gian phát triển về các hướng Bắc, Tây và Nam. Khi tuyến đường này từng bước thành hình, các khu vực vốn nằm ngoài trung tâm truyền thống sẽ </w:t>
      </w:r>
      <w:r>
        <w:rPr>
          <w:rFonts w:ascii="Times New Roman" w:hAnsi="Times New Roman" w:eastAsia="Times New Roman" w:cs="Times New Roman"/>
          <w:color w:val="000000"/>
          <w:sz w:val="24"/>
          <w:highlight w:val="white"/>
        </w:rPr>
        <w:t xml:space="preserve">có điều kiện kết nối thuận lợi hơn, qua đó gia tăng sức hấp dẫn với các dự án đô thị, khu nhà ở và dịch vụ.</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Cùng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rFonts w:ascii="Times New Roman" w:hAnsi="Times New Roman" w:eastAsia="Times New Roman" w:cs="Times New Roman"/>
          <w:color w:val="000000"/>
          <w:sz w:val="24"/>
          <w:highlight w:val="white"/>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w:t>
      </w:r>
      <w:r>
        <w:rPr>
          <w:rFonts w:ascii="Times New Roman" w:hAnsi="Times New Roman" w:eastAsia="Times New Roman" w:cs="Times New Roman"/>
          <w:color w:val="000000"/>
          <w:sz w:val="24"/>
          <w:highlight w:val="white"/>
        </w:rPr>
        <w:t xml:space="preserve"> trưởng bất động sản dài hạn.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5 (Văn Cao – Hòa Lạc), đang n</w:t>
      </w:r>
      <w:r>
        <w:rPr>
          <w:rFonts w:ascii="Times New Roman" w:hAnsi="Times New Roman" w:eastAsia="Times New Roman" w:cs="Times New Roman"/>
          <w:color w:val="000000"/>
          <w:sz w:val="24"/>
          <w:highlight w:val="white"/>
        </w:rPr>
        <w:t xml:space="preserve">ổi lên như một cực phát triển mới. Ở phía Đông, hệ thống cầu vượt sông Hồng, cùng quy hoạch chỉnh trang đô thị ven sông, tiếp tục mở ra dư địa cho các dự án nhà ở và đô thị sinh thái.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Thị trường chuyển từ "tăng nóng" sang tăng trưởng chọn lọcNếu như giai đoạn trước, thị trường bất động sản Hà Nội từng chứng kiến những đợt tăng giá nhanh ở một số phân khúc, thì bước sang năm 2026, xu hướng chủ đạo là tăng trưởng có chọn lọc. Dòng tiền kh</w:t>
      </w:r>
      <w:r>
        <w:rPr>
          <w:rFonts w:ascii="Times New Roman" w:hAnsi="Times New Roman" w:eastAsia="Times New Roman" w:cs="Times New Roman"/>
          <w:color w:val="000000"/>
          <w:sz w:val="24"/>
          <w:highlight w:val="white"/>
        </w:rPr>
        <w:t xml:space="preserve">ông còn chạy theo "sóng ngắn" mà ưu tiên những khu vực có quy hoạch rõ ràng, hạ tầng đồng bộ và nhu cầu ở thực ổn định.</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Theo ông Nguyễn Văn Đính, Chủ tịch Hội Môi giới Bất động sản Việt Nam (VARS), thị trường bất động sản Hà Nội sẽ không tăng trưởng theo kiểu nóng mà dựa trên nền tảng hạ tầng và nhu cầu thật. Những dự án gắn với các tuyến giao thông lớn, pháp lý minh bạch v</w:t>
      </w:r>
      <w:r>
        <w:rPr>
          <w:rFonts w:ascii="Times New Roman" w:hAnsi="Times New Roman" w:eastAsia="Times New Roman" w:cs="Times New Roman"/>
          <w:color w:val="000000"/>
          <w:sz w:val="24"/>
          <w:highlight w:val="white"/>
        </w:rPr>
        <w:t xml:space="preserve">à được triển khai bài bản sẽ trở thành động lực chính của thị trường trong năm 2026.</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Số liệu từ các đơn vị nghiên cứu cho thấy, trong giai đoạn gần đây, giá bất động sản tại những khu vực bám trục hạ tầng lớn của Hà Nội vẫn duy trì mức tăng ổn định, trong khi thanh khoản dần cải thiện. Điều này phản ánh sự dịch chuyển của dòng tiền sang cá</w:t>
      </w:r>
      <w:r>
        <w:rPr>
          <w:rFonts w:ascii="Times New Roman" w:hAnsi="Times New Roman" w:eastAsia="Times New Roman" w:cs="Times New Roman"/>
          <w:color w:val="000000"/>
          <w:sz w:val="24"/>
          <w:highlight w:val="white"/>
        </w:rPr>
        <w:t xml:space="preserve">c phân khúc an toàn hơn, hạn chế rủi ro và có tiềm năng tăng trưởng dài hạn.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Nguồn cung lớn, thị trường phân hóa rõ nét</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khởi động. Điều này vừa tạo</w:t>
      </w:r>
      <w:r>
        <w:rPr>
          <w:rFonts w:ascii="Times New Roman" w:hAnsi="Times New Roman" w:eastAsia="Times New Roman" w:cs="Times New Roman"/>
          <w:color w:val="000000"/>
          <w:sz w:val="24"/>
          <w:highlight w:val="white"/>
        </w:rPr>
        <w:t xml:space="preserve"> cơ hội cho người mua, vừa đặt ra thách thức cho doanh nghiệp phát triển dự án.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Ông David Jackson, Tổng Giám đốc Avison Young Việt Nam nhận định, thị trường căn hộ đang bước vào giai đoạn bản lề. Phân khúc này tiếp tục giữ vai trò chủ đạo trong giai đoạn 2025–2026, song sự phát triển sẽ không đồng đều. Các dự án có vị trí thuận lợi, k</w:t>
      </w:r>
      <w:r>
        <w:rPr>
          <w:rFonts w:ascii="Times New Roman" w:hAnsi="Times New Roman" w:eastAsia="Times New Roman" w:cs="Times New Roman"/>
          <w:color w:val="000000"/>
          <w:sz w:val="24"/>
          <w:highlight w:val="white"/>
        </w:rPr>
        <w:t xml:space="preserve">ết nối hạ tầng tốt, pháp lý hoàn chỉnh và chủ đầu tư uy tín sẽ duy trì thanh khoản, trong khi những dự án xa trung tâm, thiếu tiện ích hoặc định giá vượt khả năng chi trả của số đông sẽ gặp khó.</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lớn nhờ phù hợp với nhu cầu ở thực. Trong khi đó</w:t>
      </w:r>
      <w:r>
        <w:rPr>
          <w:rFonts w:ascii="Times New Roman" w:hAnsi="Times New Roman" w:eastAsia="Times New Roman" w:cs="Times New Roman"/>
          <w:color w:val="000000"/>
          <w:sz w:val="24"/>
          <w:highlight w:val="white"/>
        </w:rPr>
        <w:t xml:space="preserve">, phân khúc nhà ở vừa túi tiền và nhà ở xã hội được kỳ vọng sẽ dần cải thiện nguồn cung khi các chính sách mới được triển khai đồng bộ.</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Chính sách và pháp lý – điểm tựa cho chu kỳ mới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Năm 2026 được xem là thời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w:t>
      </w:r>
      <w:r>
        <w:rPr>
          <w:rFonts w:ascii="Times New Roman" w:hAnsi="Times New Roman" w:eastAsia="Times New Roman" w:cs="Times New Roman"/>
          <w:color w:val="000000"/>
          <w:sz w:val="24"/>
          <w:highlight w:val="white"/>
        </w:rPr>
        <w:t xml:space="preserve">guồn cung đáng kể cho thị trường.</w:t>
        <w:br/>
        <w:t xml:space="preserve"> 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w:t>
      </w:r>
      <w:r>
        <w:rPr>
          <w:rFonts w:ascii="Times New Roman" w:hAnsi="Times New Roman" w:eastAsia="Times New Roman" w:cs="Times New Roman"/>
          <w:color w:val="000000"/>
          <w:sz w:val="24"/>
          <w:highlight w:val="white"/>
        </w:rPr>
        <w:t xml:space="preserve">nh hơn, hạn chế tình trạng "treo" dự án kéo dài, đồng thời tạo niềm tin cho nhà đầu tư và người mua nhà.</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Bước vào năm 2026, mặt bằng lãi suất được dự báo duy trì ở mức tương đối ổn định, dù có thể xuất hiện những điều chỉnh kỹ thuật. Ông Nguyễn Quốc Anh, Phó Tổng Giám đốc Batdongsan.com.vn cho rằng, mức lãi suất cho vay phổ biến quanh 6–7%/năm vẫn nằm trong v</w:t>
      </w:r>
      <w:r>
        <w:rPr>
          <w:rFonts w:ascii="Times New Roman" w:hAnsi="Times New Roman" w:eastAsia="Times New Roman" w:cs="Times New Roman"/>
          <w:color w:val="000000"/>
          <w:sz w:val="24"/>
          <w:highlight w:val="white"/>
        </w:rPr>
        <w:t xml:space="preserve">ùng hỗ trợ giao dịch, khác xa giai đoạn "cú sốc kép" năm 2022.</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Ở góc nhìn vĩ mô, TS. Cấn Văn Lực, Chuyên gia Kinh tế trưởng Ngân hàng BIDV, Thành viên Hội đồng Tư vấn chính sách tài chính – tiền tệ quốc gia – nhận định, lãi suất thấp trong giai đoạn tới sẽ không còn kích hoạt đầu cơ mạnh như trước, mà thúc đẩy thị trư</w:t>
      </w:r>
      <w:r>
        <w:rPr>
          <w:rFonts w:ascii="Times New Roman" w:hAnsi="Times New Roman" w:eastAsia="Times New Roman" w:cs="Times New Roman"/>
          <w:color w:val="000000"/>
          <w:sz w:val="24"/>
          <w:highlight w:val="white"/>
        </w:rPr>
        <w:t xml:space="preserve">ờng phát triển ổn định hơn. Người mua ngày càng thận trọng, ưu tiên pháp lý rõ ràng, chất lượng sản phẩm và uy tín chủ đầu tư – những yếu tố then chốt để hình thành chu kỳ tăng trưởng bền vững.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Triển vọng 2026: tăng trưởng bền vững trên nền tảng mới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Với nguồn cung tăng mạnh và người mua ngày càng kỹ tính, năm 2026 được xem là giai đoạn sàng lọc rõ nét đối với các doanh nghiệp bất động sản. Những chủ đầu tư có quỹ đất sạch, năng lực tài chính lành mạnh và chiến lược phát triển sản phẩm phù hợp sẽ có cơ</w:t>
      </w:r>
      <w:r>
        <w:rPr>
          <w:rFonts w:ascii="Times New Roman" w:hAnsi="Times New Roman" w:eastAsia="Times New Roman" w:cs="Times New Roman"/>
          <w:color w:val="000000"/>
          <w:sz w:val="24"/>
          <w:highlight w:val="white"/>
        </w:rPr>
        <w:t xml:space="preserve"> hội bứt phá. Ngược lại, các doanh nghiệp yếu về pháp lý, phụ thuộc nhiều vào đòn bẩy tài chính hoặc chạy theo đầu cơ ngắn hạn có thể tiếp tục bị đào thải.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doanh nghiệp phải gìn giữ.</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 chủ đạo. Thị trường kh</w:t>
      </w:r>
      <w:r>
        <w:rPr>
          <w:rFonts w:ascii="Times New Roman" w:hAnsi="Times New Roman" w:eastAsia="Times New Roman" w:cs="Times New Roman"/>
          <w:color w:val="000000"/>
          <w:sz w:val="24"/>
          <w:highlight w:val="white"/>
        </w:rPr>
        <w:t xml:space="preserve">ông còn chỗ cho những cơn sốt ảo, mà hướng tới tăng trưởng ổn định, gắn với chất lượng đô thị và chất lượng sống.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Với những nền tảng đó, bất động sản Hà Nội trong năm 2026 được kỳ vọng sẽ bước vào chu kỳ phát triển mới – bền vững hơn, minh bạch hơn và đóng góp hiệu quả hơn cho tăng trưởng kinh tế – xã hội của Thủ đô.</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pPr>
      <w:r>
        <w:rPr>
          <w:rFonts w:ascii="Times New Roman" w:hAnsi="Times New Roman" w:eastAsia="Times New Roman" w:cs="Times New Roman"/>
          <w:color w:val="000000"/>
          <w:sz w:val="24"/>
          <w:highlight w:val="white"/>
        </w:rPr>
        <w:t xml:space="preserve">(Nguồn: https://thanglong.chinhphu.vn/buc-tranh-thi-truong-bat-dong-san-ha-noi-nam-2026-ha-tang-dan-dat-thi-truong-buoc-vao-chu-ky-tang-truong-moi-103260101181315972.htm)</w:t>
      </w:r>
      <w:r/>
    </w:p>
    <w:p>
      <w:pPr>
        <w:pStyle w:val="104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5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56"/>
        <w:gridCol w:w="2320"/>
        <w:gridCol w:w="2040"/>
        <w:gridCol w:w="2438"/>
        <w:gridCol w:w="2401"/>
      </w:tblGrid>
      <w:tr>
        <w:trPr>
          <w:trHeight w:val="184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và tài sản gắn liền với đất tại thửa đất số: ./., tờ bản đồ số: ./., có địa chỉ: BT13-25, Khu đô thị mới Phú Lương, phường Phú Lương, quận Hà Đông, Thành phố Hà Nội (Nay là: Phường Kiến Hưng, thành phố Hà Nội) theo Giấy chứng nhận quyền s</w:t>
            </w:r>
            <w:r>
              <w:rPr>
                <w:rFonts w:ascii="Times New Roman" w:hAnsi="Times New Roman" w:eastAsia="Times New Roman" w:cs="Times New Roman"/>
                <w:b/>
                <w:color w:val="000000"/>
                <w:sz w:val="24"/>
              </w:rPr>
              <w:t xml:space="preserve">ử dụng đất quyền sở hữu nhà ở và tài sản khác gắn liền với đất số: DC 635668, số vào sổ cấp GCN: CS 41864 do Sở Tài nguyên và Môi trường thành phố Hà Nội cấp ngày 29/06/2021; Chủ sử dụng đất là Ông Trịnh Ngọc Hương và bà Đào Thị Lan Anh</w:t>
            </w:r>
            <w:r/>
          </w:p>
        </w:tc>
      </w:tr>
      <w:tr>
        <w:trPr>
          <w:trHeight w:val="31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Nội dung Thửa đất theo Hồ sơ pháp lý</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r>
      <w:tr>
        <w:trPr>
          <w:trHeight w:val="6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BT13-25, Khu đô thị mới Phú Lương, phường Phú Lương, quận Hà Đông, Thành phố Hà Nội (Nay là: Phường Kiến Hưng, thành phố Hà Nội)</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Sử dụng riêng</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Đất ở tại đô thị</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Thời hạn sử dụng: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Lâu dài</w:t>
            </w:r>
            <w:r/>
          </w:p>
        </w:tc>
      </w:tr>
      <w:tr>
        <w:trPr>
          <w:trHeight w:val="64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Nguồn gốc sử dụng đất:</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firstLine="0" w:left="0"/>
              <w:jc w:val="both"/>
              <w:rPr/>
            </w:pPr>
            <w:r>
              <w:rPr>
                <w:rFonts w:ascii="Times New Roman" w:hAnsi="Times New Roman" w:eastAsia="Times New Roman" w:cs="Times New Roman"/>
                <w:color w:val="000000"/>
                <w:sz w:val="24"/>
              </w:rPr>
              <w:t xml:space="preserve">- Nhà nước giao đất có thu tiền sử dụng đất</w:t>
            </w:r>
            <w:r/>
          </w:p>
        </w:tc>
      </w:tr>
      <w:tr>
        <w:trPr>
          <w:trHeight w:val="566"/>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Ghi chú:</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Số tờ, số thửa và sơ đồ sẽ được điều chỉnh khi có bản đồ địa chính chính quy.</w:t>
            </w:r>
            <w:r/>
          </w:p>
        </w:tc>
      </w:tr>
      <w:tr>
        <w:trPr>
          <w:trHeight w:val="8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spacing w:after="0" w:before="0" w:line="240" w:lineRule="auto"/>
              <w:ind/>
              <w:jc w:val="center"/>
              <w:rPr/>
            </w:pPr>
            <w:r>
              <w:rPr>
                <w:rFonts w:ascii="Times New Roman" w:hAnsi="Times New Roman" w:eastAsia="Times New Roman" w:cs="Times New Roman"/>
                <w:color w:val="000000"/>
                <w:sz w:val="24"/>
                <w:highlight w:val="none"/>
              </w:rPr>
            </w:r>
            <w:r>
              <mc:AlternateContent>
                <mc:Choice Requires="wpg">
                  <w:drawing>
                    <wp:inline xmlns:wp="http://schemas.openxmlformats.org/drawingml/2006/wordprocessingDrawing" distT="0" distB="0" distL="0" distR="0">
                      <wp:extent cx="4136828" cy="2269959"/>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84925" name=""/>
                              <pic:cNvPicPr>
                                <a:picLocks noChangeAspect="1"/>
                              </pic:cNvPicPr>
                              <pic:nvPr/>
                            </pic:nvPicPr>
                            <pic:blipFill rotWithShape="1">
                              <a:blip r:embed="rId18"/>
                              <a:stretch/>
                            </pic:blipFill>
                            <pic:spPr bwMode="auto">
                              <a:xfrm flipH="0" flipV="0">
                                <a:off x="0" y="0"/>
                                <a:ext cx="4136827" cy="22699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25.73pt;height:178.74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color w:val="000000"/>
                <w:sz w:val="24"/>
                <w:highlight w:val="none"/>
              </w:rPr>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Về đất:</w:t>
            </w:r>
            <w:r/>
          </w:p>
        </w:tc>
      </w:tr>
      <w:tr>
        <w:trPr>
          <w:trHeight w:val="30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2.1</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Vị trí; Giao thông;</w:t>
            </w:r>
            <w:r/>
          </w:p>
        </w:tc>
      </w:tr>
      <w:tr>
        <w:trPr>
          <w:trHeight w:val="6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Đường tiếp giáp chính: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Đường nhựa + vỉa hè</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Số mặt tiền: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 mặt tiền</w:t>
            </w:r>
            <w:r/>
          </w:p>
        </w:tc>
      </w:tr>
      <w:tr>
        <w:trPr>
          <w:trHeight w:val="124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13m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Khoảng 13m</w:t>
            </w:r>
            <w:r/>
          </w:p>
        </w:tc>
      </w:tr>
      <w:tr>
        <w:trPr>
          <w:trHeight w:val="7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tiếp giáp đường nội khu đô thị, tài sản cách mặt đường Vành đanh 3.5 khoảng 500m</w:t>
            </w:r>
            <w:r/>
          </w:p>
        </w:tc>
      </w:tr>
      <w:tr>
        <w:trPr>
          <w:trHeight w:val="62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Các hướng tiếp giáp:</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Hướng Tây: Tiếp giáp đường nhựa rộng 13m</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spacing w:after="0" w:before="0" w:line="240" w:lineRule="auto"/>
              <w:ind/>
              <w:jc w:val="both"/>
              <w:rPr/>
            </w:pPr>
            <w:r>
              <w:rPr>
                <w:rFonts w:ascii="Times New Roman" w:hAnsi="Times New Roman" w:eastAsia="Times New Roman" w:cs="Times New Roman"/>
                <w:color w:val="000000"/>
                <w:sz w:val="24"/>
              </w:rPr>
              <w:t xml:space="preserve">Các hướng khác: Tiếp giáp các thửa đất khác.</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Vị trí trên bản đồ vệ tinh:</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mc:AlternateContent>
                <mc:Choice Requires="wpg">
                  <w:drawing>
                    <wp:inline xmlns:wp="http://schemas.openxmlformats.org/drawingml/2006/wordprocessingDrawing" distT="0" distB="0" distL="0" distR="0">
                      <wp:extent cx="5447343" cy="273227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96462" name=""/>
                              <pic:cNvPicPr>
                                <a:picLocks noChangeAspect="1"/>
                              </pic:cNvPicPr>
                              <pic:nvPr/>
                            </pic:nvPicPr>
                            <pic:blipFill rotWithShape="1">
                              <a:blip r:embed="rId19"/>
                              <a:stretch/>
                            </pic:blipFill>
                            <pic:spPr bwMode="auto">
                              <a:xfrm flipH="0" flipV="0">
                                <a:off x="0" y="0"/>
                                <a:ext cx="5447342" cy="27322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28.92pt;height:215.14pt;mso-wrap-distance-left:0.00pt;mso-wrap-distance-top:0.00pt;mso-wrap-distance-right:0.00pt;mso-wrap-distance-bottom:0.00pt;z-index:1;" stroked="false">
                      <v:imagedata r:id="rId19" o:title=""/>
                      <o:lock v:ext="edit" rotation="t"/>
                    </v:shape>
                  </w:pict>
                </mc:Fallback>
              </mc:AlternateContent>
            </w:r>
            <w:r>
              <w:rPr>
                <w:rFonts w:ascii="Times New Roman" w:hAnsi="Times New Roman" w:eastAsia="Times New Roman" w:cs="Times New Roman"/>
                <w:color w:val="000000"/>
                <w:sz w:val="24"/>
              </w:rPr>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2.2.</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Diện tích; Kích thước; Hình dáng</w:t>
            </w:r>
            <w:r/>
          </w:p>
        </w:tc>
      </w:tr>
      <w:tr>
        <w:trPr>
          <w:trHeight w:val="6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riêng thực tế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Diện tích sử dụng chung thực tế (m²):</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Mặt tiền (m):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Chiều sâu (m):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20,0</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Vuông vức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Hướng: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Tây</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2.3.</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nội bộ:</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Cấp điện, cấp nước sạch, mạng internet,…hoàn thiện</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Hạ tầng xung quanh:</w:t>
            </w:r>
            <w:r/>
          </w:p>
        </w:tc>
        <w:tc>
          <w:tcPr>
            <w:gridSpan w:val="3"/>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879"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Môi trường trong lành, an ninh đảm bảo, dân trí tốt</w:t>
            </w:r>
            <w:r/>
          </w:p>
        </w:tc>
      </w:tr>
      <w:tr>
        <w:trPr>
          <w:trHeight w:val="615"/>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Khu vực tập trung dân cư</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Đời sống dân cư:</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Ổn định</w:t>
            </w:r>
            <w:r/>
          </w:p>
        </w:tc>
      </w:tr>
      <w:tr>
        <w:trPr>
          <w:trHeight w:val="62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320"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04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Thích hợp để ở/Kinh doanh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3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401"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Tốt </w:t>
            </w:r>
            <w:r/>
          </w:p>
        </w:tc>
      </w:tr>
      <w:tr>
        <w:trPr>
          <w:trHeight w:val="31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3.</w:t>
            </w:r>
            <w:r/>
          </w:p>
        </w:tc>
        <w:tc>
          <w:tcPr>
            <w:gridSpan w:val="4"/>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4"/>
              </w:rPr>
              <w:t xml:space="preserve"> Tài sản gắn liền với đất </w:t>
            </w:r>
            <w:r/>
          </w:p>
        </w:tc>
      </w:tr>
      <w:tr>
        <w:trPr>
          <w:trHeight w:val="827"/>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65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gridSpan w:val="4"/>
            <w:shd w:val="clear" w:color="ffffff" w:fill="ffffff"/>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199" w:type="dxa"/>
            <w:vAlign w:val="top"/>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 Trên đất có 01 nhà biệt thự 3,5 tầng, xây dựng bê tông cốt thép, CTXD hiện đang xây thô, tổng diện tích xây dựng khoảng 291m², hiện công trình đang được sử dụng để ở. Công trình đã được chứng nhận trên GCN QSDĐ</w:t>
            </w:r>
            <w:r/>
          </w:p>
        </w:tc>
      </w:tr>
    </w:tbl>
    <w:p>
      <w:pPr>
        <w:pStyle w:val="104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4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4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Style w:val="1047"/>
        <w:numPr>
          <w:ilvl w:val="0"/>
          <w:numId w:val="3"/>
        </w:numPr>
        <w:pBdr/>
        <w:tabs>
          <w:tab w:val="left" w:leader="none" w:pos="993"/>
        </w:tabs>
        <w:spacing w:after="120" w:before="120" w:line="264" w:lineRule="auto"/>
        <w:ind/>
        <w:jc w:val="both"/>
        <w:rPr>
          <w:spacing w:val="-2"/>
          <w:lang w:val="pt-BR"/>
        </w:rPr>
      </w:pPr>
      <w:r>
        <w:rPr>
          <w:highlight w:val="none"/>
          <w:lang w:val="pt-BR" w:bidi="pt-BR"/>
        </w:rPr>
      </w:r>
      <w:r>
        <w:rPr>
          <w:rFonts w:ascii="Times New Roman" w:hAnsi="Times New Roman" w:eastAsia="Times New Roman" w:cs="Times New Roman"/>
          <w:color w:val="000000"/>
          <w:spacing w:val="-2"/>
          <w:sz w:val="24"/>
        </w:rPr>
        <w:t xml:space="preserve">Tại thời điểm khảo sát, tổ thẩm định không được Khách hàng cung cấp các thông tin quy hoạch liên quan đến thửa đất, dựa trên định vị của tài sản sau khi khảo sát, tổ thẩm định tra cứu quy hoạch online thông qua trang mạng Meeymap, xác định vị trí tài sản t</w:t>
      </w:r>
      <w:r>
        <w:rPr>
          <w:rFonts w:ascii="Times New Roman" w:hAnsi="Times New Roman" w:eastAsia="Times New Roman" w:cs="Times New Roman"/>
          <w:color w:val="000000"/>
          <w:spacing w:val="-2"/>
          <w:sz w:val="24"/>
        </w:rPr>
        <w:t xml:space="preserve">huộc quy hoạch đất ở. Tổ thẩm định giả định thửa đất phù hợp quy hoạch. Đề nghị Khách hàng sử dụng kết quả lưu ý kiểm tra xác minh thêm thông tin quy hoạch nếu thấy cần thiết. Trong trường hợp Khách hàng/Ngân hàng cung cấp được Văn bản xác nhận rõ tình trạ</w:t>
      </w:r>
      <w:r>
        <w:rPr>
          <w:rFonts w:ascii="Times New Roman" w:hAnsi="Times New Roman" w:eastAsia="Times New Roman" w:cs="Times New Roman"/>
          <w:color w:val="000000"/>
          <w:spacing w:val="-2"/>
          <w:sz w:val="24"/>
        </w:rPr>
        <w:t xml:space="preserve">ng quy hoạch thì kết quả thẩm định giá cần được xem xét, điều chỉnh phù hợp, đồng thời chúng tôi bảo lưu quyền xem xét lại kết quả thẩm định giá</w:t>
      </w:r>
      <w:r>
        <w:rPr>
          <w:highlight w:val="none"/>
          <w:lang w:val="pt-BR" w:bidi="pt-BR"/>
        </w:rPr>
        <w:t xml:space="preserve">.</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4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4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4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4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47"/>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pStyle w:val="1047"/>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pPr>
        <w:pStyle w:val="104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4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47"/>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pPr>
        <w:pStyle w:val="104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4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Style w:val="1047"/>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bCs/>
          <w:lang w:val="pt-BR"/>
        </w:rPr>
      </w:r>
      <w:r>
        <w:rPr>
          <w:bCs/>
          <w:lang w:val="pt-BR"/>
        </w:rPr>
      </w:r>
    </w:p>
    <w:p>
      <w:pPr>
        <w:pStyle w:val="104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5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53"/>
        <w:gridCol w:w="1843"/>
        <w:gridCol w:w="1807"/>
        <w:gridCol w:w="1807"/>
        <w:gridCol w:w="1807"/>
        <w:gridCol w:w="1807"/>
      </w:tblGrid>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53" w:type="dxa"/>
            <w:vAlign w:val="top"/>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STT</w:t>
            </w:r>
            <w:r>
              <w:rPr>
                <w:sz w:val="22"/>
                <w:szCs w:val="22"/>
              </w:rPr>
            </w:r>
            <w:r>
              <w:rPr>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ĐẶC ĐIỂM BĐS</w:t>
            </w:r>
            <w:r>
              <w:rPr>
                <w:sz w:val="22"/>
                <w:szCs w:val="22"/>
              </w:rPr>
            </w:r>
            <w:r>
              <w:rPr>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807" w:type="dxa"/>
            <w:vAlign w:val="top"/>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TSTĐ</w:t>
            </w:r>
            <w:r>
              <w:rPr>
                <w:sz w:val="22"/>
                <w:szCs w:val="22"/>
              </w:rPr>
            </w:r>
            <w:r>
              <w:rPr>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807" w:type="dxa"/>
            <w:vAlign w:val="top"/>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TSSS1</w:t>
            </w:r>
            <w:r>
              <w:rPr>
                <w:sz w:val="22"/>
                <w:szCs w:val="22"/>
              </w:rPr>
            </w:r>
            <w:r>
              <w:rPr>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807" w:type="dxa"/>
            <w:vAlign w:val="top"/>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TSSS2</w:t>
            </w:r>
            <w:r>
              <w:rPr>
                <w:sz w:val="22"/>
                <w:szCs w:val="22"/>
              </w:rPr>
            </w:r>
            <w:r>
              <w:rPr>
                <w:sz w:val="22"/>
                <w:szCs w:val="22"/>
              </w:rPr>
            </w:r>
          </w:p>
        </w:tc>
        <w:tc>
          <w:tcPr>
            <w:tcBorders>
              <w:top w:val="single" w:color="000000" w:sz="6" w:space="0"/>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TSSS3</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top"/>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A</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top"/>
            <w:textDirection w:val="lrTb"/>
            <w:noWrap w:val="false"/>
          </w:tcPr>
          <w:p>
            <w:pPr>
              <w:pBdr/>
              <w:spacing w:after="0" w:before="0" w:line="240" w:lineRule="auto"/>
              <w:ind/>
              <w:rPr>
                <w:sz w:val="22"/>
                <w:szCs w:val="22"/>
              </w:rPr>
            </w:pPr>
            <w:r>
              <w:rPr>
                <w:rFonts w:ascii="Times New Roman" w:hAnsi="Times New Roman" w:eastAsia="Times New Roman" w:cs="Times New Roman"/>
                <w:b/>
                <w:color w:val="000000"/>
                <w:sz w:val="22"/>
                <w:szCs w:val="22"/>
              </w:rPr>
              <w:t xml:space="preserve">Thông tin về tài sản</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top"/>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top"/>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top"/>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 </w:t>
            </w:r>
            <w:r>
              <w:rPr>
                <w:sz w:val="22"/>
                <w:szCs w:val="22"/>
              </w:rPr>
            </w:r>
            <w:r>
              <w:rPr>
                <w:sz w:val="22"/>
                <w:szCs w:val="22"/>
              </w:rPr>
            </w:r>
          </w:p>
        </w:tc>
      </w:tr>
      <w:tr>
        <w:trPr>
          <w:trHeight w:val="1056"/>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Địa chỉ</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Khu đô thị mới Phú Lương, phường Kiến Hưng, thành phố Hà Nội</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Khu đô thị mới Phú Lương, phường Kiến Hưng, thành phố Hà Nội</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Khu đô thị mới Phú Lương, phường Kiến Hưng, thành phố Hà Nội</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Khu đô thị mới Phú Lương, phường Kiến Hưng, thành phố Hà Nội</w:t>
            </w:r>
            <w:r>
              <w:rPr>
                <w:sz w:val="22"/>
                <w:szCs w:val="22"/>
              </w:rPr>
            </w:r>
            <w:r>
              <w:rPr>
                <w:sz w:val="22"/>
                <w:szCs w:val="22"/>
              </w:rPr>
            </w:r>
          </w:p>
        </w:tc>
      </w:tr>
      <w:tr>
        <w:trPr>
          <w:trHeight w:val="372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Nguồn tham khảo</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sz w:val="22"/>
                <w:szCs w:val="22"/>
              </w:rPr>
            </w:pPr>
            <w:r>
              <w:rPr>
                <w:rFonts w:ascii="Times New Roman" w:hAnsi="Times New Roman" w:eastAsia="Times New Roman" w:cs="Times New Roman"/>
                <w:color w:val="000000"/>
                <w:sz w:val="22"/>
                <w:szCs w:val="22"/>
              </w:rPr>
              <w:t xml:space="preserve">https://guru.batdongsan.com.vn/pa/c397b8aaf062f40f?productType=38&amp;cateId=325&amp;projectId=9&amp;cityCode=HN&amp;districtId=15</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sz w:val="22"/>
                <w:szCs w:val="22"/>
              </w:rPr>
            </w:pPr>
            <w:r>
              <w:rPr>
                <w:rFonts w:ascii="Times New Roman" w:hAnsi="Times New Roman" w:eastAsia="Times New Roman" w:cs="Times New Roman"/>
                <w:color w:val="000000"/>
                <w:sz w:val="22"/>
                <w:szCs w:val="22"/>
              </w:rPr>
              <w:t xml:space="preserve">https://guru.batdongsan.com.vn/pa/c397b8aaf062f40f?productType=38&amp;cateId=325&amp;projectId=9&amp;cityCode=HN&amp;districtId=15</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sz w:val="22"/>
                <w:szCs w:val="22"/>
              </w:rPr>
            </w:pPr>
            <w:r>
              <w:rPr>
                <w:rFonts w:ascii="Times New Roman" w:hAnsi="Times New Roman" w:eastAsia="Times New Roman" w:cs="Times New Roman"/>
                <w:color w:val="000000"/>
                <w:sz w:val="22"/>
                <w:szCs w:val="22"/>
              </w:rPr>
              <w:t xml:space="preserve">https://batdongsan.com.vn/ban-nha-biet-thu-lien-ke-phuong-phu-luong-3-khu-do-thi-moi-phu-luong-21515/vuon-hong-240m-12m-mat-view-vuon-hong-thom-ngat-tho-nguyen-ban-pr45653087</w:t>
            </w:r>
            <w:r>
              <w:rPr>
                <w:sz w:val="22"/>
                <w:szCs w:val="22"/>
              </w:rPr>
            </w:r>
            <w:r>
              <w:rPr>
                <w:sz w:val="22"/>
                <w:szCs w:val="22"/>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Thông tin liên lạc</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0338601868</w:t>
              <w:br/>
              <w:t xml:space="preserve">(Trần Tú)</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0338601868</w:t>
              <w:br/>
              <w:t xml:space="preserve">(Trần Tú)</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0961249968</w:t>
              <w:br/>
              <w:t xml:space="preserve">(Sale Thuý)</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3</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Tình trạng giao dịch</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Đang giao dịch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Đang giao dịch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Đang giao dịch  </w:t>
            </w:r>
            <w:r>
              <w:rPr>
                <w:sz w:val="22"/>
                <w:szCs w:val="22"/>
              </w:rPr>
            </w:r>
            <w:r>
              <w:rPr>
                <w:sz w:val="22"/>
                <w:szCs w:val="22"/>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4</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Thời điểm thu thập thông tin</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Tháng 06/2026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Tháng 06/2026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Tháng 06/2026 </w:t>
            </w:r>
            <w:r>
              <w:rPr>
                <w:sz w:val="22"/>
                <w:szCs w:val="22"/>
              </w:rPr>
            </w:r>
            <w:r>
              <w:rPr>
                <w:sz w:val="22"/>
                <w:szCs w:val="22"/>
              </w:rP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5</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Tính chất giao dịch</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Giao dịch bình thường trên thị trường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Giao dịch bình thường trên thị trường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Giao dịch bình thường trên thị trường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Giao dịch bình thường trên thị trường </w:t>
            </w:r>
            <w:r>
              <w:rPr>
                <w:sz w:val="22"/>
                <w:szCs w:val="22"/>
              </w:rPr>
            </w:r>
            <w:r>
              <w:rPr>
                <w:sz w:val="22"/>
                <w:szCs w:val="22"/>
              </w:rPr>
            </w:r>
          </w:p>
        </w:tc>
      </w:tr>
      <w:tr>
        <w:trPr>
          <w:trHeight w:val="92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6</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Pháp lý</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Có Giấy chứng nhận Quyền sử dụng đất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Có Giấy chứng nhận Quyền sử dụng đất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Có Giấy chứng nhận Quyền sử dụng đất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Có Giấy chứng nhận Quyền sử dụng đất</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7</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Mục đích sử dụng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Đất ở tại đô thị</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Đất ở tại đô thị</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Đất ở tại đô thị</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Đất ở tại đô thị</w:t>
            </w:r>
            <w:r>
              <w:rPr>
                <w:sz w:val="22"/>
                <w:szCs w:val="22"/>
              </w:rPr>
            </w:r>
            <w:r>
              <w:rPr>
                <w:sz w:val="22"/>
                <w:szCs w:val="22"/>
              </w:rPr>
            </w:r>
          </w:p>
        </w:tc>
      </w:tr>
      <w:tr>
        <w:trPr>
          <w:trHeight w:val="1507"/>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8</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Vị trí</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Tài sản tiếp giáp đường nội khu đô thị, tài sản cách mặt đường Vành đanh 3.5 khoảng 500m</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Tài sản tiếp giáp đường nội khu đô thị, tài sản cách mặt đường Vành đanh 3.5 khoảng 450m</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Tài sản tiếp giáp đường nội khu đô thị, tài sản cách mặt đường Vành đanh 3.5 khoảng 500m</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Tài sản tiếp giáp đường nội khu đô thị, tài sản cách mặt đường Vành đanh 3.5 khoảng 300m</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9</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Giao thông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Khoảng 13m</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Khoảng 13m</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Khoảng 25m</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Khoảng 13m</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Diện tích đất (m²)</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200,0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200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200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240</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11</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Mặt tiền (m)</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10,00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12,0</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12</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Số lượng mặt tiếp giáp</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 mặt tiền</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 mặt tiền</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 mặt tiền</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 mặt tiền</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13</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Hình dáng thửa đất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Vuông vức</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Vuông vức</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Vuông vức</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Vuông vức</w:t>
            </w:r>
            <w:r>
              <w:rPr>
                <w:sz w:val="22"/>
                <w:szCs w:val="22"/>
              </w:rPr>
            </w:r>
            <w:r>
              <w:rPr>
                <w:sz w:val="22"/>
                <w:szCs w:val="22"/>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14</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Lợi thế kinh doanh</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Thích hợp để ở/Kinh doanh</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Thích hợp để ở/Kinh doanh</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Thích hợp để ở/Kinh doanh</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Thích hợp để ở/Kinh doanh</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15</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Cảnh quan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View nội khu</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View nội khu</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View nội khu</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View công viên</w:t>
            </w:r>
            <w:r>
              <w:rPr>
                <w:sz w:val="22"/>
                <w:szCs w:val="22"/>
              </w:rPr>
            </w:r>
            <w:r>
              <w:rPr>
                <w:sz w:val="22"/>
                <w:szCs w:val="22"/>
              </w:rPr>
            </w:r>
          </w:p>
        </w:tc>
      </w:tr>
      <w:tr>
        <w:trPr>
          <w:trHeight w:val="84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16</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Điều kiện cơ sở hạ tầng kỹ thuật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Hệ thống cấp điện, cấp thoát nước đầy đủ.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Hệ thống cấp điện, cấp thoát nước đầy đủ</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Hệ thống cấp điện, cấp thoát nước đầy đủ</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Hệ thống cấp điện, cấp thoát nước đầy đủ</w:t>
            </w:r>
            <w:r>
              <w:rPr>
                <w:sz w:val="22"/>
                <w:szCs w:val="22"/>
              </w:rPr>
            </w:r>
            <w:r>
              <w:rPr>
                <w:sz w:val="22"/>
                <w:szCs w:val="22"/>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17</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Điều kiện môi trường an ninh</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Tốt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Tốt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Tốt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Tốt</w:t>
            </w:r>
            <w:r>
              <w:rPr>
                <w:sz w:val="22"/>
                <w:szCs w:val="22"/>
              </w:rPr>
            </w:r>
            <w:r>
              <w:rPr>
                <w:sz w:val="22"/>
                <w:szCs w:val="22"/>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18</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Tài sản trên đất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Nhà biệt thự 3,5 tầng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Nhà biệt thự 3,5 tầng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Nhà biệt thự 3,5 tầng (Xây thô)</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Số tầng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3,5</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3,5</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3,5</w:t>
            </w:r>
            <w:r>
              <w:rPr>
                <w:sz w:val="22"/>
                <w:szCs w:val="22"/>
              </w:rPr>
            </w:r>
            <w:r>
              <w:rPr>
                <w:sz w:val="22"/>
                <w:szCs w:val="22"/>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Diện tích sàn sử dụng (m²)</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291,0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291,0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318,4</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19</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Giá rao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41.500.000.000</w:t>
            </w:r>
            <w:r>
              <w:rPr>
                <w:sz w:val="22"/>
                <w:szCs w:val="22"/>
              </w:rPr>
            </w:r>
            <w:r>
              <w:rPr>
                <w:sz w:val="22"/>
                <w:szCs w:val="22"/>
              </w:rPr>
            </w:r>
          </w:p>
        </w:tc>
        <w:tc>
          <w:tcPr>
            <w:shd w:val="clear" w:color="ffffff" w:fill="ffffff"/>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48.000.000.000</w:t>
            </w:r>
            <w:r>
              <w:rPr>
                <w:sz w:val="22"/>
                <w:szCs w:val="22"/>
              </w:rPr>
            </w:r>
            <w:r>
              <w:rPr>
                <w:sz w:val="22"/>
                <w:szCs w:val="22"/>
              </w:rPr>
            </w:r>
          </w:p>
        </w:tc>
        <w:tc>
          <w:tcPr>
            <w:shd w:val="clear" w:color="ffffff" w:fill="ffffff"/>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48.000.000.000</w:t>
            </w:r>
            <w:r>
              <w:rPr>
                <w:sz w:val="22"/>
                <w:szCs w:val="22"/>
              </w:rPr>
            </w:r>
            <w:r>
              <w:rPr>
                <w:sz w:val="22"/>
                <w:szCs w:val="22"/>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Giá thương lượng/bán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37.350.000.000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43.200.000.000</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43.200.000.000</w:t>
            </w:r>
            <w:r>
              <w:rPr>
                <w:sz w:val="22"/>
                <w:szCs w:val="22"/>
              </w:rPr>
            </w:r>
            <w:r>
              <w:rPr>
                <w:sz w:val="22"/>
                <w:szCs w:val="22"/>
              </w:rPr>
            </w:r>
          </w:p>
        </w:tc>
      </w:tr>
      <w:tr>
        <w:trPr>
          <w:trHeight w:val="315"/>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B</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b/>
                <w:color w:val="000000"/>
                <w:sz w:val="22"/>
                <w:szCs w:val="22"/>
              </w:rPr>
              <w:t xml:space="preserve">Chi tiết tính toán</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1</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b/>
                <w:color w:val="000000"/>
                <w:sz w:val="22"/>
                <w:szCs w:val="22"/>
              </w:rPr>
              <w:t xml:space="preserve">Giá trị tài sản trên đất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2.389.107.346</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2.389.107.346</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1.307.030.548</w:t>
            </w:r>
            <w:r>
              <w:rPr>
                <w:sz w:val="22"/>
                <w:szCs w:val="22"/>
              </w:rPr>
            </w:r>
            <w:r>
              <w:rPr>
                <w:sz w:val="22"/>
                <w:szCs w:val="22"/>
              </w:rPr>
            </w:r>
          </w:p>
        </w:tc>
      </w:tr>
      <w:tr>
        <w:trPr>
          <w:trHeight w:val="14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Đơn giá xây dựng theo Quyết định số 425/QĐ-BXD ngày 30/3/2026 của Bộ Xây Dựng (đồng/m²)</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10.012.184</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10.012.184</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5.006.092</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 Tỷ lệ % CLCL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82%</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82%</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82%</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2</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b/>
                <w:color w:val="000000"/>
                <w:sz w:val="22"/>
                <w:szCs w:val="22"/>
              </w:rPr>
              <w:t xml:space="preserve">Giá trị đất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34.960.892.654</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40.810.892.654</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41.892.969.452</w:t>
            </w:r>
            <w:r>
              <w:rPr>
                <w:sz w:val="22"/>
                <w:szCs w:val="22"/>
              </w:rPr>
            </w:r>
            <w:r>
              <w:rPr>
                <w:sz w:val="22"/>
                <w:szCs w:val="22"/>
              </w:rPr>
            </w:r>
          </w:p>
        </w:tc>
      </w:tr>
      <w:tr>
        <w:trPr>
          <w:trHeight w:val="56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3</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b/>
                <w:color w:val="000000"/>
                <w:sz w:val="22"/>
                <w:szCs w:val="22"/>
              </w:rPr>
              <w:t xml:space="preserve">Đơn giá QSDĐ (đồng/m²)</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174.804.463</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204.054.463</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174.554.039</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b/>
                <w:color w:val="000000"/>
                <w:sz w:val="22"/>
                <w:szCs w:val="22"/>
              </w:rPr>
              <w:t xml:space="preserve">C</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b/>
                <w:color w:val="000000"/>
                <w:sz w:val="22"/>
                <w:szCs w:val="22"/>
              </w:rPr>
              <w:t xml:space="preserve">NHẬN XÉT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1</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Pháp lý</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2</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Mục đích sử dụng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3</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Vị trí</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4</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Giao thông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Lợi thế hơn</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5</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Diện tích đất (m²)</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Lợi thế hơn</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6</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Mặt tiền (m)</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Kém lợi thế hơn</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7</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Số lượng mặt tiếp giáp</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8</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Hình dáng thửa đất</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r>
      <w:tr>
        <w:trPr>
          <w:trHeight w:val="2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9</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43" w:type="dxa"/>
            <w:vAlign w:val="center"/>
            <w:textDirection w:val="lrTb"/>
            <w:noWrap w:val="false"/>
          </w:tcPr>
          <w:p>
            <w:pPr>
              <w:pBdr/>
              <w:spacing w:after="0" w:before="0" w:line="240" w:lineRule="auto"/>
              <w:ind/>
              <w:rPr>
                <w:sz w:val="22"/>
                <w:szCs w:val="22"/>
              </w:rPr>
            </w:pPr>
            <w:r>
              <w:rPr>
                <w:rFonts w:ascii="Times New Roman" w:hAnsi="Times New Roman" w:eastAsia="Times New Roman" w:cs="Times New Roman"/>
                <w:color w:val="000000"/>
                <w:sz w:val="22"/>
                <w:szCs w:val="22"/>
              </w:rPr>
              <w:t xml:space="preserve">Cảnh quan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Tương đồng</w:t>
            </w:r>
            <w:r>
              <w:rPr>
                <w:sz w:val="22"/>
                <w:szCs w:val="22"/>
              </w:rPr>
            </w:r>
            <w:r>
              <w:rPr>
                <w:sz w:val="22"/>
                <w:szCs w:val="22"/>
              </w:rPr>
            </w:r>
          </w:p>
        </w:tc>
        <w:tc>
          <w:tcPr>
            <w:tcBorders>
              <w:bottom w:val="single" w:color="000000" w:sz="6" w:space="0"/>
              <w:right w:val="single" w:color="000000" w:sz="6" w:space="0"/>
            </w:tcBorders>
            <w:tcMar>
              <w:left w:w="0" w:type="dxa"/>
              <w:top w:w="0" w:type="dxa"/>
              <w:right w:w="0" w:type="dxa"/>
              <w:bottom w:w="0" w:type="dxa"/>
            </w:tcMar>
            <w:tcW w:w="1807" w:type="dxa"/>
            <w:vAlign w:val="center"/>
            <w:textDirection w:val="lrTb"/>
            <w:noWrap w:val="false"/>
          </w:tcPr>
          <w:p>
            <w:pPr>
              <w:pBdr/>
              <w:spacing w:after="0" w:before="0" w:line="240" w:lineRule="auto"/>
              <w:ind/>
              <w:jc w:val="center"/>
              <w:rPr>
                <w:sz w:val="22"/>
                <w:szCs w:val="22"/>
              </w:rPr>
            </w:pPr>
            <w:r>
              <w:rPr>
                <w:rFonts w:ascii="Times New Roman" w:hAnsi="Times New Roman" w:eastAsia="Times New Roman" w:cs="Times New Roman"/>
                <w:color w:val="000000"/>
                <w:sz w:val="22"/>
                <w:szCs w:val="22"/>
              </w:rPr>
              <w:t xml:space="preserve"> Lợi thế hơn</w:t>
            </w:r>
            <w:r>
              <w:rPr>
                <w:sz w:val="22"/>
                <w:szCs w:val="22"/>
              </w:rPr>
            </w:r>
            <w:r>
              <w:rPr>
                <w:sz w:val="22"/>
                <w:szCs w:val="22"/>
              </w:rPr>
            </w:r>
          </w:p>
        </w:tc>
      </w:tr>
    </w:tbl>
    <w:p>
      <w:pPr>
        <w:pBdr/>
        <w:tabs>
          <w:tab w:val="left" w:leader="none" w:pos="90"/>
          <w:tab w:val="left" w:leader="none" w:pos="180"/>
        </w:tabs>
        <w:spacing w:after="120" w:before="120" w:line="264" w:lineRule="auto"/>
        <w:ind/>
        <w:jc w:val="both"/>
        <w:rPr>
          <w:highlight w:val="none"/>
          <w:lang w:val="it-IT"/>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dựa trên ba tài sản so sánh tương đồng với tài sản thẩm định giá, Tổ thẩm định phân tích các </w:t>
      </w:r>
      <w:r>
        <w:rPr>
          <w:lang w:val="it-IT"/>
        </w:rPr>
        <w:t xml:space="preserve">yếu tố giống và khác nhau giữa TSTĐ và TSSS, sau đó điều chỉnh giá của các tài sản so sánh theo các yếu tố điều chỉnh trên để đưa ra giá trị của tài sản thẩm định.</w:t>
      </w:r>
      <w:r>
        <w:rPr>
          <w:highlight w:val="none"/>
          <w:lang w:val="it-IT"/>
        </w:rPr>
      </w:r>
      <w:r>
        <w:rPr>
          <w:highlight w:val="none"/>
          <w:lang w:val="it-IT"/>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4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5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32"/>
        <w:gridCol w:w="1892"/>
        <w:gridCol w:w="937"/>
        <w:gridCol w:w="2203"/>
        <w:gridCol w:w="2219"/>
        <w:gridCol w:w="2219"/>
        <w:gridCol w:w="2220"/>
      </w:tblGrid>
      <w:tr>
        <w:trPr>
          <w:trHeight w:val="6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TSSS3</w:t>
            </w:r>
            <w:r/>
          </w:p>
        </w:tc>
      </w:tr>
      <w:tr>
        <w:trPr>
          <w:trHeight w:val="84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34.960.892.654</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40.810.892.654</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41.892.969.452</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174.804.463</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204.054.463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174.554.039</w:t>
            </w:r>
            <w:r/>
          </w:p>
        </w:tc>
      </w:tr>
      <w:tr>
        <w:trPr>
          <w:trHeight w:val="525"/>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204.054.463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174.554.039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đô thị</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Đất ở tại đô thị</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204.054.463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174.554.039 </w:t>
            </w:r>
            <w:r/>
          </w:p>
        </w:tc>
      </w:tr>
      <w:tr>
        <w:trPr>
          <w:trHeight w:val="13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khu đô thị, tài sản cách mặt đường Vành đanh 3.5 khoảng 500m</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khu đô thị, tài sản cách mặt đường Vành đanh 3.5 khoảng 450m</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khu đô thị, tài sản cách mặt đường Vành đanh 3.5 khoảng 500m</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Tài sản tiếp giáp đường nội khu đô thị, tài sản cách mặt đường Vành đanh 3.5 khoảng 300m</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204.054.463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174.554.039 </w:t>
            </w:r>
            <w:r/>
          </w:p>
        </w:tc>
      </w:tr>
      <w:tr>
        <w:trPr>
          <w:trHeight w:val="72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13m</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13m</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25m</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Khoảng 13m</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-15,00%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36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-30.608.169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173.446.294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174.554.039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Diện tích đất (m²)</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m2</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240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-5.236.621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173.446.294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169.317.418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m</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12</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5.236.621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173.446.294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174.554.039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 mặt tiền</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173.446.294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174.554.039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Vuông vức</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173.446.294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174.554.039 </w:t>
            </w:r>
            <w:r/>
          </w:p>
        </w:tc>
      </w:tr>
      <w:tr>
        <w:trPr>
          <w:trHeight w:val="56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C8</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Thích hợp để ở/Kinh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Thích hợp để ở/Kinh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Thích hợp để ở/Kinh doanh</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Thích hợp để ở/Kinh doanh</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173.446.294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174.554.039 </w:t>
            </w:r>
            <w:r/>
          </w:p>
        </w:tc>
      </w:tr>
      <w:tr>
        <w:trPr>
          <w:trHeight w:val="280"/>
        </w:trPr>
        <w:tc>
          <w:tcPr>
            <w:shd w:val="clear" w:color="ffffff" w:fill="ffffff"/>
            <w:tcBorders>
              <w:left w:val="single" w:color="000000" w:sz="6" w:space="0"/>
              <w:bottom w:val="single" w:color="000000" w:sz="4" w:space="0"/>
              <w:right w:val="single" w:color="000000" w:sz="6" w:space="0"/>
            </w:tcBorders>
            <w:tcMar>
              <w:left w:w="0" w:type="dxa"/>
              <w:top w:w="0" w:type="dxa"/>
              <w:right w:w="0" w:type="dxa"/>
              <w:bottom w:w="0" w:type="dxa"/>
            </w:tcMar>
            <w:tcW w:w="732"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Cảnh quan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View nội khu</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View nội khu</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View nội khu</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View công viên</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-3,00%</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-5.236.621 </w:t>
            </w:r>
            <w:r/>
          </w:p>
        </w:tc>
      </w:tr>
      <w:tr>
        <w:trPr>
          <w:trHeight w:val="280"/>
        </w:trPr>
        <w:tc>
          <w:tcPr>
            <w:tcBorders>
              <w:left w:val="single" w:color="000000" w:sz="6" w:space="0"/>
              <w:bottom w:val="single" w:color="000000" w:sz="4" w:space="0"/>
              <w:right w:val="single" w:color="000000" w:sz="6" w:space="0"/>
            </w:tcBorders>
            <w:vMerge w:val="continue"/>
            <w:textDirection w:val="lrTb"/>
            <w:noWrap w:val="false"/>
          </w:tcPr>
          <w:p>
            <w:pPr>
              <w:pBdr/>
              <w:spacing/>
              <w:ind/>
              <w:rPr/>
            </w:pPr>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173.446.294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169.317.418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tcPr>
          <w:p>
            <w:pPr>
              <w:pBdr/>
              <w:spacing w:after="0" w:before="0" w:line="240" w:lineRule="auto"/>
              <w:ind/>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174.804.463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173.446.294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169.317.418 </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665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172.522.725 </w:t>
            </w:r>
            <w:r/>
          </w:p>
        </w:tc>
      </w:tr>
      <w:tr>
        <w:trPr>
          <w:trHeight w:val="30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1,32%</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0,54%</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-1,86%</w:t>
            </w:r>
            <w:r/>
          </w:p>
        </w:tc>
      </w:tr>
      <w:tr>
        <w:trPr>
          <w:trHeight w:val="389"/>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6" w:space="0"/>
              <w:right w:val="single" w:color="000000" w:sz="6" w:space="0"/>
            </w:tcBorders>
            <w:tcMar>
              <w:left w:w="0" w:type="dxa"/>
              <w:top w:w="0" w:type="dxa"/>
              <w:right w:w="0" w:type="dxa"/>
              <w:bottom w:w="0" w:type="dxa"/>
            </w:tcMar>
            <w:tcW w:w="8915" w:type="dxa"/>
            <w:vAlign w:val="center"/>
            <w:textDirection w:val="lrTb"/>
            <w:noWrap w:val="false"/>
          </w:tcPr>
          <w:p>
            <w:pPr>
              <w:pBdr/>
              <w:spacing w:after="0" w:before="0" w:line="240" w:lineRule="auto"/>
              <w:ind/>
              <w:rPr/>
            </w:pPr>
            <w:r>
              <w:rPr>
                <w:rFonts w:ascii="Times New Roman" w:hAnsi="Times New Roman" w:eastAsia="Times New Roman" w:cs="Times New Roman"/>
                <w:b/>
                <w:color w:val="000000"/>
                <w:sz w:val="22"/>
              </w:rPr>
              <w:t xml:space="preserve">Tổng hợp các số liệu điều chỉnh tại mục C</w:t>
            </w:r>
            <w:r>
              <w:rPr>
                <w:rFonts w:ascii="Times New Roman" w:hAnsi="Times New Roman" w:eastAsia="Times New Roman" w:cs="Times New Roman"/>
                <w:b/>
                <w:color w:val="000000"/>
                <w:sz w:val="22"/>
              </w:rPr>
              <w:t xml:space="preserve">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30.608.169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2"/>
              </w:rPr>
              <w:t xml:space="preserve">15.709.864 </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r>
      <w:tr>
        <w:trPr>
          <w:trHeight w:val="28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- 3%</w:t>
            </w:r>
            <w:r/>
          </w:p>
        </w:tc>
      </w:tr>
      <w:tr>
        <w:trPr>
          <w:trHeight w:val="56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7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6" w:space="0"/>
              <w:right w:val="single" w:color="000000" w:sz="6" w:space="0"/>
            </w:tcBorders>
            <w:tcMar>
              <w:left w:w="0" w:type="dxa"/>
              <w:top w:w="0" w:type="dxa"/>
              <w:right w:w="0" w:type="dxa"/>
              <w:bottom w:w="0" w:type="dxa"/>
            </w:tcMar>
            <w:tcW w:w="1892"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6" w:space="0"/>
              <w:right w:val="single" w:color="000000" w:sz="6" w:space="0"/>
            </w:tcBorders>
            <w:tcMar>
              <w:left w:w="0" w:type="dxa"/>
              <w:top w:w="0" w:type="dxa"/>
              <w:right w:w="0" w:type="dxa"/>
              <w:bottom w:w="0" w:type="dxa"/>
            </w:tcMar>
            <w:tcW w:w="937"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6" w:space="0"/>
              <w:right w:val="single" w:color="000000" w:sz="6" w:space="0"/>
            </w:tcBorders>
            <w:tcMar>
              <w:left w:w="0" w:type="dxa"/>
              <w:top w:w="0" w:type="dxa"/>
              <w:right w:w="0" w:type="dxa"/>
              <w:bottom w:w="0" w:type="dxa"/>
            </w:tcMar>
            <w:tcW w:w="2203"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6" w:space="0"/>
              <w:right w:val="single" w:color="000000" w:sz="6" w:space="0"/>
            </w:tcBorders>
            <w:tcMar>
              <w:left w:w="0" w:type="dxa"/>
              <w:top w:w="0" w:type="dxa"/>
              <w:right w:w="0" w:type="dxa"/>
              <w:bottom w:w="0" w:type="dxa"/>
            </w:tcMar>
            <w:tcW w:w="221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30.608.169 </w:t>
            </w:r>
            <w:r/>
          </w:p>
        </w:tc>
        <w:tc>
          <w:tcPr>
            <w:shd w:val="clear" w:color="ffffff" w:fill="ffffff"/>
            <w:tcBorders>
              <w:bottom w:val="single" w:color="000000" w:sz="6" w:space="0"/>
              <w:right w:val="single" w:color="000000" w:sz="6" w:space="0"/>
            </w:tcBorders>
            <w:tcMar>
              <w:left w:w="0" w:type="dxa"/>
              <w:top w:w="0" w:type="dxa"/>
              <w:right w:w="0" w:type="dxa"/>
              <w:bottom w:w="0" w:type="dxa"/>
            </w:tcMar>
            <w:tcW w:w="2220"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5.236.621 </w:t>
            </w:r>
            <w:r/>
          </w:p>
        </w:tc>
      </w:tr>
    </w:tbl>
    <w:p>
      <w:pPr>
        <w:pBdr/>
        <w:spacing w:after="120" w:before="120" w:line="276" w:lineRule="auto"/>
        <w:ind/>
        <w:jc w:val="both"/>
        <w:rPr>
          <w:b/>
          <w:bCs/>
          <w:i/>
          <w:iCs/>
          <w:highlight w:val="none"/>
        </w:rPr>
      </w:pPr>
      <w:r>
        <w:rPr>
          <w:i/>
          <w:iCs/>
          <w:u w:val="single"/>
        </w:rPr>
        <w:t xml:space="preserve"> </w:t>
      </w:r>
      <w:r>
        <w:rPr>
          <w:b/>
          <w:bCs/>
          <w:i/>
          <w:iCs/>
          <w:u w:val="single"/>
        </w:rPr>
        <w:t xml:space="preserve">Về nguyên tắc khống chế</w:t>
      </w:r>
      <w:r>
        <w:rPr>
          <w:b/>
          <w:bCs/>
          <w:i/>
          <w:iCs/>
        </w:rPr>
        <w:t xml:space="preserve">: </w:t>
      </w:r>
      <w:r>
        <w:rPr>
          <w:b/>
          <w:bCs/>
          <w:i/>
          <w:iCs/>
          <w:highlight w:val="none"/>
        </w:rPr>
      </w:r>
      <w:r>
        <w:rPr>
          <w:b/>
          <w:bCs/>
          <w:i/>
          <w:iCs/>
          <w:highlight w:val="none"/>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từ </w:t>
      </w:r>
      <w:r>
        <w:t xml:space="preserve"> </w:t>
      </w:r>
      <w:r>
        <w:t xml:space="preserve">-1,86</w:t>
      </w:r>
      <w:r>
        <w:t xml:space="preserve">% đến </w:t>
      </w:r>
      <w:r>
        <w:t xml:space="preserve">1,32</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Style w:val="105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930"/>
        <w:gridCol w:w="2213"/>
        <w:gridCol w:w="2224"/>
        <w:gridCol w:w="2217"/>
        <w:gridCol w:w="2225"/>
      </w:tblGrid>
      <w:tr>
        <w:trPr>
          <w:trHeight w:val="9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Mức giá chỉ dẫn của các TSSS</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Trọng số của các TSSS sau điều chỉnh</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shd w:val="clear" w:color="ffffff" w:fill="ffffff"/>
            <w:tcBorders>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1</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174.804.463</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58.268.154</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shd w:val="clear" w:color="ffffff" w:fill="ffffff"/>
            <w:tcBorders>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2</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173.446.294</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57.815.431</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shd w:val="clear" w:color="ffffff" w:fill="ffffff"/>
            <w:tcBorders>
              <w:bottom w:val="single" w:color="000000" w:sz="6" w:space="0"/>
              <w:right w:val="single" w:color="000000" w:sz="6" w:space="0"/>
            </w:tcBorders>
            <w:tcMar>
              <w:left w:w="0" w:type="dxa"/>
              <w:top w:w="0" w:type="dxa"/>
              <w:right w:w="0" w:type="dxa"/>
              <w:bottom w:w="0" w:type="dxa"/>
            </w:tcMar>
            <w:tcW w:w="2213"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Tài sản so sánh 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169.317.418</w:t>
            </w:r>
            <w:r/>
          </w:p>
        </w:tc>
        <w:tc>
          <w:tcPr>
            <w:shd w:val="clear" w:color="ffffff" w:fill="ffffff"/>
            <w:tcBorders>
              <w:bottom w:val="single" w:color="000000" w:sz="6" w:space="0"/>
              <w:right w:val="single" w:color="000000" w:sz="6" w:space="0"/>
            </w:tcBorders>
            <w:tcMar>
              <w:left w:w="0" w:type="dxa"/>
              <w:top w:w="0" w:type="dxa"/>
              <w:right w:w="0" w:type="dxa"/>
              <w:bottom w:w="0" w:type="dxa"/>
            </w:tcMar>
            <w:tcW w:w="2217"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33,33%</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56.439.139</w:t>
            </w:r>
            <w:r/>
          </w:p>
        </w:tc>
      </w:tr>
      <w:tr>
        <w:trPr>
          <w:trHeight w:val="300"/>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bình quân theo trọng số:</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172.522.725</w:t>
            </w:r>
            <w:r/>
          </w:p>
        </w:tc>
      </w:tr>
      <w:tr>
        <w:trPr>
          <w:trHeight w:val="300"/>
        </w:trPr>
        <w:tc>
          <w:tcPr>
            <w:gridSpan w:val="4"/>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shd w:val="clear" w:color="ffffff" w:fill="ffffff"/>
            <w:tcBorders>
              <w:bottom w:val="single" w:color="000000" w:sz="6" w:space="0"/>
              <w:right w:val="single" w:color="000000" w:sz="6" w:space="0"/>
            </w:tcBorders>
            <w:tcMar>
              <w:left w:w="0" w:type="dxa"/>
              <w:top w:w="0" w:type="dxa"/>
              <w:right w:w="0" w:type="dxa"/>
              <w:bottom w:w="0" w:type="dxa"/>
            </w:tcMar>
            <w:tcW w:w="222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172.000.000</w:t>
            </w:r>
            <w:r/>
          </w:p>
        </w:tc>
      </w:tr>
    </w:tbl>
    <w:p>
      <w:pPr>
        <w:pBdr/>
        <w:spacing w:after="120" w:before="120" w:line="276" w:lineRule="auto"/>
        <w:ind/>
        <w:jc w:val="both"/>
        <w:rPr>
          <w:b/>
          <w:bCs/>
          <w:highlight w:val="none"/>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172.000.000</w:t>
      </w:r>
      <w:r>
        <w:rPr>
          <w:b/>
          <w:bCs/>
          <w:color w:val="000000" w:themeColor="text1"/>
        </w:rPr>
        <w:t xml:space="preserve"> </w:t>
      </w:r>
      <w:r>
        <w:rPr>
          <w:b/>
          <w:bCs/>
        </w:rPr>
        <w:t xml:space="preserve">đồng/m².</w:t>
      </w:r>
      <w:r>
        <w:rPr>
          <w:b/>
          <w:bCs/>
          <w:highlight w:val="none"/>
        </w:rPr>
      </w:r>
      <w:r>
        <w:rPr>
          <w:b/>
          <w:bCs/>
          <w:highlight w:val="none"/>
        </w:rPr>
      </w:r>
    </w:p>
    <w:p>
      <w:pPr>
        <w:pStyle w:val="1047"/>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r>
        <w:rPr>
          <w:b/>
          <w:bCs/>
        </w:rPr>
      </w:r>
    </w:p>
    <w:p>
      <w:pPr>
        <w:numPr>
          <w:ilvl w:val="0"/>
          <w:numId w:val="41"/>
        </w:numPr>
        <w:pBdr>
          <w:top w:val="none" w:color="000000" w:sz="4" w:space="0"/>
          <w:left w:val="none" w:color="000000" w:sz="4" w:space="0"/>
          <w:bottom w:val="none" w:color="000000" w:sz="4" w:space="0"/>
          <w:right w:val="none" w:color="000000" w:sz="4" w:space="0"/>
        </w:pBdr>
        <w:spacing w:after="120" w:before="120" w:line="312" w:lineRule="auto"/>
        <w:ind/>
        <w:jc w:val="both"/>
        <w:rPr/>
      </w:pPr>
      <w:r>
        <w:rPr>
          <w:rFonts w:ascii="Times New Roman" w:hAnsi="Times New Roman" w:eastAsia="Times New Roman" w:cs="Times New Roman"/>
          <w:b/>
          <w:color w:val="000000"/>
          <w:sz w:val="24"/>
        </w:rPr>
        <w:t xml:space="preserve">Xác định đơn giá của công trình xây dựng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firstLine="426" w:left="0"/>
        <w:jc w:val="both"/>
        <w:rPr/>
      </w:pPr>
      <w:r>
        <w:rPr>
          <w:rFonts w:ascii="Times New Roman" w:hAnsi="Times New Roman" w:eastAsia="Times New Roman" w:cs="Times New Roman"/>
          <w:color w:val="000000"/>
          <w:sz w:val="24"/>
        </w:rPr>
        <w:t xml:space="preserve">Qua tham khảo thị </w:t>
      </w:r>
      <w:r>
        <w:rPr>
          <w:rFonts w:ascii="Times New Roman" w:hAnsi="Times New Roman" w:eastAsia="Times New Roman" w:cs="Times New Roman"/>
          <w:color w:val="000000"/>
          <w:sz w:val="24"/>
        </w:rPr>
        <w:t xml:space="preserve">trường về đơn giá xây dựng mới đối với công trình nhà biệt thự 3,5 tầng (Xây thô), cân nhắc và xem xét với mức độ hoàn thiện của công trình xây dựng hiện có, tổ thẩm định nhận thấy đơn giá vận dụng theo Quyết định 425/QĐ-BXD năm 2026 công bố suất vốn đầu t</w:t>
      </w:r>
      <w:r>
        <w:rPr>
          <w:rFonts w:ascii="Times New Roman" w:hAnsi="Times New Roman" w:eastAsia="Times New Roman" w:cs="Times New Roman"/>
          <w:color w:val="000000"/>
          <w:sz w:val="24"/>
        </w:rPr>
        <w:t xml:space="preserve">ư xây dựng và giá xây dựng tổng hợp bộ phận kết cấu công trình 2025 là khá phù hợp với thị trường, theo đó:</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firstLine="426" w:left="0"/>
        <w:jc w:val="both"/>
        <w:rPr/>
      </w:pPr>
      <w:r>
        <w:rPr>
          <w:rFonts w:ascii="Times New Roman" w:hAnsi="Times New Roman" w:eastAsia="Times New Roman" w:cs="Times New Roman"/>
          <w:i/>
          <w:color w:val="000000"/>
          <w:sz w:val="24"/>
        </w:rPr>
        <w:t xml:space="preserve">“Suất vốn đầu tư xây dựng </w:t>
      </w:r>
      <w:r>
        <w:rPr>
          <w:rFonts w:ascii="Times New Roman" w:hAnsi="Times New Roman" w:eastAsia="Times New Roman" w:cs="Times New Roman"/>
          <w:i/>
          <w:color w:val="000000"/>
          <w:sz w:val="24"/>
        </w:rPr>
        <w:t xml:space="preserve">Nhà kiểu biệt thự từ 2 đến 3 tầng, kết cấu khung chịu lực BTCT; tường bao xây gạch; sàn, mái BTCT đổ tại chỗ không có tầng hầm</w:t>
      </w:r>
      <w:r>
        <w:rPr>
          <w:rFonts w:ascii="Times New Roman" w:hAnsi="Times New Roman" w:eastAsia="Times New Roman" w:cs="Times New Roman"/>
          <w:i/>
          <w:color w:val="000000"/>
          <w:sz w:val="24"/>
        </w:rPr>
        <w:t xml:space="preserve">, có đơn giá là 10.517.000 đồng/m² sàn.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12" w:lineRule="auto"/>
        <w:ind w:right="0" w:firstLine="426" w:left="0"/>
        <w:jc w:val="both"/>
        <w:rPr>
          <w:rFonts w:ascii="Times New Roman" w:hAnsi="Times New Roman" w:eastAsia="Times New Roman" w:cs="Times New Roman"/>
          <w:bCs/>
          <w:i/>
          <w:color w:val="000000"/>
          <w:sz w:val="24"/>
          <w:szCs w:val="24"/>
          <w:highlight w:val="none"/>
        </w:rPr>
      </w:pPr>
      <w:r>
        <w:rPr>
          <w:rFonts w:ascii="Times New Roman" w:hAnsi="Times New Roman" w:eastAsia="Times New Roman" w:cs="Times New Roman"/>
          <w:i/>
          <w:color w:val="000000"/>
          <w:sz w:val="24"/>
        </w:rPr>
        <w:t xml:space="preserve">Hệ số điều chỉnh vùng cho Suất đầu tư: Thành phố Hà Nội thuộc vùng 7 có hệ số điều chỉnh là 0,952.”</w:t>
      </w:r>
      <w:r>
        <w:rPr>
          <w:rFonts w:ascii="Times New Roman" w:hAnsi="Times New Roman" w:eastAsia="Times New Roman" w:cs="Times New Roman"/>
          <w:bCs/>
          <w:i/>
          <w:color w:val="000000"/>
          <w:sz w:val="24"/>
          <w:szCs w:val="24"/>
          <w:highlight w:val="none"/>
        </w:rPr>
      </w:r>
      <w:r>
        <w:rPr>
          <w:rFonts w:ascii="Times New Roman" w:hAnsi="Times New Roman" w:eastAsia="Times New Roman" w:cs="Times New Roman"/>
          <w:bCs/>
          <w:i/>
          <w:color w:val="000000"/>
          <w:sz w:val="24"/>
          <w:szCs w:val="24"/>
          <w:highlight w:val="none"/>
        </w:rPr>
      </w:r>
    </w:p>
    <w:p>
      <w:pPr>
        <w:pBdr>
          <w:top w:val="none" w:color="000000" w:sz="4" w:space="0"/>
          <w:left w:val="none" w:color="000000" w:sz="4" w:space="0"/>
          <w:bottom w:val="none" w:color="000000" w:sz="4" w:space="0"/>
          <w:right w:val="none" w:color="000000" w:sz="4" w:space="0"/>
        </w:pBdr>
        <w:spacing w:line="360" w:lineRule="auto"/>
        <w:ind w:right="0" w:firstLine="425" w:left="0"/>
        <w:jc w:val="both"/>
        <w:rPr>
          <w:rFonts w:ascii="Times New Roman" w:hAnsi="Times New Roman" w:eastAsia="Times New Roman" w:cs="Times New Roman"/>
          <w:bCs/>
          <w:i/>
          <w:color w:val="000000"/>
          <w:sz w:val="24"/>
          <w:szCs w:val="24"/>
          <w:highlight w:val="none"/>
        </w:rPr>
      </w:pPr>
      <w:r>
        <w:rPr>
          <w:rFonts w:ascii="Times New Roman" w:hAnsi="Times New Roman" w:eastAsia="Times New Roman" w:cs="Times New Roman"/>
          <w:i/>
          <w:color w:val="000000"/>
          <w:sz w:val="24"/>
        </w:rPr>
        <w:t xml:space="preserve">Theo khảo sát thực tế, tổ thẩm định nhận thấy công trình xây dựng hiện vẫn đang xây thô, do đó tổ thẩm định đánh giá tỉ lệ hoàn thiện của công trình là: 50%.</w:t>
      </w:r>
      <w:r>
        <w:rPr>
          <w:rFonts w:ascii="Times New Roman" w:hAnsi="Times New Roman" w:eastAsia="Times New Roman" w:cs="Times New Roman"/>
          <w:bCs/>
          <w:i/>
          <w:color w:val="000000"/>
          <w:sz w:val="24"/>
          <w:szCs w:val="24"/>
          <w:highlight w:val="none"/>
        </w:rPr>
      </w:r>
      <w:r>
        <w:rPr>
          <w:rFonts w:ascii="Times New Roman" w:hAnsi="Times New Roman" w:eastAsia="Times New Roman" w:cs="Times New Roman"/>
          <w:bCs/>
          <w:i/>
          <w:color w:val="000000"/>
          <w:sz w:val="24"/>
          <w:szCs w:val="24"/>
          <w:highlight w:val="none"/>
        </w:rPr>
      </w:r>
    </w:p>
    <w:p>
      <w:pPr>
        <w:pBdr>
          <w:top w:val="none" w:color="000000" w:sz="4" w:space="0"/>
          <w:left w:val="none" w:color="000000" w:sz="4" w:space="0"/>
          <w:bottom w:val="none" w:color="000000" w:sz="4" w:space="0"/>
          <w:right w:val="none" w:color="000000" w:sz="4" w:space="0"/>
        </w:pBdr>
        <w:spacing w:line="360" w:lineRule="auto"/>
        <w:ind w:right="0" w:firstLine="0" w:left="0"/>
        <w:jc w:val="both"/>
        <w:rPr>
          <w:rFonts w:ascii="Times New Roman" w:hAnsi="Times New Roman" w:eastAsia="Times New Roman" w:cs="Times New Roman"/>
          <w:bCs/>
          <w:i/>
          <w:color w:val="000000"/>
          <w:sz w:val="24"/>
          <w:szCs w:val="24"/>
        </w:rPr>
      </w:pPr>
      <w:r>
        <w:rPr>
          <w:rFonts w:ascii="Times New Roman" w:hAnsi="Times New Roman" w:eastAsia="Times New Roman" w:cs="Times New Roman"/>
          <w:i/>
          <w:color w:val="000000"/>
          <w:sz w:val="24"/>
        </w:rPr>
        <w:t xml:space="preserve">Do đó, Tổ thẩm định xác định đơn giá xây mới của công trình xây dựng là: (Suất đầu tư xây dựng) x (Hệ số vùng) = 10.517.000 x 0,952 x 50% = 5.006.092</w:t>
      </w:r>
      <w:r>
        <w:rPr>
          <w:rFonts w:ascii="Times New Roman" w:hAnsi="Times New Roman" w:eastAsia="Times New Roman" w:cs="Times New Roman"/>
          <w:color w:val="000000"/>
          <w:sz w:val="24"/>
        </w:rPr>
        <w:t xml:space="preserve"> đồng</w:t>
      </w:r>
      <w:r>
        <w:rPr>
          <w:rFonts w:ascii="Times New Roman" w:hAnsi="Times New Roman" w:eastAsia="Times New Roman" w:cs="Times New Roman"/>
          <w:i/>
          <w:color w:val="000000"/>
          <w:sz w:val="24"/>
        </w:rPr>
        <w:t xml:space="preserve">/m² sàn.</w:t>
      </w:r>
      <w:r>
        <w:rPr>
          <w:rFonts w:ascii="Times New Roman" w:hAnsi="Times New Roman" w:eastAsia="Times New Roman" w:cs="Times New Roman"/>
          <w:bCs/>
          <w:i/>
          <w:color w:val="000000"/>
          <w:sz w:val="24"/>
          <w:szCs w:val="24"/>
        </w:rPr>
      </w:r>
      <w:r>
        <w:rPr>
          <w:rFonts w:ascii="Times New Roman" w:hAnsi="Times New Roman" w:eastAsia="Times New Roman" w:cs="Times New Roman"/>
          <w:bCs/>
          <w:i/>
          <w:color w:val="000000"/>
          <w:sz w:val="24"/>
          <w:szCs w:val="24"/>
        </w:rPr>
      </w:r>
    </w:p>
    <w:p>
      <w:pPr>
        <w:numPr>
          <w:ilvl w:val="0"/>
          <w:numId w:val="42"/>
        </w:numPr>
        <w:pBdr>
          <w:top w:val="none" w:color="000000" w:sz="4" w:space="0"/>
          <w:left w:val="none" w:color="000000" w:sz="4" w:space="0"/>
          <w:bottom w:val="none" w:color="000000" w:sz="4" w:space="0"/>
          <w:right w:val="none" w:color="000000" w:sz="4" w:space="0"/>
        </w:pBdr>
        <w:spacing w:after="120" w:before="120" w:line="264" w:lineRule="auto"/>
        <w:ind/>
        <w:jc w:val="both"/>
        <w:rPr/>
      </w:pPr>
      <w:r>
        <w:rPr>
          <w:rFonts w:ascii="Times New Roman" w:hAnsi="Times New Roman" w:eastAsia="Times New Roman" w:cs="Times New Roman"/>
          <w:b/>
          <w:color w:val="000000"/>
          <w:sz w:val="24"/>
        </w:rPr>
        <w:t xml:space="preserve">Xác định giá trị hao mòn theo kỹ thuật tuổi đời:</w:t>
      </w:r>
      <w:r/>
    </w:p>
    <w:p>
      <w:pPr>
        <w:pBdr>
          <w:top w:val="none" w:color="000000" w:sz="4" w:space="0"/>
          <w:left w:val="none" w:color="000000" w:sz="4" w:space="0"/>
          <w:bottom w:val="none" w:color="000000" w:sz="4" w:space="0"/>
          <w:right w:val="none" w:color="000000" w:sz="4" w:space="0"/>
        </w:pBdr>
        <w:spacing w:after="80" w:before="80" w:line="264" w:lineRule="auto"/>
        <w:ind w:right="0" w:firstLine="284" w:left="0"/>
        <w:jc w:val="both"/>
        <w:rPr/>
      </w:pPr>
      <w:r>
        <w:rPr>
          <w:rFonts w:ascii="Times New Roman" w:hAnsi="Times New Roman" w:eastAsia="Times New Roman" w:cs="Times New Roman"/>
          <w:color w:val="000000"/>
          <w:spacing w:val="2"/>
          <w:sz w:val="24"/>
        </w:rPr>
        <w:t xml:space="preserve">Tỉ lệ hao mòn được tính toán theo phương pháp tuổi đời:</w:t>
      </w:r>
      <w:r/>
    </w:p>
    <w:p>
      <w:pPr>
        <w:pBdr>
          <w:top w:val="none" w:color="000000" w:sz="4" w:space="0"/>
          <w:left w:val="none" w:color="000000" w:sz="4" w:space="0"/>
          <w:bottom w:val="none" w:color="000000" w:sz="4" w:space="0"/>
          <w:right w:val="none" w:color="000000" w:sz="4" w:space="0"/>
        </w:pBdr>
        <w:spacing w:after="80" w:before="80" w:line="264" w:lineRule="auto"/>
        <w:ind w:right="0" w:firstLine="284" w:left="0"/>
        <w:jc w:val="both"/>
        <w:rPr/>
      </w:pPr>
      <w:r>
        <w:rPr>
          <w:rFonts w:ascii="Times New Roman" w:hAnsi="Times New Roman" w:eastAsia="Times New Roman" w:cs="Times New Roman"/>
          <w:color w:val="000000"/>
          <w:spacing w:val="2"/>
          <w:sz w:val="24"/>
        </w:rPr>
        <w:t xml:space="preserve">Công thức: Tỉ lệ hao mòn = Tuổi đời hiệu quả/ Tuổi đời kinh tế</w:t>
      </w:r>
      <w:r/>
    </w:p>
    <w:p>
      <w:pPr>
        <w:pBdr>
          <w:top w:val="none" w:color="000000" w:sz="4" w:space="0"/>
          <w:left w:val="none" w:color="000000" w:sz="4" w:space="0"/>
          <w:bottom w:val="none" w:color="000000" w:sz="4" w:space="0"/>
          <w:right w:val="none" w:color="000000" w:sz="4" w:space="0"/>
        </w:pBdr>
        <w:spacing w:after="80" w:before="80" w:line="264" w:lineRule="auto"/>
        <w:ind w:right="0" w:firstLine="284" w:left="0"/>
        <w:jc w:val="both"/>
        <w:rPr/>
      </w:pPr>
      <w:r>
        <w:rPr>
          <w:rFonts w:ascii="Times New Roman" w:hAnsi="Times New Roman" w:eastAsia="Times New Roman" w:cs="Times New Roman"/>
          <w:color w:val="000000"/>
          <w:spacing w:val="2"/>
          <w:sz w:val="24"/>
        </w:rPr>
        <w:t xml:space="preserve">Tổ thẩm định giả định rằng công trình xây dựng hoạt động liên tục trong khoảng thời gian trích khấu hao được duy tu, sửa chữa định kỳ và đúng quy trình nên tuổi đời hiệu quả bằng tuổi đời thực tế. Theo thông tin khách hàng cung cấp, công trình được hoàn th</w:t>
      </w:r>
      <w:r>
        <w:rPr>
          <w:rFonts w:ascii="Times New Roman" w:hAnsi="Times New Roman" w:eastAsia="Times New Roman" w:cs="Times New Roman"/>
          <w:color w:val="000000"/>
          <w:spacing w:val="2"/>
          <w:sz w:val="24"/>
        </w:rPr>
        <w:t xml:space="preserve">ành xây thô năm 2020, do vậy tổ thẩm định xác định tuổi đời hiệu quả của công trình là khoảng 6 năm.</w:t>
      </w:r>
      <w:r/>
    </w:p>
    <w:p>
      <w:pPr>
        <w:pBdr>
          <w:top w:val="none" w:color="000000" w:sz="4" w:space="0"/>
          <w:left w:val="none" w:color="000000" w:sz="4" w:space="0"/>
          <w:bottom w:val="none" w:color="000000" w:sz="4" w:space="0"/>
          <w:right w:val="none" w:color="000000" w:sz="4" w:space="0"/>
        </w:pBdr>
        <w:spacing w:after="80" w:before="80" w:line="264" w:lineRule="auto"/>
        <w:ind w:right="0" w:firstLine="284" w:left="0"/>
        <w:jc w:val="both"/>
        <w:rPr/>
      </w:pPr>
      <w:r>
        <w:rPr>
          <w:rFonts w:ascii="Times New Roman" w:hAnsi="Times New Roman" w:eastAsia="Times New Roman" w:cs="Times New Roman"/>
          <w:color w:val="000000"/>
          <w:sz w:val="24"/>
        </w:rPr>
        <w:t xml:space="preserve">Vận dụng thời gian trích khấu hao TSCĐ tại Thông tư 45/2013/TT-BTC của Bộ Tài Chính về việc hướng dẫn chế độ quản lý, sử dụng và trích khấu hao tài sản cố định ngày 25/4/2013, kết hợp với khảo sát thông tin thị trường và quan sát hiện trạng thực tế công tr</w:t>
      </w:r>
      <w:r>
        <w:rPr>
          <w:rFonts w:ascii="Times New Roman" w:hAnsi="Times New Roman" w:eastAsia="Times New Roman" w:cs="Times New Roman"/>
          <w:color w:val="000000"/>
          <w:sz w:val="24"/>
        </w:rPr>
        <w:t xml:space="preserve">ình, tổ thẩm định xác định tuổi đời kinh tế của tài sản thẩm định là 50 năm.</w:t>
      </w:r>
      <w:r/>
    </w:p>
    <w:tbl>
      <w:tblPr>
        <w:tblStyle w:val="1051"/>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871"/>
        <w:gridCol w:w="1531"/>
        <w:gridCol w:w="1531"/>
        <w:gridCol w:w="1531"/>
        <w:gridCol w:w="1531"/>
        <w:gridCol w:w="1531"/>
      </w:tblGrid>
      <w:tr>
        <w:trPr>
          <w:trHeight w:val="624"/>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Tên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b/>
                <w:color w:val="000000"/>
                <w:sz w:val="24"/>
              </w:rPr>
              <w:t xml:space="preserve">Năm xây dựng hoàn thành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Thời điểm thẩm định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Tuổi đời kinh tế (năm)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Tuổi đời hiệu quả (năm)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4"/>
              </w:rPr>
              <w:t xml:space="preserve">Tỉ lệ hao mòn (%)</w:t>
            </w:r>
            <w:r/>
          </w:p>
        </w:tc>
      </w:tr>
      <w:tr>
        <w:trPr>
          <w:trHeight w:val="312"/>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7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Nhà biệt thự (xây thô)</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2020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2026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50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3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color w:val="000000"/>
                <w:sz w:val="24"/>
              </w:rPr>
              <w:t xml:space="preserve">12%</w:t>
            </w:r>
            <w:r/>
          </w:p>
        </w:tc>
      </w:tr>
    </w:tbl>
    <w:p>
      <w:pPr>
        <w:numPr>
          <w:ilvl w:val="0"/>
          <w:numId w:val="43"/>
        </w:numPr>
        <w:pBdr>
          <w:top w:val="none" w:color="000000" w:sz="4" w:space="0"/>
          <w:left w:val="none" w:color="000000" w:sz="4" w:space="0"/>
          <w:bottom w:val="none" w:color="000000" w:sz="4" w:space="0"/>
          <w:right w:val="none" w:color="000000" w:sz="4" w:space="0"/>
        </w:pBdr>
        <w:spacing w:after="120" w:before="240" w:line="360" w:lineRule="auto"/>
        <w:ind/>
        <w:jc w:val="both"/>
        <w:rPr/>
      </w:pPr>
      <w:r>
        <w:rPr>
          <w:rFonts w:ascii="Times New Roman" w:hAnsi="Times New Roman" w:eastAsia="Times New Roman" w:cs="Times New Roman"/>
          <w:b/>
          <w:color w:val="000000"/>
          <w:sz w:val="24"/>
        </w:rPr>
        <w:t xml:space="preserve">Xác định giá trị của công trình xây dựng trên đất:</w:t>
      </w:r>
      <w:r/>
    </w:p>
    <w:p>
      <w:pPr>
        <w:pBdr>
          <w:top w:val="none" w:color="000000" w:sz="4" w:space="0"/>
          <w:left w:val="none" w:color="000000" w:sz="4" w:space="0"/>
          <w:bottom w:val="none" w:color="000000" w:sz="4" w:space="0"/>
          <w:right w:val="none" w:color="000000" w:sz="4" w:space="0"/>
        </w:pBdr>
        <w:spacing w:after="80" w:before="80" w:line="360" w:lineRule="auto"/>
        <w:ind w:right="0" w:firstLine="284" w:left="0"/>
        <w:jc w:val="both"/>
        <w:rPr/>
      </w:pPr>
      <w:r>
        <w:rPr>
          <w:rFonts w:ascii="Times New Roman" w:hAnsi="Times New Roman" w:eastAsia="Times New Roman" w:cs="Times New Roman"/>
          <w:color w:val="000000"/>
          <w:spacing w:val="2"/>
          <w:sz w:val="24"/>
        </w:rPr>
        <w:t xml:space="preserve">Công thức:</w:t>
      </w:r>
      <w:r/>
    </w:p>
    <w:tbl>
      <w:tblPr>
        <w:tblStyle w:val="1051"/>
        <w:tblInd w:w="135" w:type="dxa"/>
        <w:tblW w:w="0" w:type="auto"/>
        <w:tblCellMar>
          <w:left w:w="0" w:type="dxa"/>
          <w:top w:w="0" w:type="dxa"/>
          <w:right w:w="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shd w:val="clear" w:color="ffffff" w:fill="ffffff"/>
        <w:tblLayout w:type="fixed"/>
        <w:tblLook w:val="04A0" w:firstRow="1" w:lastRow="0" w:firstColumn="1" w:lastColumn="0" w:noHBand="0" w:noVBand="1"/>
      </w:tblPr>
      <w:tblGrid>
        <w:gridCol w:w="1736"/>
        <w:gridCol w:w="425"/>
        <w:gridCol w:w="3969"/>
        <w:gridCol w:w="425"/>
        <w:gridCol w:w="2835"/>
      </w:tblGrid>
      <w:tr>
        <w:trPr>
          <w:trHeight w:val="794"/>
        </w:trPr>
        <w:tc>
          <w:tcPr>
            <w:tcBorders/>
            <w:tcMar>
              <w:left w:w="108" w:type="dxa"/>
              <w:top w:w="0" w:type="dxa"/>
              <w:right w:w="108" w:type="dxa"/>
              <w:bottom w:w="0" w:type="dxa"/>
            </w:tcMar>
            <w:tcW w:w="173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0" w:left="0"/>
              <w:jc w:val="center"/>
              <w:rPr/>
            </w:pPr>
            <w:r>
              <w:rPr>
                <w:rFonts w:ascii="Times New Roman" w:hAnsi="Times New Roman" w:eastAsia="Times New Roman" w:cs="Times New Roman"/>
                <w:color w:val="000000"/>
                <w:sz w:val="24"/>
              </w:rPr>
              <w:t xml:space="preserve">Giá trị ước tính của tài sản</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396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0" w:left="0"/>
              <w:jc w:val="center"/>
              <w:rPr/>
            </w:pPr>
            <w:r>
              <w:rPr>
                <w:rFonts w:ascii="Times New Roman" w:hAnsi="Times New Roman" w:eastAsia="Times New Roman" w:cs="Times New Roman"/>
                <w:color w:val="000000"/>
                <w:sz w:val="24"/>
              </w:rPr>
              <w:t xml:space="preserve">Chi phí thay thế </w:t>
            </w:r>
            <w:r/>
          </w:p>
          <w:p>
            <w:pPr>
              <w:pBdr>
                <w:top w:val="none" w:color="000000" w:sz="4" w:space="0"/>
                <w:left w:val="none" w:color="000000" w:sz="4" w:space="0"/>
                <w:bottom w:val="none" w:color="000000" w:sz="4" w:space="0"/>
                <w:right w:val="none" w:color="000000" w:sz="4" w:space="0"/>
              </w:pBdr>
              <w:shd w:val="clear" w:color="ffffff" w:fill="ffffff"/>
              <w:spacing w:after="120" w:before="0" w:line="360" w:lineRule="auto"/>
              <w:ind w:right="0" w:firstLine="0" w:left="0"/>
              <w:jc w:val="center"/>
              <w:rPr/>
            </w:pPr>
            <w:r>
              <w:rPr>
                <w:rFonts w:ascii="Times New Roman" w:hAnsi="Times New Roman" w:eastAsia="Times New Roman" w:cs="Times New Roman"/>
                <w:color w:val="000000"/>
                <w:sz w:val="24"/>
              </w:rPr>
              <w:t xml:space="preserve">(Giá trị xây mới tài sản-đã bao gồm lợi nhuận của nhà sản xuất/nhà đầu tư)</w:t>
            </w:r>
            <w:r/>
          </w:p>
        </w:tc>
        <w:tc>
          <w:tcPr>
            <w:tcBorders/>
            <w:tcMar>
              <w:left w:w="108" w:type="dxa"/>
              <w:top w:w="0" w:type="dxa"/>
              <w:right w:w="108" w:type="dxa"/>
              <w:bottom w:w="0" w:type="dxa"/>
            </w:tcMar>
            <w:tcW w:w="42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283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0" w:before="0" w:line="360" w:lineRule="auto"/>
              <w:ind w:right="0" w:firstLine="0" w:left="0"/>
              <w:jc w:val="center"/>
              <w:rPr/>
            </w:pPr>
            <w:r>
              <w:rPr>
                <w:rFonts w:ascii="Times New Roman" w:hAnsi="Times New Roman" w:eastAsia="Times New Roman" w:cs="Times New Roman"/>
                <w:color w:val="000000"/>
                <w:sz w:val="24"/>
              </w:rPr>
              <w:t xml:space="preserve">Tổng giá trị hao mòn </w:t>
            </w:r>
            <w:r/>
          </w:p>
        </w:tc>
      </w:tr>
    </w:tbl>
    <w:tbl>
      <w:tblPr>
        <w:tblStyle w:val="105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445"/>
        <w:gridCol w:w="850"/>
        <w:gridCol w:w="1276"/>
        <w:gridCol w:w="1701"/>
        <w:gridCol w:w="1134"/>
        <w:gridCol w:w="1417"/>
        <w:gridCol w:w="1702"/>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Diện tích sàn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Đơn giá xây dựng mới (đồng/m² sàn)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Chi phí thay thế (đồng)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Tỷ lệ hao mòn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Giá trị hao mòn (đồng)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Giá trị thẩm định tại thời điểm thẩm định giá (đồng)</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4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5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(4) = (2) * (3)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(6)=(4)*(5)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60" w:before="60"/>
              <w:ind w:right="0" w:firstLine="0" w:left="0"/>
              <w:jc w:val="center"/>
              <w:rPr/>
            </w:pPr>
            <w:r>
              <w:rPr>
                <w:rFonts w:ascii="Times New Roman" w:hAnsi="Times New Roman" w:eastAsia="Times New Roman" w:cs="Times New Roman"/>
                <w:b/>
                <w:color w:val="000000"/>
                <w:sz w:val="22"/>
              </w:rPr>
              <w:t xml:space="preserve">(7) = (4) - (6)</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Nhà biệt thự</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60" w:before="60"/>
              <w:ind w:right="0" w:firstLine="0" w:left="0"/>
              <w:jc w:val="center"/>
              <w:rPr>
                <w:rFonts w:ascii="Times New Roman" w:hAnsi="Times New Roman" w:eastAsia="Times New Roman" w:cs="Times New Roman"/>
                <w:sz w:val="24"/>
                <w:szCs w:val="24"/>
              </w:rPr>
            </w:pPr>
            <w:r>
              <w:rPr>
                <w:rFonts w:ascii="Times New Roman" w:hAnsi="Times New Roman" w:eastAsia="Times New Roman" w:cs="Times New Roman"/>
                <w:color w:val="000000"/>
                <w:sz w:val="24"/>
              </w:rPr>
              <w:t xml:space="preserve">( xây thô)</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50" w:type="dxa"/>
            <w:vAlign w:val="center"/>
            <w:textDirection w:val="lrTb"/>
            <w:noWrap/>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291,0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276" w:type="dxa"/>
            <w:vAlign w:val="center"/>
            <w:textDirection w:val="lrTb"/>
            <w:noWrap/>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5.006.092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1.456.772.772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1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41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174.812.733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02"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1.281.960.039 </w:t>
            </w:r>
            <w:r/>
          </w:p>
        </w:tc>
      </w:tr>
    </w:tbl>
    <w:p>
      <w:pPr>
        <w:pStyle w:val="1047"/>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47"/>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rPr>
          <w:color w:val="000000" w:themeColor="text1"/>
          <w:lang w:val="pt-BR"/>
        </w:rPr>
        <w:t xml:space="preserve">tháng 06/2026</w:t>
      </w:r>
      <w:r>
        <w:t xml:space="preserve"> </w:t>
      </w:r>
      <w:r>
        <w:t xml:space="preserve">ước tính </w:t>
      </w:r>
      <w:r>
        <w:t xml:space="preserve">như sau</w:t>
      </w:r>
      <w:r>
        <w:t xml:space="preserve">:</w:t>
      </w:r>
      <w:r/>
    </w:p>
    <w:tbl>
      <w:tblPr>
        <w:tblStyle w:val="1051"/>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5"/>
        <w:gridCol w:w="2884"/>
        <w:gridCol w:w="1216"/>
        <w:gridCol w:w="1454"/>
        <w:gridCol w:w="1499"/>
        <w:gridCol w:w="2027"/>
      </w:tblGrid>
      <w:tr>
        <w:trPr>
          <w:trHeight w:val="73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8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21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45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49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Hệ số/</w:t>
              <w:br/>
              <w:t xml:space="preserve">CLCL (%)</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02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(đồng)</w:t>
            </w:r>
            <w:r/>
          </w:p>
        </w:tc>
      </w:tr>
      <w:tr>
        <w:trPr>
          <w:trHeight w:val="2117"/>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4"/>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7053"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và tài sản gắn liền với đất tại thửa đất số: ./., tờ bản đồ số: ./., có địa chỉ: BT13-25, Khu đô thị mới Phú Lương, phường Phú Lương, quận Hà Đông, Thành phố Hà Nội (Nay là: Phường Kiến Hưng, thành phố Hà Nội) theo Giấy chứng nhận quyền s</w:t>
            </w:r>
            <w:r>
              <w:rPr>
                <w:rFonts w:ascii="Times New Roman" w:hAnsi="Times New Roman" w:eastAsia="Times New Roman" w:cs="Times New Roman"/>
                <w:b/>
                <w:color w:val="000000"/>
                <w:sz w:val="24"/>
              </w:rPr>
              <w:t xml:space="preserve">ử dụng đất quyền sở hữu nhà ở và tài sản khác gắn liền với đất số: DC 635668, số vào sổ cấp GCN: CS 41864 do Sở Tài nguyên và Môi trường thành phố Hà Nội cấp ngày 29/06/2021; Chủ sử dụng đất là Ông Trịnh Ngọc Hương và bà Đào Thị Lan Anh.</w:t>
            </w:r>
            <w:r/>
          </w:p>
        </w:tc>
        <w:tc>
          <w:tcPr>
            <w:shd w:val="clear" w:color="ffffff" w:fill="ffffff"/>
            <w:tcBorders>
              <w:bottom w:val="single" w:color="000000" w:sz="6" w:space="0"/>
              <w:right w:val="single" w:color="000000" w:sz="6" w:space="0"/>
            </w:tcBorders>
            <w:tcMar>
              <w:left w:w="0" w:type="dxa"/>
              <w:top w:w="0" w:type="dxa"/>
              <w:right w:w="0" w:type="dxa"/>
              <w:bottom w:w="0" w:type="dxa"/>
            </w:tcMar>
            <w:tcW w:w="2027"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8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w:t>
            </w:r>
            <w:r/>
          </w:p>
        </w:tc>
        <w:tc>
          <w:tcPr>
            <w:tcBorders>
              <w:bottom w:val="single" w:color="000000" w:sz="6" w:space="0"/>
              <w:right w:val="single" w:color="000000" w:sz="6" w:space="0"/>
            </w:tcBorders>
            <w:tcMar>
              <w:left w:w="0" w:type="dxa"/>
              <w:top w:w="0" w:type="dxa"/>
              <w:right w:w="0" w:type="dxa"/>
              <w:bottom w:w="0" w:type="dxa"/>
            </w:tcMar>
            <w:tcW w:w="1216"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200,0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4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172.000.000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4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027"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34.400.000.000</w:t>
            </w:r>
            <w:r/>
          </w:p>
        </w:tc>
      </w:tr>
      <w:tr>
        <w:trPr>
          <w:trHeight w:val="31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6" w:space="0"/>
              <w:right w:val="single" w:color="000000" w:sz="6" w:space="0"/>
            </w:tcBorders>
            <w:tcMar>
              <w:left w:w="0" w:type="dxa"/>
              <w:top w:w="0" w:type="dxa"/>
              <w:right w:w="0" w:type="dxa"/>
              <w:bottom w:w="0" w:type="dxa"/>
            </w:tcMar>
            <w:tcW w:w="2884"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biệt thự</w:t>
            </w:r>
            <w:r/>
          </w:p>
        </w:tc>
        <w:tc>
          <w:tcPr>
            <w:tcBorders>
              <w:bottom w:val="single" w:color="000000" w:sz="6" w:space="0"/>
              <w:right w:val="single" w:color="000000" w:sz="6" w:space="0"/>
            </w:tcBorders>
            <w:tcMar>
              <w:left w:w="0" w:type="dxa"/>
              <w:top w:w="0" w:type="dxa"/>
              <w:right w:w="0" w:type="dxa"/>
              <w:bottom w:w="0" w:type="dxa"/>
            </w:tcMar>
            <w:tcW w:w="1216"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291,0 </w:t>
            </w:r>
            <w:r/>
          </w:p>
        </w:tc>
        <w:tc>
          <w:tcPr>
            <w:shd w:val="clear" w:color="ffffff" w:fill="ffffff"/>
            <w:tcBorders>
              <w:bottom w:val="single" w:color="000000" w:sz="6" w:space="0"/>
              <w:right w:val="single" w:color="000000" w:sz="6" w:space="0"/>
            </w:tcBorders>
            <w:tcMar>
              <w:left w:w="0" w:type="dxa"/>
              <w:top w:w="0" w:type="dxa"/>
              <w:right w:w="0" w:type="dxa"/>
              <w:bottom w:w="0" w:type="dxa"/>
            </w:tcMar>
            <w:tcW w:w="145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5.006.092 </w:t>
            </w:r>
            <w:r/>
          </w:p>
        </w:tc>
        <w:tc>
          <w:tcPr>
            <w:shd w:val="clear" w:color="ffffff" w:fill="ffffff"/>
            <w:tcBorders>
              <w:bottom w:val="single" w:color="000000" w:sz="6" w:space="0"/>
              <w:right w:val="single" w:color="000000" w:sz="6" w:space="0"/>
            </w:tcBorders>
            <w:tcMar>
              <w:left w:w="0" w:type="dxa"/>
              <w:top w:w="0" w:type="dxa"/>
              <w:right w:w="0" w:type="dxa"/>
              <w:bottom w:w="0" w:type="dxa"/>
            </w:tcMar>
            <w:tcW w:w="149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88,0%</w:t>
            </w:r>
            <w:r/>
          </w:p>
        </w:tc>
        <w:tc>
          <w:tcPr>
            <w:shd w:val="clear" w:color="ffffff" w:fill="ffffff"/>
            <w:tcBorders>
              <w:bottom w:val="single" w:color="000000" w:sz="6" w:space="0"/>
              <w:right w:val="single" w:color="000000" w:sz="6" w:space="0"/>
            </w:tcBorders>
            <w:tcMar>
              <w:left w:w="0" w:type="dxa"/>
              <w:top w:w="0" w:type="dxa"/>
              <w:right w:w="0" w:type="dxa"/>
              <w:bottom w:w="0" w:type="dxa"/>
            </w:tcMar>
            <w:tcW w:w="2027"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1.281.960.039</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2027"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35.681.960.039</w:t>
            </w:r>
            <w:r/>
          </w:p>
        </w:tc>
      </w:tr>
      <w:tr>
        <w:trPr>
          <w:trHeight w:val="3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58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2027"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35.682.000.000</w:t>
            </w:r>
            <w:r/>
          </w:p>
        </w:tc>
      </w:tr>
      <w:tr>
        <w:trPr>
          <w:trHeight w:val="310"/>
        </w:trPr>
        <w:tc>
          <w:tcPr>
            <w:gridSpan w:val="6"/>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615"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Ba mươi lăm tỷ sáu trăm tám mươi hai triệu đồng chẵn ./.)</w:t>
            </w:r>
            <w:r/>
          </w:p>
        </w:tc>
      </w:tr>
    </w:tbl>
    <w:p>
      <w:pPr>
        <w:pStyle w:val="104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4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4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4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47"/>
        <w:numPr>
          <w:ilvl w:val="0"/>
          <w:numId w:val="5"/>
        </w:numPr>
        <w:pBdr/>
        <w:tabs>
          <w:tab w:val="left" w:leader="none" w:pos="993"/>
        </w:tabs>
        <w:spacing w:after="120" w:before="120" w:line="288" w:lineRule="auto"/>
        <w:ind/>
        <w:jc w:val="both"/>
        <w:rPr>
          <w:lang w:val="pt-BR"/>
        </w:rPr>
      </w:pPr>
      <w:r>
        <w:rPr>
          <w:lang w:val="pt-BR"/>
        </w:rPr>
        <w:t xml:space="preserve">Thẩm định giá không phải là</w:t>
      </w:r>
      <w:r>
        <w:rPr>
          <w:lang w:val="pt-BR"/>
        </w:rPr>
        <w:t xml:space="preserve">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w:t>
      </w:r>
      <w:r>
        <w:rPr>
          <w:lang w:val="pt-BR"/>
        </w:rPr>
        <w:t xml:space="preserve">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4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4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4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4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4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4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4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4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4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4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4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47"/>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47"/>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47"/>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đất  đã cung cấp cho chúng tôi.</w:t>
      </w:r>
      <w:r>
        <w:rPr>
          <w:shd w:val="clear" w:color="auto" w:fill="ffffff"/>
          <w:lang w:val="pt-BR"/>
        </w:rPr>
      </w:r>
      <w:r>
        <w:rPr>
          <w:shd w:val="clear" w:color="auto" w:fill="ffffff"/>
          <w:lang w:val="pt-BR"/>
        </w:rPr>
      </w:r>
    </w:p>
    <w:p>
      <w:pPr>
        <w:pStyle w:val="1047"/>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47"/>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w:t>
      </w:r>
      <w:r>
        <w:rPr>
          <w:bCs/>
          <w:spacing w:val="-2"/>
          <w:lang w:val="pt-BR"/>
        </w:rPr>
        <w:t xml:space="preserve">ẩm định của các cơ quan có chức năng. Do vậy, việc đánh giá chất lượng còn lại của Công trình xây dựng của chúng tôi chỉ dựa vào các văn bản pháp quy hiện hành và qua khảo sát thực tế độc lập, minh bạch dưới sự hướng dẫn khảo sát của các bên liên quan. Vì </w:t>
      </w:r>
      <w:r>
        <w:rPr>
          <w:bCs/>
          <w:spacing w:val="-2"/>
          <w:lang w:val="pt-BR"/>
        </w:rPr>
        <w:t xml:space="preserve">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47"/>
        <w:numPr>
          <w:ilvl w:val="0"/>
          <w:numId w:val="5"/>
        </w:numPr>
        <w:pBdr/>
        <w:tabs>
          <w:tab w:val="left" w:leader="none" w:pos="993"/>
        </w:tabs>
        <w:spacing w:after="120" w:before="120" w:line="288" w:lineRule="auto"/>
        <w:ind/>
        <w:jc w:val="both"/>
        <w:rPr>
          <w:spacing w:val="-2"/>
          <w:lang w:val="pt-BR"/>
        </w:rPr>
      </w:pPr>
      <w:r>
        <w:rPr>
          <w:bCs/>
          <w:spacing w:val="-2"/>
          <w:highlight w:val="none"/>
          <w:lang w:val="pt-BR" w:bidi="pt-BR"/>
        </w:rPr>
      </w:r>
      <w:r>
        <w:rPr>
          <w:rFonts w:ascii="Times New Roman" w:hAnsi="Times New Roman" w:eastAsia="Times New Roman" w:cs="Times New Roman"/>
          <w:color w:val="000000"/>
          <w:spacing w:val="-2"/>
          <w:sz w:val="24"/>
        </w:rPr>
        <w:t xml:space="preserve">Tại thời điểm khảo sát, tổ thẩm định không được Khách hàng cung cấp các thông tin quy hoạch liên quan đến thửa đất, dựa trên định vị của tài sản sau khi khảo sát, tổ thẩm định tra cứu quy hoạch online thông qua trang mạng Meeymap, xác định vị trí tài sản t</w:t>
      </w:r>
      <w:r>
        <w:rPr>
          <w:rFonts w:ascii="Times New Roman" w:hAnsi="Times New Roman" w:eastAsia="Times New Roman" w:cs="Times New Roman"/>
          <w:color w:val="000000"/>
          <w:spacing w:val="-2"/>
          <w:sz w:val="24"/>
        </w:rPr>
        <w:t xml:space="preserve">huộc quy hoạch đất ở. Tổ thẩm định giả định thửa đất phù hợp quy hoạch. Đề nghị Khách hàng sử dụng kết quả lưu ý kiểm tra xác minh thêm thông tin quy hoạch nếu thấy cần thiết. Trong trường hợp Khách hàng/Ngân hàng cung cấp được Văn bản xác nhận rõ tình trạ</w:t>
      </w:r>
      <w:r>
        <w:rPr>
          <w:rFonts w:ascii="Times New Roman" w:hAnsi="Times New Roman" w:eastAsia="Times New Roman" w:cs="Times New Roman"/>
          <w:color w:val="000000"/>
          <w:spacing w:val="-2"/>
          <w:sz w:val="24"/>
        </w:rPr>
        <w:t xml:space="preserve">ng quy hoạch thì kết quả thẩm định giá cần được xem xét, điều chỉnh phù hợp, đồng thời chúng tôi bảo lưu quyền xem xét lại kết quả thẩm định giá</w:t>
      </w:r>
      <w:r>
        <w:rPr>
          <w:bCs/>
          <w:spacing w:val="-2"/>
          <w:highlight w:val="none"/>
          <w:lang w:val="pt-BR" w:bidi="pt-BR"/>
        </w:rPr>
        <w:t xml:space="preserve">.</w:t>
      </w:r>
      <w:r>
        <w:rPr>
          <w:spacing w:val="-2"/>
          <w:lang w:val="pt-BR"/>
        </w:rPr>
      </w:r>
      <w:r>
        <w:rPr>
          <w:spacing w:val="-2"/>
          <w:lang w:val="pt-BR"/>
        </w:rPr>
      </w:r>
    </w:p>
    <w:p>
      <w:pPr>
        <w:pStyle w:val="1047"/>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47"/>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47"/>
        <w:numPr>
          <w:ilvl w:val="0"/>
          <w:numId w:val="5"/>
        </w:numPr>
        <w:pBdr/>
        <w:tabs>
          <w:tab w:val="left" w:leader="none" w:pos="993"/>
        </w:tabs>
        <w:spacing w:after="120" w:before="120" w:line="288" w:lineRule="auto"/>
        <w:ind w:hanging="357" w:left="357"/>
        <w:jc w:val="both"/>
        <w:rPr>
          <w:lang w:val="pt-BR"/>
        </w:rPr>
      </w:pPr>
      <w:r/>
      <w:bookmarkStart w:id="3"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3"/>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4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4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47"/>
        <w:pBdr/>
        <w:tabs>
          <w:tab w:val="left" w:leader="none" w:pos="993"/>
        </w:tabs>
        <w:spacing w:after="120" w:before="120" w:line="288" w:lineRule="auto"/>
        <w:ind w:left="0"/>
        <w:jc w:val="both"/>
        <w:rPr>
          <w:lang w:val="pt-BR"/>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275/2026/0901/VFI-CT.36.A</w:t>
      </w:r>
      <w:r>
        <w:rPr>
          <w:color w:val="ff0000"/>
          <w:lang w:val="vi-VN"/>
        </w:rPr>
        <w:t xml:space="preserve"> </w:t>
      </w:r>
      <w:r>
        <w:rPr>
          <w:color w:val="000000" w:themeColor="text1"/>
        </w:rPr>
        <w:t xml:space="preserve">ngày 15 tháng 6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lang w:val="vi-VN"/>
              </w:rPr>
            </w:pPr>
            <w:r>
              <w:rPr>
                <w:rFonts w:eastAsia="Calibri"/>
                <w:b/>
              </w:rPr>
              <w:t xml:space="preserve">Vũ Văn Quân</w:t>
            </w:r>
            <w:r>
              <w:rPr>
                <w:rFonts w:eastAsia="Calibri"/>
                <w:b/>
                <w:lang w:val="vi-VN"/>
              </w:rPr>
            </w:r>
            <w:r>
              <w:rPr>
                <w:rFonts w:eastAsia="Calibri"/>
                <w:b/>
                <w:lang w:val="vi-VN"/>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275/2026/0901/VFI-BC.36.A</w:t>
      </w:r>
      <w:r>
        <w:rPr>
          <w:i/>
        </w:rPr>
        <w:t xml:space="preserve"> ngày</w:t>
      </w:r>
      <w:r>
        <w:rPr>
          <w:i/>
          <w:lang w:val="pt-BR"/>
        </w:rPr>
        <w:t xml:space="preserve"> </w:t>
      </w:r>
      <w:r>
        <w:rPr>
          <w:i/>
          <w:lang w:val="pt-BR"/>
        </w:rPr>
        <w:t xml:space="preserve">15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5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2824237" cy="2698308"/>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86962" name=""/>
                              <pic:cNvPicPr>
                                <a:picLocks noChangeAspect="1"/>
                              </pic:cNvPicPr>
                              <pic:nvPr/>
                            </pic:nvPicPr>
                            <pic:blipFill rotWithShape="1">
                              <a:blip r:embed="rId20"/>
                              <a:stretch/>
                            </pic:blipFill>
                            <pic:spPr bwMode="auto">
                              <a:xfrm flipH="0" flipV="0">
                                <a:off x="0" y="0"/>
                                <a:ext cx="2824237" cy="269830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22.38pt;height:212.47pt;mso-wrap-distance-left:0.00pt;mso-wrap-distance-top:0.00pt;mso-wrap-distance-right:0.00pt;mso-wrap-distance-bottom:0.00pt;z-index:1;" stroked="false">
                      <v:imagedata r:id="rId20"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r>
            <w:r>
              <mc:AlternateContent>
                <mc:Choice Requires="wpg">
                  <w:drawing>
                    <wp:inline xmlns:wp="http://schemas.openxmlformats.org/drawingml/2006/wordprocessingDrawing" distT="0" distB="0" distL="0" distR="0">
                      <wp:extent cx="3015932" cy="2734027"/>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9071" name=""/>
                              <pic:cNvPicPr>
                                <a:picLocks noChangeAspect="1"/>
                              </pic:cNvPicPr>
                              <pic:nvPr/>
                            </pic:nvPicPr>
                            <pic:blipFill rotWithShape="1">
                              <a:blip r:embed="rId21"/>
                              <a:stretch/>
                            </pic:blipFill>
                            <pic:spPr bwMode="auto">
                              <a:xfrm flipH="0" flipV="0">
                                <a:off x="0" y="0"/>
                                <a:ext cx="3015931" cy="27340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37.47pt;height:215.28pt;mso-wrap-distance-left:0.00pt;mso-wrap-distance-top:0.00pt;mso-wrap-distance-right:0.00pt;mso-wrap-distance-bottom:0.00pt;z-index:1;" stroked="false">
                      <v:imagedata r:id="rId21" o:title=""/>
                      <o:lock v:ext="edit" rotation="t"/>
                    </v:shape>
                  </w:pict>
                </mc:Fallback>
              </mc:AlternateContent>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r>
              <w:rPr>
                <w:b/>
                <w:bCs/>
                <w:i/>
                <w:lang w:val="pt-BR"/>
              </w:rPr>
            </w:r>
          </w:p>
        </w:tc>
      </w:tr>
      <w:tr>
        <w:trPr/>
        <w:tc>
          <w:tcPr>
            <w:tcBorders/>
            <w:tcW w:w="4758"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772262" cy="2470324"/>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41850" name=""/>
                              <pic:cNvPicPr>
                                <a:picLocks noChangeAspect="1"/>
                              </pic:cNvPicPr>
                              <pic:nvPr/>
                            </pic:nvPicPr>
                            <pic:blipFill rotWithShape="1">
                              <a:blip r:embed="rId22"/>
                              <a:stretch/>
                            </pic:blipFill>
                            <pic:spPr bwMode="auto">
                              <a:xfrm flipH="0" flipV="0">
                                <a:off x="0" y="0"/>
                                <a:ext cx="2772261" cy="247032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18.29pt;height:194.51pt;mso-wrap-distance-left:0.00pt;mso-wrap-distance-top:0.00pt;mso-wrap-distance-right:0.00pt;mso-wrap-distance-bottom:0.00pt;z-index:1;" stroked="false">
                      <v:imagedata r:id="rId22" o:title=""/>
                      <o:lock v:ext="edit" rotation="t"/>
                    </v:shape>
                  </w:pict>
                </mc:Fallback>
              </mc:AlternateConten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913205" cy="248223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84884" name=""/>
                              <pic:cNvPicPr>
                                <a:picLocks noChangeAspect="1"/>
                              </pic:cNvPicPr>
                              <pic:nvPr/>
                            </pic:nvPicPr>
                            <pic:blipFill rotWithShape="1">
                              <a:blip r:embed="rId23"/>
                              <a:stretch/>
                            </pic:blipFill>
                            <pic:spPr bwMode="auto">
                              <a:xfrm flipH="0" flipV="0">
                                <a:off x="0" y="0"/>
                                <a:ext cx="2913204" cy="24822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29.39pt;height:195.45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w:rPr>
                <w:i/>
                <w:lang w:val="pt-BR"/>
              </w:rPr>
            </w:r>
            <w:r>
              <w:rPr>
                <w:i/>
                <w:lang w:val="pt-BR"/>
              </w:rPr>
            </w:r>
          </w:p>
        </w:tc>
      </w:tr>
      <w:tr>
        <w:trPr/>
        <w:tc>
          <w:tcPr>
            <w:tcBorders/>
            <w:tcW w:w="4758"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59560" cy="2524879"/>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47285" name=""/>
                              <pic:cNvPicPr>
                                <a:picLocks noChangeAspect="1"/>
                              </pic:cNvPicPr>
                              <pic:nvPr/>
                            </pic:nvPicPr>
                            <pic:blipFill rotWithShape="1">
                              <a:blip r:embed="rId24"/>
                              <a:stretch/>
                            </pic:blipFill>
                            <pic:spPr bwMode="auto">
                              <a:xfrm flipH="0" flipV="0">
                                <a:off x="0" y="0"/>
                                <a:ext cx="2859560" cy="25248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25.16pt;height:198.81pt;mso-wrap-distance-left:0.00pt;mso-wrap-distance-top:0.00pt;mso-wrap-distance-right:0.00pt;mso-wrap-distance-bottom:0.00pt;z-index:1;" stroked="false">
                      <v:imagedata r:id="rId24" o:title=""/>
                      <o:lock v:ext="edit" rotation="t"/>
                    </v:shape>
                  </w:pict>
                </mc:Fallback>
              </mc:AlternateContent>
            </w:r>
            <w:r>
              <w:rPr>
                <w:i/>
                <w:lang w:val="pt-BR"/>
              </w:rPr>
            </w:r>
            <w:r>
              <w:rPr>
                <w:i/>
                <w:lang w:val="pt-BR"/>
              </w:rPr>
            </w:r>
          </w:p>
        </w:tc>
        <w:tc>
          <w:tcPr>
            <w:tcBorders/>
            <w:tcW w:w="4757" w:type="dxa"/>
            <w:vAlign w:val="center"/>
            <w:vMerge w:val="restart"/>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20697" cy="2429628"/>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86722" name=""/>
                              <pic:cNvPicPr>
                                <a:picLocks noChangeAspect="1"/>
                              </pic:cNvPicPr>
                              <pic:nvPr/>
                            </pic:nvPicPr>
                            <pic:blipFill rotWithShape="1">
                              <a:blip r:embed="rId25"/>
                              <a:stretch/>
                            </pic:blipFill>
                            <pic:spPr bwMode="auto">
                              <a:xfrm flipH="0" flipV="0">
                                <a:off x="0" y="0"/>
                                <a:ext cx="2720697" cy="242962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4.23pt;height:191.31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p>
        </w:tc>
      </w:tr>
    </w:tbl>
    <w:p>
      <w:pPr>
        <w:pBdr/>
        <w:shd w:val="nil" w:color="auto"/>
        <w:spacing/>
        <w:ind/>
        <w:jc w:val="center"/>
        <w:rPr>
          <w:b/>
          <w:bCs/>
          <w:highlight w:val="none"/>
        </w:rPr>
      </w:pPr>
      <w:r>
        <w:rPr>
          <w:b/>
          <w:highlight w:val="none"/>
        </w:rPr>
        <w:t xml:space="preserve">GIẤY CHỨNG NHẬN QUYỀN SỬ DỤNG ĐẤT</w:t>
      </w:r>
      <w:r>
        <w:rPr>
          <w:b/>
          <w:bCs/>
          <w:highlight w:val="none"/>
        </w:rPr>
      </w:r>
      <w:r>
        <w:rPr>
          <w:b/>
          <w:bCs/>
          <w:highlight w:val="none"/>
        </w:rPr>
      </w:r>
    </w:p>
    <w:p>
      <w:pPr>
        <w:pBdr/>
        <w:shd w:val="nil" w:color="000000"/>
        <w:spacing/>
        <w:ind/>
        <w:jc w:val="center"/>
        <w:rPr>
          <w:b/>
          <w:bCs/>
          <w:highlight w:val="none"/>
        </w:rPr>
      </w:pPr>
      <w:r>
        <w:rPr>
          <w:b/>
          <w:highlight w:val="none"/>
        </w:rPr>
      </w:r>
      <w:r>
        <w:rPr>
          <w:b/>
          <w:bCs/>
          <w:highlight w:val="none"/>
        </w:rPr>
      </w:r>
      <w:r>
        <w:rPr>
          <w:b/>
          <w:bCs/>
          <w:highlight w:val="none"/>
        </w:rPr>
      </w:r>
    </w:p>
    <w:p>
      <w:pPr>
        <w:pBdr/>
        <w:shd w:val="nil" w:color="000000"/>
        <w:spacing/>
        <w:ind/>
        <w:jc w:val="center"/>
        <w:rPr>
          <w:b/>
          <w:bCs/>
          <w:highlight w:val="none"/>
        </w:rPr>
      </w:pPr>
      <w:r>
        <w:rPr>
          <w:b/>
          <w:highlight w:val="none"/>
        </w:rPr>
      </w:r>
      <w:r>
        <w:rPr>
          <w:b/>
          <w:bCs/>
          <w:highlight w:val="none"/>
        </w:rPr>
      </w:r>
      <w:r>
        <w:rPr>
          <w:b/>
          <w:bCs/>
          <w:highlight w:val="none"/>
        </w:rPr>
      </w:r>
    </w:p>
    <w:p>
      <w:pPr>
        <w:pBdr/>
        <w:shd w:val="nil" w:color="000000"/>
        <w:spacing/>
        <w:ind/>
        <w:jc w:val="center"/>
        <w:rPr>
          <w:bCs/>
          <w:i/>
          <w:lang w:val="pt-BR"/>
        </w:rPr>
      </w:pPr>
      <w:r>
        <w:rPr>
          <w:b/>
          <w:highlight w:val="none"/>
        </w:rPr>
      </w:r>
      <w:r>
        <mc:AlternateContent>
          <mc:Choice Requires="wpg">
            <w:drawing>
              <wp:inline xmlns:wp="http://schemas.openxmlformats.org/drawingml/2006/wordprocessingDrawing" distT="0" distB="0" distL="0" distR="0">
                <wp:extent cx="8175138" cy="5671160"/>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481714" name=""/>
                        <pic:cNvPicPr>
                          <a:picLocks noChangeAspect="1"/>
                        </pic:cNvPicPr>
                        <pic:nvPr/>
                      </pic:nvPicPr>
                      <pic:blipFill rotWithShape="1">
                        <a:blip r:embed="rId26"/>
                        <a:stretch/>
                      </pic:blipFill>
                      <pic:spPr bwMode="auto">
                        <a:xfrm rot="16199969" flipH="0" flipV="0">
                          <a:off x="0" y="0"/>
                          <a:ext cx="8175138" cy="56711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643.71pt;height:446.55pt;mso-wrap-distance-left:0.00pt;mso-wrap-distance-top:0.00pt;mso-wrap-distance-right:0.00pt;mso-wrap-distance-bottom:0.00pt;rotation:269;z-index:1;" stroked="false">
                <v:imagedata r:id="rId26" o:title=""/>
                <o:lock v:ext="edit" rotation="t"/>
              </v:shape>
            </w:pict>
          </mc:Fallback>
        </mc:AlternateContent>
      </w:r>
      <w:r>
        <w:rPr>
          <w:b/>
          <w:highlight w:val="none"/>
        </w:rPr>
        <w:br w:type="page" w:clear="all"/>
      </w:r>
      <w:r>
        <w:rPr>
          <w:bCs/>
          <w:i/>
          <w:lang w:val="pt-BR"/>
        </w:rPr>
      </w:r>
      <w:r>
        <w:rPr>
          <w:bCs/>
          <w:i/>
          <w:lang w:val="pt-BR"/>
        </w:rPr>
      </w:r>
    </w:p>
    <w:p>
      <w:pPr>
        <w:pBdr/>
        <w:shd w:val="nil" w:color="auto"/>
        <w:spacing/>
        <w:ind/>
        <w:jc w:val="center"/>
        <w:rPr>
          <w:b/>
          <w:bCs/>
          <w:highlight w:val="none"/>
        </w:rPr>
      </w:pPr>
      <w:r>
        <w:rPr>
          <w:b/>
          <w:highlight w:val="none"/>
        </w:rPr>
      </w:r>
      <w:r>
        <mc:AlternateContent>
          <mc:Choice Requires="wpg">
            <w:drawing>
              <wp:inline xmlns:wp="http://schemas.openxmlformats.org/drawingml/2006/wordprocessingDrawing" distT="0" distB="0" distL="0" distR="0">
                <wp:extent cx="8643810" cy="5922542"/>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51031" name=""/>
                        <pic:cNvPicPr>
                          <a:picLocks noChangeAspect="1"/>
                        </pic:cNvPicPr>
                        <pic:nvPr/>
                      </pic:nvPicPr>
                      <pic:blipFill rotWithShape="1">
                        <a:blip r:embed="rId27"/>
                        <a:stretch/>
                      </pic:blipFill>
                      <pic:spPr bwMode="auto">
                        <a:xfrm rot="16199969" flipH="0" flipV="0">
                          <a:off x="0" y="0"/>
                          <a:ext cx="8643809" cy="59225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680.61pt;height:466.34pt;mso-wrap-distance-left:0.00pt;mso-wrap-distance-top:0.00pt;mso-wrap-distance-right:0.00pt;mso-wrap-distance-bottom:0.00pt;rotation:269;z-index:1;" stroked="false">
                <v:imagedata r:id="rId27" o:title=""/>
                <o:lock v:ext="edit" rotation="t"/>
              </v:shape>
            </w:pict>
          </mc:Fallback>
        </mc:AlternateContent>
      </w:r>
      <w:r>
        <w:rPr>
          <w:b/>
          <w:highlight w:val="none"/>
        </w:rPr>
        <w:br w:type="page" w:clear="all"/>
      </w:r>
      <w:r>
        <w:rPr>
          <w:b/>
          <w:bCs/>
          <w:highlight w:val="none"/>
        </w:rPr>
      </w:r>
      <w:r>
        <w:rPr>
          <w:b/>
          <w:bCs/>
          <w:highlight w:val="none"/>
        </w:rPr>
      </w:r>
    </w:p>
    <w:p>
      <w:pPr>
        <w:pBdr/>
        <w:shd w:val="nil" w:color="auto"/>
        <w:spacing/>
        <w:ind/>
        <w:jc w:val="center"/>
        <w:rPr>
          <w:b/>
          <w:bCs/>
          <w:highlight w:val="none"/>
        </w:rPr>
      </w:pPr>
      <w:r>
        <w:rPr>
          <w:b/>
          <w:highlight w:val="none"/>
        </w:rPr>
        <w:t xml:space="preserve">BIÊN BẢN KHẢO SÁT TÀI SẢN</w:t>
      </w:r>
      <w:r>
        <w:rPr>
          <w:b/>
          <w:bCs/>
          <w:highlight w:val="none"/>
        </w:rPr>
      </w:r>
      <w:r>
        <w:rPr>
          <w:b/>
          <w:bCs/>
          <w:highlight w:val="none"/>
        </w:rPr>
      </w:r>
    </w:p>
    <w:p>
      <w:pPr>
        <w:pBdr/>
        <w:shd w:val="nil" w:color="000000"/>
        <w:spacing/>
        <w:ind/>
        <w:jc w:val="center"/>
        <w:rPr>
          <w:b/>
          <w:bCs/>
          <w:highlight w:val="none"/>
        </w:rPr>
      </w:pPr>
      <w:r>
        <w:rPr>
          <w:b/>
          <w:highlight w:val="none"/>
        </w:rPr>
      </w:r>
      <w:r>
        <w:rPr>
          <w:b/>
          <w:bCs/>
          <w:highlight w:val="none"/>
        </w:rPr>
      </w:r>
      <w:r>
        <w:rPr>
          <w:b/>
          <w:bCs/>
          <w:highlight w:val="none"/>
        </w:rPr>
      </w:r>
    </w:p>
    <w:p>
      <w:pPr>
        <w:pBdr/>
        <w:shd w:val="nil" w:color="000000"/>
        <w:spacing/>
        <w:ind/>
        <w:jc w:val="center"/>
        <w:rPr>
          <w:b/>
          <w:bCs/>
          <w:highlight w:val="none"/>
        </w:rPr>
      </w:pPr>
      <w:r>
        <w:rPr>
          <w:b/>
          <w:highlight w:val="none"/>
        </w:rPr>
      </w:r>
      <w:r>
        <mc:AlternateContent>
          <mc:Choice Requires="wpg">
            <w:drawing>
              <wp:inline xmlns:wp="http://schemas.openxmlformats.org/drawingml/2006/wordprocessingDrawing" distT="0" distB="0" distL="0" distR="0">
                <wp:extent cx="5878208" cy="8489027"/>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4268" name=""/>
                        <pic:cNvPicPr>
                          <a:picLocks noChangeAspect="1"/>
                        </pic:cNvPicPr>
                        <pic:nvPr/>
                      </pic:nvPicPr>
                      <pic:blipFill rotWithShape="1">
                        <a:blip r:embed="rId28"/>
                        <a:stretch/>
                      </pic:blipFill>
                      <pic:spPr bwMode="auto">
                        <a:xfrm flipH="0" flipV="0">
                          <a:off x="0" y="0"/>
                          <a:ext cx="5878208" cy="84890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62.85pt;height:668.43pt;mso-wrap-distance-left:0.00pt;mso-wrap-distance-top:0.00pt;mso-wrap-distance-right:0.00pt;mso-wrap-distance-bottom:0.00pt;z-index:1;" stroked="false">
                <v:imagedata r:id="rId28" o:title=""/>
                <o:lock v:ext="edit" rotation="t"/>
              </v:shape>
            </w:pict>
          </mc:Fallback>
        </mc:AlternateContent>
      </w:r>
      <w:r>
        <w:rPr>
          <w:b/>
          <w:highlight w:val="none"/>
        </w:rPr>
        <w:br w:type="page" w:clear="all"/>
      </w:r>
      <w:r>
        <w:rPr>
          <w:b/>
          <w:bCs/>
          <w:highlight w:val="none"/>
        </w:rPr>
      </w:r>
      <w:r>
        <w:rPr>
          <w:b/>
          <w:bCs/>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b/>
          <w:bCs/>
          <w:highlight w:val="none"/>
        </w:rPr>
      </w:r>
      <w:r>
        <w:rPr>
          <w:b/>
          <w:bCs/>
          <w:highlight w:val="none"/>
        </w:rPr>
      </w:r>
    </w:p>
    <w:p>
      <w:pPr>
        <w:pBdr/>
        <w:spacing/>
        <w:ind/>
        <w:jc w:val="center"/>
        <w:rPr>
          <w:i/>
          <w:lang w:val="pt-BR"/>
        </w:rPr>
      </w:pPr>
      <w:r>
        <w:rPr>
          <w:i/>
          <w:lang w:val="pt-BR"/>
        </w:rPr>
        <w:t xml:space="preserve">(Kèm theo Báo cáo thẩm định số </w:t>
      </w:r>
      <w:r>
        <w:rPr>
          <w:i/>
        </w:rPr>
        <w:t xml:space="preserve">275/2026/0901/VFI-BC.36.A</w:t>
      </w:r>
      <w:r>
        <w:rPr>
          <w:i/>
        </w:rPr>
        <w:t xml:space="preserve"> ngày</w:t>
      </w:r>
      <w:r>
        <w:rPr>
          <w:i/>
          <w:lang w:val="pt-BR"/>
        </w:rPr>
        <w:t xml:space="preserve"> </w:t>
      </w:r>
      <w:r>
        <w:rPr>
          <w:i/>
          <w:lang w:val="pt-BR"/>
        </w:rPr>
        <w:t xml:space="preserve">15 tháng 6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https://guru.batdongsan.com.vn/pa/c397b8aaf062f40f?productType=38&amp;cateId=325&amp;projectId=9&amp;cityCode=HN&amp;districtId=15 - 0338601868</w:t>
              <w:br/>
              <w:t xml:space="preserve">(Trần Tú)</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41.500.000.000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37.350.000.000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khu đô thị, tài sản cách mặt đường Vành đanh 3.5 khoảng 450m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13m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(Yếu tố phong thủy/Yếu tố tâm linh)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View nội khu </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biệt thự 3,5 tầng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516807" cy="302431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2516806" cy="302430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98.17pt;height:238.13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15100" cy="3016372"/>
                      <wp:effectExtent l="0" t="0" r="0" b="0"/>
                      <wp:docPr id="17" name=""/>
                      <wp:cNvGraphicFramePr/>
                      <a:graphic xmlns:a="http://schemas.openxmlformats.org/drawingml/2006/main">
                        <a:graphicData uri="http://schemas.openxmlformats.org/drawingml/2006/picture">
                          <pic:pic xmlns:pic="http://schemas.openxmlformats.org/drawingml/2006/picture">
                            <pic:nvPicPr>
                              <pic:cNvPr id="1829970864" name="" descr=""/>
                              <pic:cNvPicPr/>
                              <pic:nvPr/>
                            </pic:nvPicPr>
                            <pic:blipFill rotWithShape="1">
                              <a:blip r:embed="rId30"/>
                              <a:stretch/>
                            </pic:blipFill>
                            <pic:spPr bwMode="auto">
                              <a:xfrm flipH="0" flipV="0">
                                <a:off x="0" y="0"/>
                                <a:ext cx="2615099" cy="301637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05.91pt;height:237.51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2040122"/>
                      <wp:effectExtent l="0" t="0" r="0" b="0"/>
                      <wp:docPr id="18" name=""/>
                      <wp:cNvGraphicFramePr/>
                      <a:graphic xmlns:a="http://schemas.openxmlformats.org/drawingml/2006/main">
                        <a:graphicData uri="http://schemas.openxmlformats.org/drawingml/2006/picture">
                          <pic:pic xmlns:pic="http://schemas.openxmlformats.org/drawingml/2006/picture">
                            <pic:nvPicPr>
                              <pic:cNvPr id="321854567" name="" descr=""/>
                              <pic:cNvPicPr/>
                              <pic:nvPr/>
                            </pic:nvPicPr>
                            <pic:blipFill rotWithShape="1">
                              <a:blip r:embed="rId31"/>
                              <a:stretch/>
                            </pic:blipFill>
                            <pic:spPr bwMode="auto">
                              <a:xfrm flipH="0" flipV="0">
                                <a:off x="0" y="0"/>
                                <a:ext cx="2381249" cy="204012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87.50pt;height:160.64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889853" cy="2095685"/>
                      <wp:effectExtent l="0" t="0" r="0" b="0"/>
                      <wp:docPr id="19" name=""/>
                      <wp:cNvGraphicFramePr/>
                      <a:graphic xmlns:a="http://schemas.openxmlformats.org/drawingml/2006/main">
                        <a:graphicData uri="http://schemas.openxmlformats.org/drawingml/2006/picture">
                          <pic:pic xmlns:pic="http://schemas.openxmlformats.org/drawingml/2006/picture">
                            <pic:nvPicPr>
                              <pic:cNvPr id="1156949524" name="" descr=""/>
                              <pic:cNvPicPr/>
                              <pic:nvPr/>
                            </pic:nvPicPr>
                            <pic:blipFill rotWithShape="1">
                              <a:blip r:embed="rId32"/>
                              <a:stretch/>
                            </pic:blipFill>
                            <pic:spPr bwMode="auto">
                              <a:xfrm flipH="0" flipV="0">
                                <a:off x="0" y="0"/>
                                <a:ext cx="2889852" cy="209568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27.55pt;height:165.01pt;mso-wrap-distance-left:0.00pt;mso-wrap-distance-top:0.00pt;mso-wrap-distance-right:0.00pt;mso-wrap-distance-bottom:0.00pt;z-index:1;" stroked="false">
                      <v:imagedata r:id="rId32" o:title=""/>
                      <o:lock v:ext="edit" rotation="t"/>
                    </v:shape>
                  </w:pict>
                </mc:Fallback>
              </mc:AlternateContent>
            </w:r>
            <w:r>
              <w:rPr>
                <w:color w:val="000000"/>
                <w:sz w:val="22"/>
                <w:szCs w:val="22"/>
              </w:rPr>
            </w:r>
            <w:r>
              <w:rPr>
                <w:color w:val="000000"/>
                <w:sz w:val="22"/>
                <w:szCs w:val="22"/>
              </w:rPr>
            </w:r>
          </w:p>
        </w:tc>
      </w:tr>
    </w:tbl>
    <w:p>
      <w:pPr>
        <w:pBdr/>
        <w:spacing w:after="120"/>
        <w:ind/>
        <w:jc w:val="center"/>
        <w:rPr>
          <w:i/>
          <w:lang w:val="pt-BR"/>
        </w:rPr>
      </w:pPr>
      <w:r>
        <w:rPr>
          <w:i/>
          <w:lang w:val="pt-BR"/>
        </w:rPr>
      </w:r>
      <w:r>
        <w:rPr>
          <w:i/>
          <w:lang w:val="pt-BR"/>
        </w:rPr>
      </w:r>
      <w:r>
        <w:rPr>
          <w:i/>
          <w:lang w:val="pt-BR"/>
        </w:rPr>
      </w:r>
    </w:p>
    <w:tbl>
      <w:tblPr>
        <w:jc w:val="center"/>
        <w:tblW w:w="8488" w:type="dxa"/>
        <w:tblBorders/>
        <w:tblLook w:val="04A0" w:firstRow="1" w:lastRow="0" w:firstColumn="1" w:lastColumn="0" w:noHBand="0" w:noVBand="1"/>
      </w:tblPr>
      <w:tblGrid>
        <w:gridCol w:w="3812"/>
        <w:gridCol w:w="4676"/>
      </w:tblGrid>
      <w:tr>
        <w:trPr>
          <w:jc w:val="center"/>
          <w:trHeight w:val="283"/>
        </w:trPr>
        <w:tc>
          <w:tcPr>
            <w:tcBorders/>
            <w:tcW w:w="3812" w:type="dxa"/>
            <w:vAlign w:val="center"/>
            <w:textDirection w:val="lrTb"/>
            <w:noWrap w:val="false"/>
          </w:tcPr>
          <w:p>
            <w:pPr>
              <w:pBdr/>
              <w:spacing/>
              <w:ind/>
              <w:jc w:val="center"/>
              <w:rPr>
                <w:b/>
                <w:bCs/>
              </w:rPr>
            </w:pPr>
            <w:r>
              <w:rPr>
                <w:b/>
                <w:bCs/>
              </w:rPr>
            </w:r>
            <w:r>
              <w:rPr>
                <w:b/>
                <w:bCs/>
              </w:rPr>
            </w:r>
            <w:r>
              <w:rPr>
                <w:b/>
                <w:bCs/>
              </w:rPr>
            </w:r>
          </w:p>
        </w:tc>
        <w:tc>
          <w:tcPr>
            <w:tcBorders/>
            <w:tcW w:w="46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jc w:val="center"/>
          <w:trHeight w:val="293"/>
        </w:trPr>
        <w:tc>
          <w:tcPr>
            <w:tcBorders/>
            <w:tcW w:w="3812" w:type="dxa"/>
            <w:vAlign w:val="center"/>
            <w:textDirection w:val="lrTb"/>
            <w:noWrap w:val="false"/>
          </w:tcPr>
          <w:p>
            <w:pPr>
              <w:pBdr/>
              <w:spacing/>
              <w:ind/>
              <w:jc w:val="center"/>
              <w:rPr>
                <w:b/>
                <w:bCs/>
              </w:rPr>
            </w:pPr>
            <w:r>
              <w:rPr>
                <w:b/>
                <w:bCs/>
              </w:rPr>
            </w:r>
            <w:r>
              <w:rPr>
                <w:b/>
                <w:bCs/>
              </w:rPr>
            </w:r>
            <w:r>
              <w:rPr>
                <w:b/>
                <w:bCs/>
              </w:rPr>
            </w:r>
          </w:p>
        </w:tc>
        <w:tc>
          <w:tcPr>
            <w:tcBorders/>
            <w:tcW w:w="4676"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jc w:val="center"/>
              <w:rPr/>
            </w:pPr>
            <w:r/>
            <w:r/>
          </w:p>
          <w:p>
            <w:pPr>
              <w:pBdr/>
              <w:spacing/>
              <w:ind/>
              <w:jc w:val="center"/>
              <w:rPr/>
            </w:pPr>
            <w:r>
              <w:t xml:space="preserve">Nguyễn Tấn Sang</w:t>
            </w:r>
            <w:r/>
          </w:p>
          <w:p>
            <w:pPr>
              <w:pBdr/>
              <w:spacing/>
              <w:ind/>
              <w:jc w:val="center"/>
              <w:rPr/>
            </w:pPr>
            <w:r/>
            <w:r/>
          </w:p>
        </w:tc>
      </w:tr>
    </w:tbl>
    <w:p>
      <w:pPr>
        <w:pBdr/>
        <w:spacing/>
        <w:ind/>
        <w:rPr/>
      </w:pPr>
      <w:r>
        <w:br w:type="page" w:clear="all"/>
      </w:r>
      <w:r/>
    </w:p>
    <w:p>
      <w:pPr>
        <w:pBdr/>
        <w:spacing w:after="200" w:line="276" w:lineRule="auto"/>
        <w:ind/>
        <w:jc w:val="center"/>
        <w:rPr>
          <w:b/>
          <w:bCs/>
          <w:iCs/>
          <w:lang w:val="pt-BR"/>
        </w:rPr>
      </w:pPr>
      <w:r>
        <w:rPr>
          <w:b/>
          <w:bCs/>
          <w:iCs/>
          <w:lang w:val="pt-BR"/>
        </w:rPr>
        <w:t xml:space="preserve">TSSS2</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https://guru.batdongsan.com.vn/pa/c397b8aaf062f40f?productType=38&amp;cateId=325&amp;projectId=9&amp;cityCode=HN&amp;districtId=15 - 0338601868</w:t>
              <w:br/>
              <w:t xml:space="preserve">(Trần Tú)</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48.000.000.000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43.200.000.000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khu đô thị, tài sản cách mặt đường Vành đanh 3.5 khoảng 500m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25m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(Yếu tố phong thủy/Yếu tố tâm linh)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View nội khu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biệt thự 3,5 tầng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414242" cy="2424508"/>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2414242" cy="242450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90.10pt;height:190.91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649201" cy="244832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4"/>
                              <a:stretch/>
                            </pic:blipFill>
                            <pic:spPr bwMode="auto">
                              <a:xfrm flipH="0" flipV="0">
                                <a:off x="0" y="0"/>
                                <a:ext cx="2649200" cy="244832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08.60pt;height:192.78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r/>
          </w:p>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t xml:space="preserve">Nguyễn Tấn Sang</w:t>
            </w:r>
            <w:r/>
          </w:p>
        </w:tc>
      </w:tr>
      <w:tr>
        <w:trPr>
          <w:trHeight w:val="298"/>
        </w:trPr>
        <w:tc>
          <w:tcPr>
            <w:tcBorders/>
            <w:tcW w:w="4358" w:type="dxa"/>
            <w:vAlign w:val="bottom"/>
            <w:textDirection w:val="lrTb"/>
            <w:noWrap w:val="false"/>
          </w:tcPr>
          <w:p>
            <w:pPr>
              <w:pBdr/>
              <w:spacing/>
              <w:ind/>
              <w:rPr>
                <w:b/>
                <w:bCs/>
              </w:rPr>
            </w:pPr>
            <w:r>
              <w:rPr>
                <w:b/>
                <w:bCs/>
              </w:rPr>
            </w:r>
            <w:r>
              <w:rPr>
                <w:b/>
                <w:bCs/>
              </w:rPr>
            </w:r>
            <w:r>
              <w:rPr>
                <w:b/>
                <w:bCs/>
              </w:rPr>
            </w:r>
          </w:p>
        </w:tc>
        <w:tc>
          <w:tcPr>
            <w:tcBorders/>
            <w:tcW w:w="4701" w:type="dxa"/>
            <w:vAlign w:val="center"/>
            <w:textDirection w:val="lrTb"/>
            <w:noWrap/>
          </w:tcPr>
          <w:p>
            <w:pPr>
              <w:pBdr/>
              <w:spacing/>
              <w:ind/>
              <w:rPr>
                <w:b/>
                <w:bCs/>
              </w:rPr>
            </w:pPr>
            <w:r>
              <w:rPr>
                <w:b/>
                <w:bCs/>
              </w:rPr>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Nguồn tham khảo</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https://batdongsan.com.vn/ban-nha-biet-thu-lien-ke-phuong-phu-luong-3-khu-do-thi-moi-phu-luong-21515/vuon-hong-240m-12m-mat-view-vuon-hong-thom-ngat-tho-nguyen-ban-pr45653087 - 0961249968</w:t>
              <w:br/>
              <w:t xml:space="preserve">(Sale Thuý)</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rao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48.000.000.000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Giá thương lượng (đồng)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43.200.000.000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Tình trạng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Đang giao dịch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điểm thu thập thông tin</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Tháng 06/2026</w:t>
            </w: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6</w:t>
            </w: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Tính chất giao dịch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Giao dịch bình thường trên thị trường</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Pháp lý</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Có Giấy chứng nhận Quyền sử dụng đất</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Mục đích sử dụng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Đất ở tại đô thị</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Thời hạn sử dụng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Lâu dài</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10</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Vị trí</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Tài sản tiếp giáp đường nội khu đô thị, tài sản cách mặt đường Vành đanh 3.5 khoảng 300m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11</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Giao thông</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Khoảng 13m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12</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Diện tích đất (m²)</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240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13</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Mặt tiền (m)</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12</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14</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Số lượng mặt tiếp giáp</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1 mặt tiền</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15</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Hình dáng thửa đất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Vuông vức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16</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Lợi thế kinh doanh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Thích hợp để ở/Kinh doanh</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17</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Yếu tố khác (Yếu tố phong thủy/Yếu tố tâm linh)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 View công viên </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18</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cơ sở hạ tầng kỹ thuật</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Hệ thống cấp điện, cấp thoát nước đầy đủ</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19</w:t>
            </w: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Điều kiện môi trường an ninh</w:t>
            </w: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Tốt</w:t>
            </w:r>
            <w:r/>
          </w:p>
        </w:tc>
      </w:tr>
      <w:tr>
        <w:trPr>
          <w:trHeight w:val="20"/>
        </w:trPr>
        <w:tc>
          <w:tcPr>
            <w:shd w:val="clear" w:color="ffffff" w:fill="ffffff"/>
            <w:tcBorders>
              <w:top w:val="none" w:color="000000" w:sz="4" w:space="0"/>
              <w:left w:val="single" w:color="000000" w:sz="4" w:space="0"/>
              <w:bottom w:val="single" w:color="000000" w:sz="4" w:space="0"/>
              <w:right w:val="single" w:color="000000" w:sz="4" w:space="0"/>
            </w:tcBorders>
            <w:tcW w:w="632"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2"/>
              </w:rPr>
              <w:t xml:space="preserve">20</w:t>
            </w:r>
            <w:r/>
          </w:p>
        </w:tc>
        <w:tc>
          <w:tcPr>
            <w:shd w:val="clear" w:color="ffffff" w:fill="ffffff"/>
            <w:tcBorders>
              <w:top w:val="none" w:color="000000" w:sz="4" w:space="0"/>
              <w:left w:val="none" w:color="000000" w:sz="4" w:space="0"/>
              <w:bottom w:val="single" w:color="000000" w:sz="4" w:space="0"/>
              <w:right w:val="single" w:color="000000" w:sz="4" w:space="0"/>
            </w:tcBorders>
            <w:tcW w:w="4493" w:type="dxa"/>
            <w:vAlign w:val="center"/>
            <w:vMerge w:val="restart"/>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Tài sản trên đất</w:t>
            </w:r>
            <w:r/>
          </w:p>
        </w:tc>
        <w:tc>
          <w:tcPr>
            <w:shd w:val="clear" w:color="ffffff" w:fill="ffffff"/>
            <w:tcBorders>
              <w:top w:val="none" w:color="000000" w:sz="4" w:space="0"/>
              <w:left w:val="none" w:color="000000" w:sz="4" w:space="0"/>
              <w:bottom w:val="single" w:color="000000" w:sz="4" w:space="0"/>
              <w:right w:val="single" w:color="000000" w:sz="4" w:space="0"/>
            </w:tcBorders>
            <w:tcW w:w="4494"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2"/>
              </w:rPr>
              <w:t xml:space="preserve">Nhà biệt thự 3,5 tầng (Xây thô)</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2781477" cy="1928600"/>
                      <wp:effectExtent l="0" t="0" r="0" b="0"/>
                      <wp:docPr id="22" name=""/>
                      <wp:cNvGraphicFramePr/>
                      <a:graphic xmlns:a="http://schemas.openxmlformats.org/drawingml/2006/main">
                        <a:graphicData uri="http://schemas.openxmlformats.org/drawingml/2006/picture">
                          <pic:pic xmlns:pic="http://schemas.openxmlformats.org/drawingml/2006/picture">
                            <pic:nvPicPr>
                              <pic:cNvPr id="1261350890" name="" descr=""/>
                              <pic:cNvPicPr/>
                              <pic:nvPr/>
                            </pic:nvPicPr>
                            <pic:blipFill rotWithShape="1">
                              <a:blip r:embed="rId35"/>
                              <a:stretch/>
                            </pic:blipFill>
                            <pic:spPr bwMode="auto">
                              <a:xfrm flipH="0" flipV="0">
                                <a:off x="0" y="0"/>
                                <a:ext cx="2781477" cy="19286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219.01pt;height:151.86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598915" cy="1952412"/>
                      <wp:effectExtent l="0" t="0" r="0" b="0"/>
                      <wp:docPr id="23" name=""/>
                      <wp:cNvGraphicFramePr/>
                      <a:graphic xmlns:a="http://schemas.openxmlformats.org/drawingml/2006/main">
                        <a:graphicData uri="http://schemas.openxmlformats.org/drawingml/2006/picture">
                          <pic:pic xmlns:pic="http://schemas.openxmlformats.org/drawingml/2006/picture">
                            <pic:nvPicPr>
                              <pic:cNvPr id="1872591194" name="" descr=""/>
                              <pic:cNvPicPr/>
                              <pic:nvPr/>
                            </pic:nvPicPr>
                            <pic:blipFill rotWithShape="1">
                              <a:blip r:embed="rId36"/>
                              <a:stretch/>
                            </pic:blipFill>
                            <pic:spPr bwMode="auto">
                              <a:xfrm flipH="0" flipV="0">
                                <a:off x="0" y="0"/>
                                <a:ext cx="2598914" cy="195241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204.64pt;height:153.73pt;mso-wrap-distance-left:0.00pt;mso-wrap-distance-top:0.00pt;mso-wrap-distance-right:0.00pt;mso-wrap-distance-bottom:0.00pt;z-index:1;" stroked="false">
                      <v:imagedata r:id="rId36" o:title=""/>
                      <o:lock v:ext="edit" rotation="t"/>
                    </v:shape>
                  </w:pict>
                </mc:Fallback>
              </mc:AlternateContent>
            </w:r>
            <w:r>
              <w:rPr>
                <w:color w:val="000000"/>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p>
            <w:pPr>
              <w:pBdr/>
              <w:spacing/>
              <w:ind/>
              <w:jc w:val="center"/>
              <w:rPr/>
            </w:pPr>
            <w:r>
              <w:t xml:space="preserve">Nguyễn Tấn Sang</w:t>
            </w:r>
            <w:r/>
          </w:p>
        </w:tc>
      </w:tr>
    </w:tbl>
    <w:p>
      <w:pPr>
        <w:pBdr/>
        <w:spacing w:after="200" w:line="276" w:lineRule="auto"/>
        <w:ind/>
        <w:rPr>
          <w:iCs/>
          <w:lang w:val="pt-BR"/>
        </w:rPr>
      </w:pPr>
      <w:r>
        <w:rPr>
          <w:iCs/>
          <w:lang w:val="pt-BR"/>
        </w:rPr>
      </w:r>
      <w:r>
        <w:rPr>
          <w:iCs/>
          <w:lang w:val="pt-BR"/>
        </w:rPr>
      </w:r>
      <w:r>
        <w:rPr>
          <w:iCs/>
          <w:lang w:val="pt-BR"/>
        </w:rPr>
      </w:r>
    </w:p>
    <w:sectPr>
      <w:footerReference w:type="even" r:id="rId13"/>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4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Bdr/>
      <w:spacing/>
      <w:ind/>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4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68C28976"/>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8">
    <w:nsid w:val="58F3BE9B"/>
    <w:lvl w:ilvl="0">
      <w:isLgl w:val="false"/>
      <w:lvlJc w:val="left"/>
      <w:lvlText w:val="–"/>
      <w:numFmt w:val="bullet"/>
      <w:pPr>
        <w:pBdr/>
        <w:spacing/>
        <w:ind w:hanging="360" w:left="709"/>
      </w:pPr>
      <w:rPr>
        <w:rFonts w:hint="default" w:ascii="Arial" w:hAnsi="Arial" w:eastAsia="Arial" w:cs="Arial"/>
      </w:rPr>
      <w:start w:val="1"/>
      <w:suff w:val="tab"/>
    </w:lvl>
    <w:lvl w:ilvl="1">
      <w:isLgl w:val="false"/>
      <w:lvlJc w:val="left"/>
      <w:lvlText w:val="o"/>
      <w:numFmt w:val="bullet"/>
      <w:pPr>
        <w:pBdr/>
        <w:spacing/>
        <w:ind w:hanging="360" w:left="1429"/>
      </w:pPr>
      <w:rPr>
        <w:rFonts w:hint="default" w:ascii="Courier New" w:hAnsi="Courier New" w:eastAsia="Courier New" w:cs="Courier New"/>
      </w:rPr>
      <w:start w:val="1"/>
      <w:suff w:val="tab"/>
    </w:lvl>
    <w:lvl w:ilvl="2">
      <w:isLgl w:val="false"/>
      <w:lvlJc w:val="left"/>
      <w:lvlText w:val="§"/>
      <w:numFmt w:val="bullet"/>
      <w:pPr>
        <w:pBdr/>
        <w:spacing/>
        <w:ind w:hanging="360" w:left="2149"/>
      </w:pPr>
      <w:rPr>
        <w:rFonts w:hint="default" w:ascii="Wingdings" w:hAnsi="Wingdings" w:eastAsia="Wingdings" w:cs="Wingdings"/>
      </w:rPr>
      <w:start w:val="1"/>
      <w:suff w:val="tab"/>
    </w:lvl>
    <w:lvl w:ilvl="3">
      <w:isLgl w:val="false"/>
      <w:lvlJc w:val="left"/>
      <w:lvlText w:val="·"/>
      <w:numFmt w:val="bullet"/>
      <w:pPr>
        <w:pBdr/>
        <w:spacing/>
        <w:ind w:hanging="360" w:left="2869"/>
      </w:pPr>
      <w:rPr>
        <w:rFonts w:hint="default" w:ascii="Symbol" w:hAnsi="Symbol" w:eastAsia="Symbol" w:cs="Symbol"/>
      </w:rPr>
      <w:start w:val="1"/>
      <w:suff w:val="tab"/>
    </w:lvl>
    <w:lvl w:ilvl="4">
      <w:isLgl w:val="false"/>
      <w:lvlJc w:val="left"/>
      <w:lvlText w:val="o"/>
      <w:numFmt w:val="bullet"/>
      <w:pPr>
        <w:pBdr/>
        <w:spacing/>
        <w:ind w:hanging="360" w:left="3589"/>
      </w:pPr>
      <w:rPr>
        <w:rFonts w:hint="default" w:ascii="Courier New" w:hAnsi="Courier New" w:eastAsia="Courier New" w:cs="Courier New"/>
      </w:rPr>
      <w:start w:val="1"/>
      <w:suff w:val="tab"/>
    </w:lvl>
    <w:lvl w:ilvl="5">
      <w:isLgl w:val="false"/>
      <w:lvlJc w:val="left"/>
      <w:lvlText w:val="§"/>
      <w:numFmt w:val="bullet"/>
      <w:pPr>
        <w:pBdr/>
        <w:spacing/>
        <w:ind w:hanging="360" w:left="4309"/>
      </w:pPr>
      <w:rPr>
        <w:rFonts w:hint="default" w:ascii="Wingdings" w:hAnsi="Wingdings" w:eastAsia="Wingdings" w:cs="Wingdings"/>
      </w:rPr>
      <w:start w:val="1"/>
      <w:suff w:val="tab"/>
    </w:lvl>
    <w:lvl w:ilvl="6">
      <w:isLgl w:val="false"/>
      <w:lvlJc w:val="left"/>
      <w:lvlText w:val="·"/>
      <w:numFmt w:val="bullet"/>
      <w:pPr>
        <w:pBdr/>
        <w:spacing/>
        <w:ind w:hanging="360" w:left="5029"/>
      </w:pPr>
      <w:rPr>
        <w:rFonts w:hint="default" w:ascii="Symbol" w:hAnsi="Symbol" w:eastAsia="Symbol" w:cs="Symbol"/>
      </w:rPr>
      <w:start w:val="1"/>
      <w:suff w:val="tab"/>
    </w:lvl>
    <w:lvl w:ilvl="7">
      <w:isLgl w:val="false"/>
      <w:lvlJc w:val="left"/>
      <w:lvlText w:val="o"/>
      <w:numFmt w:val="bullet"/>
      <w:pPr>
        <w:pBdr/>
        <w:spacing/>
        <w:ind w:hanging="360" w:left="5749"/>
      </w:pPr>
      <w:rPr>
        <w:rFonts w:hint="default" w:ascii="Courier New" w:hAnsi="Courier New" w:eastAsia="Courier New" w:cs="Courier New"/>
      </w:rPr>
      <w:start w:val="1"/>
      <w:suff w:val="tab"/>
    </w:lvl>
    <w:lvl w:ilvl="8">
      <w:isLgl w:val="false"/>
      <w:lvlJc w:val="left"/>
      <w:lvlText w:val="§"/>
      <w:numFmt w:val="bullet"/>
      <w:pPr>
        <w:pBdr/>
        <w:spacing/>
        <w:ind w:hanging="360" w:left="6469"/>
      </w:pPr>
      <w:rPr>
        <w:rFonts w:hint="default" w:ascii="Wingdings" w:hAnsi="Wingdings" w:eastAsia="Wingdings" w:cs="Wingdings"/>
      </w:rPr>
      <w:start w:val="1"/>
      <w:suff w:val="tab"/>
    </w:lvl>
  </w:abstractNum>
  <w:abstractNum w:abstractNumId="39">
    <w:nsid w:val="5BDC3255"/>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454D8080"/>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1">
    <w:nsid w:val="73AA4F15"/>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2">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9">
    <w:name w:val="Table Grid Light"/>
    <w:basedOn w:val="103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Plain Table 1"/>
    <w:basedOn w:val="103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Plain Table 2"/>
    <w:basedOn w:val="103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Plain Table 3"/>
    <w:basedOn w:val="103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Plain Table 4"/>
    <w:basedOn w:val="103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Plain Table 5"/>
    <w:basedOn w:val="103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w:basedOn w:val="103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1 Light - Accent 1"/>
    <w:basedOn w:val="103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 Accent 2"/>
    <w:basedOn w:val="103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1 Light - Accent 3"/>
    <w:basedOn w:val="103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1 Light - Accent 4"/>
    <w:basedOn w:val="103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1 Light - Accent 5"/>
    <w:basedOn w:val="103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1 Light - Accent 6"/>
    <w:basedOn w:val="103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w:basedOn w:val="103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2 - Accent 1"/>
    <w:basedOn w:val="103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2 - Accent 2"/>
    <w:basedOn w:val="103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2 - Accent 3"/>
    <w:basedOn w:val="103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2 - Accent 4"/>
    <w:basedOn w:val="103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2 - Accent 5"/>
    <w:basedOn w:val="103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2 - Accent 6"/>
    <w:basedOn w:val="103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w:basedOn w:val="103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3 - Accent 1"/>
    <w:basedOn w:val="103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3 - Accent 2"/>
    <w:basedOn w:val="103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3 - Accent 3"/>
    <w:basedOn w:val="103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3 - Accent 4"/>
    <w:basedOn w:val="103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3 - Accent 5"/>
    <w:basedOn w:val="103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3 - Accent 6"/>
    <w:basedOn w:val="103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w:basedOn w:val="103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4 - Accent 1"/>
    <w:basedOn w:val="103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 Accent 2"/>
    <w:basedOn w:val="103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4 - Accent 3"/>
    <w:basedOn w:val="103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4 - Accent 4"/>
    <w:basedOn w:val="103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4 - Accent 5"/>
    <w:basedOn w:val="103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4 - Accent 6"/>
    <w:basedOn w:val="103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5 Dark- Accent 1"/>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 Accent 2"/>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5 Dark - Accent 3"/>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5 Dark- Accent 4"/>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5 Dark - Accent 5"/>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5 Dark - Accent 6"/>
    <w:basedOn w:val="103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6 Colorful"/>
    <w:basedOn w:val="103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901">
    <w:name w:val="Grid Table 6 Colorful - Accent 1"/>
    <w:basedOn w:val="103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902">
    <w:name w:val="Grid Table 6 Colorful - Accent 2"/>
    <w:basedOn w:val="103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903">
    <w:name w:val="Grid Table 6 Colorful - Accent 3"/>
    <w:basedOn w:val="103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4">
    <w:name w:val="Grid Table 6 Colorful - Accent 4"/>
    <w:basedOn w:val="103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5">
    <w:name w:val="Grid Table 6 Colorful - Accent 5"/>
    <w:basedOn w:val="103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6">
    <w:name w:val="Grid Table 6 Colorful - Accent 6"/>
    <w:basedOn w:val="103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7">
    <w:name w:val="Grid Table 7 Colorful"/>
    <w:basedOn w:val="103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7 Colorful - Accent 1"/>
    <w:basedOn w:val="103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7 Colorful - Accent 2"/>
    <w:basedOn w:val="103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Grid Table 7 Colorful - Accent 3"/>
    <w:basedOn w:val="103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Grid Table 7 Colorful - Accent 4"/>
    <w:basedOn w:val="103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Grid Table 7 Colorful - Accent 5"/>
    <w:basedOn w:val="103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Grid Table 7 Colorful - Accent 6"/>
    <w:basedOn w:val="103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1 Light - Accent 1"/>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1 Light - Accent 2"/>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1 Light - Accent 3"/>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1 Light - Accent 4"/>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1 Light - Accent 5"/>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1 Light - Accent 6"/>
    <w:basedOn w:val="103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w:basedOn w:val="103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2 - Accent 1"/>
    <w:basedOn w:val="103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2 - Accent 2"/>
    <w:basedOn w:val="103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2 - Accent 3"/>
    <w:basedOn w:val="103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2 - Accent 4"/>
    <w:basedOn w:val="103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2 - Accent 5"/>
    <w:basedOn w:val="103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2 - Accent 6"/>
    <w:basedOn w:val="103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w:basedOn w:val="103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3 - Accent 1"/>
    <w:basedOn w:val="103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3 - Accent 2"/>
    <w:basedOn w:val="103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3 - Accent 3"/>
    <w:basedOn w:val="103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3 - Accent 4"/>
    <w:basedOn w:val="103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3 - Accent 5"/>
    <w:basedOn w:val="103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3 - Accent 6"/>
    <w:basedOn w:val="103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w:basedOn w:val="103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4 - Accent 1"/>
    <w:basedOn w:val="103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4 - Accent 2"/>
    <w:basedOn w:val="103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4 - Accent 3"/>
    <w:basedOn w:val="103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4 - Accent 4"/>
    <w:basedOn w:val="103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4 - Accent 5"/>
    <w:basedOn w:val="103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4 - Accent 6"/>
    <w:basedOn w:val="103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5 Dark"/>
    <w:basedOn w:val="103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5 Dark - Accent 1"/>
    <w:basedOn w:val="103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4">
    <w:name w:val="List Table 5 Dark - Accent 2"/>
    <w:basedOn w:val="103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5">
    <w:name w:val="List Table 5 Dark - Accent 3"/>
    <w:basedOn w:val="103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6">
    <w:name w:val="List Table 5 Dark - Accent 4"/>
    <w:basedOn w:val="103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7">
    <w:name w:val="List Table 5 Dark - Accent 5"/>
    <w:basedOn w:val="103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8">
    <w:name w:val="List Table 5 Dark - Accent 6"/>
    <w:basedOn w:val="103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9">
    <w:name w:val="List Table 6 Colorful"/>
    <w:basedOn w:val="103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6 Colorful - Accent 1"/>
    <w:basedOn w:val="103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6 Colorful - Accent 2"/>
    <w:basedOn w:val="103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6 Colorful - Accent 3"/>
    <w:basedOn w:val="103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st Table 6 Colorful - Accent 4"/>
    <w:basedOn w:val="103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st Table 6 Colorful - Accent 5"/>
    <w:basedOn w:val="103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st Table 6 Colorful - Accent 6"/>
    <w:basedOn w:val="103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st Table 7 Colorful"/>
    <w:basedOn w:val="103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7">
    <w:name w:val="List Table 7 Colorful - Accent 1"/>
    <w:basedOn w:val="103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8">
    <w:name w:val="List Table 7 Colorful - Accent 2"/>
    <w:basedOn w:val="103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9">
    <w:name w:val="List Table 7 Colorful - Accent 3"/>
    <w:basedOn w:val="103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60">
    <w:name w:val="List Table 7 Colorful - Accent 4"/>
    <w:basedOn w:val="103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61">
    <w:name w:val="List Table 7 Colorful - Accent 5"/>
    <w:basedOn w:val="103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62">
    <w:name w:val="List Table 7 Colorful - Accent 6"/>
    <w:basedOn w:val="103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63">
    <w:name w:val="Lined - Accent"/>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ned - Accent 1"/>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ned - Accent 2"/>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Lined - Accent 3"/>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Lined - Accent 4"/>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Lined - Accent 5"/>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Lined - Accent 6"/>
    <w:basedOn w:val="103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w:basedOn w:val="103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amp; Lined - Accent 1"/>
    <w:basedOn w:val="103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amp; Lined - Accent 2"/>
    <w:basedOn w:val="103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amp; Lined - Accent 3"/>
    <w:basedOn w:val="103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amp; Lined - Accent 4"/>
    <w:basedOn w:val="103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amp; Lined - Accent 5"/>
    <w:basedOn w:val="103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amp; Lined - Accent 6"/>
    <w:basedOn w:val="103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w:basedOn w:val="103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 Accent 1"/>
    <w:basedOn w:val="103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 Accent 2"/>
    <w:basedOn w:val="103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Bordered - Accent 3"/>
    <w:basedOn w:val="103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name w:val="Bordered - Accent 4"/>
    <w:basedOn w:val="103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name w:val="Bordered - Accent 5"/>
    <w:basedOn w:val="103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name w:val="Bordered - Accent 6"/>
    <w:basedOn w:val="103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4">
    <w:name w:val="Heading 5"/>
    <w:basedOn w:val="1025"/>
    <w:next w:val="1025"/>
    <w:link w:val="98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5">
    <w:name w:val="Heading 6"/>
    <w:basedOn w:val="1025"/>
    <w:next w:val="1025"/>
    <w:link w:val="99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6">
    <w:name w:val="Heading 7"/>
    <w:basedOn w:val="1025"/>
    <w:next w:val="1025"/>
    <w:link w:val="99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7">
    <w:name w:val="Heading 8"/>
    <w:basedOn w:val="1025"/>
    <w:next w:val="1025"/>
    <w:link w:val="99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8">
    <w:name w:val="Heading 9"/>
    <w:basedOn w:val="1025"/>
    <w:next w:val="1025"/>
    <w:link w:val="99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9">
    <w:name w:val="Heading 5 Char"/>
    <w:basedOn w:val="1030"/>
    <w:link w:val="984"/>
    <w:uiPriority w:val="9"/>
    <w:pPr>
      <w:pBdr/>
      <w:spacing/>
      <w:ind/>
    </w:pPr>
    <w:rPr>
      <w:rFonts w:ascii="Arial" w:hAnsi="Arial" w:eastAsia="Arial" w:cs="Arial"/>
      <w:color w:val="0f4761" w:themeColor="accent1" w:themeShade="BF"/>
    </w:rPr>
  </w:style>
  <w:style w:type="character" w:styleId="990">
    <w:name w:val="Heading 6 Char"/>
    <w:basedOn w:val="1030"/>
    <w:link w:val="985"/>
    <w:uiPriority w:val="9"/>
    <w:pPr>
      <w:pBdr/>
      <w:spacing/>
      <w:ind/>
    </w:pPr>
    <w:rPr>
      <w:rFonts w:ascii="Arial" w:hAnsi="Arial" w:eastAsia="Arial" w:cs="Arial"/>
      <w:i/>
      <w:iCs/>
      <w:color w:val="595959" w:themeColor="text1" w:themeTint="A6"/>
    </w:rPr>
  </w:style>
  <w:style w:type="character" w:styleId="991">
    <w:name w:val="Heading 7 Char"/>
    <w:basedOn w:val="1030"/>
    <w:link w:val="986"/>
    <w:uiPriority w:val="9"/>
    <w:pPr>
      <w:pBdr/>
      <w:spacing/>
      <w:ind/>
    </w:pPr>
    <w:rPr>
      <w:rFonts w:ascii="Arial" w:hAnsi="Arial" w:eastAsia="Arial" w:cs="Arial"/>
      <w:color w:val="595959" w:themeColor="text1" w:themeTint="A6"/>
    </w:rPr>
  </w:style>
  <w:style w:type="character" w:styleId="992">
    <w:name w:val="Heading 8 Char"/>
    <w:basedOn w:val="1030"/>
    <w:link w:val="987"/>
    <w:uiPriority w:val="9"/>
    <w:pPr>
      <w:pBdr/>
      <w:spacing/>
      <w:ind/>
    </w:pPr>
    <w:rPr>
      <w:rFonts w:ascii="Arial" w:hAnsi="Arial" w:eastAsia="Arial" w:cs="Arial"/>
      <w:i/>
      <w:iCs/>
      <w:color w:val="272727" w:themeColor="text1" w:themeTint="D8"/>
    </w:rPr>
  </w:style>
  <w:style w:type="character" w:styleId="993">
    <w:name w:val="Heading 9 Char"/>
    <w:basedOn w:val="1030"/>
    <w:link w:val="988"/>
    <w:uiPriority w:val="9"/>
    <w:pPr>
      <w:pBdr/>
      <w:spacing/>
      <w:ind/>
    </w:pPr>
    <w:rPr>
      <w:rFonts w:ascii="Arial" w:hAnsi="Arial" w:eastAsia="Arial" w:cs="Arial"/>
      <w:i/>
      <w:iCs/>
      <w:color w:val="272727" w:themeColor="text1" w:themeTint="D8"/>
    </w:rPr>
  </w:style>
  <w:style w:type="paragraph" w:styleId="994">
    <w:name w:val="Subtitle"/>
    <w:basedOn w:val="1025"/>
    <w:next w:val="1025"/>
    <w:link w:val="995"/>
    <w:uiPriority w:val="11"/>
    <w:qFormat/>
    <w:pPr>
      <w:numPr>
        <w:ilvl w:val="1"/>
      </w:numPr>
      <w:pBdr/>
      <w:spacing/>
      <w:ind/>
    </w:pPr>
    <w:rPr>
      <w:color w:val="595959" w:themeColor="text1" w:themeTint="A6"/>
      <w:spacing w:val="15"/>
      <w:sz w:val="28"/>
      <w:szCs w:val="28"/>
    </w:rPr>
  </w:style>
  <w:style w:type="character" w:styleId="995">
    <w:name w:val="Subtitle Char"/>
    <w:basedOn w:val="1030"/>
    <w:link w:val="994"/>
    <w:uiPriority w:val="11"/>
    <w:pPr>
      <w:pBdr/>
      <w:spacing/>
      <w:ind/>
    </w:pPr>
    <w:rPr>
      <w:color w:val="595959" w:themeColor="text1" w:themeTint="A6"/>
      <w:spacing w:val="15"/>
      <w:sz w:val="28"/>
      <w:szCs w:val="28"/>
    </w:rPr>
  </w:style>
  <w:style w:type="paragraph" w:styleId="996">
    <w:name w:val="Quote"/>
    <w:basedOn w:val="1025"/>
    <w:next w:val="1025"/>
    <w:link w:val="997"/>
    <w:uiPriority w:val="29"/>
    <w:qFormat/>
    <w:pPr>
      <w:pBdr/>
      <w:spacing w:before="160"/>
      <w:ind/>
      <w:jc w:val="center"/>
    </w:pPr>
    <w:rPr>
      <w:i/>
      <w:iCs/>
      <w:color w:val="404040" w:themeColor="text1" w:themeTint="BF"/>
    </w:rPr>
  </w:style>
  <w:style w:type="character" w:styleId="997">
    <w:name w:val="Quote Char"/>
    <w:basedOn w:val="1030"/>
    <w:link w:val="996"/>
    <w:uiPriority w:val="29"/>
    <w:pPr>
      <w:pBdr/>
      <w:spacing/>
      <w:ind/>
    </w:pPr>
    <w:rPr>
      <w:i/>
      <w:iCs/>
      <w:color w:val="404040" w:themeColor="text1" w:themeTint="BF"/>
    </w:rPr>
  </w:style>
  <w:style w:type="character" w:styleId="998">
    <w:name w:val="Intense Emphasis"/>
    <w:basedOn w:val="1030"/>
    <w:uiPriority w:val="21"/>
    <w:qFormat/>
    <w:pPr>
      <w:pBdr/>
      <w:spacing/>
      <w:ind/>
    </w:pPr>
    <w:rPr>
      <w:i/>
      <w:iCs/>
      <w:color w:val="0f4761" w:themeColor="accent1" w:themeShade="BF"/>
    </w:rPr>
  </w:style>
  <w:style w:type="paragraph" w:styleId="999">
    <w:name w:val="Intense Quote"/>
    <w:basedOn w:val="1025"/>
    <w:next w:val="1025"/>
    <w:link w:val="100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000">
    <w:name w:val="Intense Quote Char"/>
    <w:basedOn w:val="1030"/>
    <w:link w:val="999"/>
    <w:uiPriority w:val="30"/>
    <w:pPr>
      <w:pBdr/>
      <w:spacing/>
      <w:ind/>
    </w:pPr>
    <w:rPr>
      <w:i/>
      <w:iCs/>
      <w:color w:val="0f4761" w:themeColor="accent1" w:themeShade="BF"/>
    </w:rPr>
  </w:style>
  <w:style w:type="character" w:styleId="1001">
    <w:name w:val="Intense Reference"/>
    <w:basedOn w:val="1030"/>
    <w:uiPriority w:val="32"/>
    <w:qFormat/>
    <w:pPr>
      <w:pBdr/>
      <w:spacing/>
      <w:ind/>
    </w:pPr>
    <w:rPr>
      <w:b/>
      <w:bCs/>
      <w:smallCaps/>
      <w:color w:val="0f4761" w:themeColor="accent1" w:themeShade="BF"/>
      <w:spacing w:val="5"/>
    </w:rPr>
  </w:style>
  <w:style w:type="paragraph" w:styleId="1002">
    <w:name w:val="No Spacing"/>
    <w:basedOn w:val="1025"/>
    <w:uiPriority w:val="1"/>
    <w:qFormat/>
    <w:pPr>
      <w:pBdr/>
      <w:spacing w:after="0" w:line="240" w:lineRule="auto"/>
      <w:ind/>
    </w:pPr>
  </w:style>
  <w:style w:type="character" w:styleId="1003">
    <w:name w:val="Subtle Emphasis"/>
    <w:basedOn w:val="1030"/>
    <w:uiPriority w:val="19"/>
    <w:qFormat/>
    <w:pPr>
      <w:pBdr/>
      <w:spacing/>
      <w:ind/>
    </w:pPr>
    <w:rPr>
      <w:i/>
      <w:iCs/>
      <w:color w:val="404040" w:themeColor="text1" w:themeTint="BF"/>
    </w:rPr>
  </w:style>
  <w:style w:type="character" w:styleId="1004">
    <w:name w:val="Subtle Reference"/>
    <w:basedOn w:val="1030"/>
    <w:uiPriority w:val="31"/>
    <w:qFormat/>
    <w:pPr>
      <w:pBdr/>
      <w:spacing/>
      <w:ind/>
    </w:pPr>
    <w:rPr>
      <w:smallCaps/>
      <w:color w:val="5a5a5a" w:themeColor="text1" w:themeTint="A5"/>
    </w:rPr>
  </w:style>
  <w:style w:type="character" w:styleId="1005">
    <w:name w:val="Book Title"/>
    <w:basedOn w:val="1030"/>
    <w:uiPriority w:val="33"/>
    <w:qFormat/>
    <w:pPr>
      <w:pBdr/>
      <w:spacing/>
      <w:ind/>
    </w:pPr>
    <w:rPr>
      <w:b/>
      <w:bCs/>
      <w:i/>
      <w:iCs/>
      <w:spacing w:val="5"/>
    </w:rPr>
  </w:style>
  <w:style w:type="paragraph" w:styleId="1006">
    <w:name w:val="Caption"/>
    <w:basedOn w:val="1025"/>
    <w:next w:val="1025"/>
    <w:uiPriority w:val="35"/>
    <w:unhideWhenUsed/>
    <w:qFormat/>
    <w:pPr>
      <w:pBdr/>
      <w:spacing w:after="200" w:line="240" w:lineRule="auto"/>
      <w:ind/>
    </w:pPr>
    <w:rPr>
      <w:i/>
      <w:iCs/>
      <w:color w:val="0e2841" w:themeColor="text2"/>
      <w:sz w:val="18"/>
      <w:szCs w:val="18"/>
    </w:rPr>
  </w:style>
  <w:style w:type="paragraph" w:styleId="1007">
    <w:name w:val="footnote text"/>
    <w:basedOn w:val="1025"/>
    <w:link w:val="1008"/>
    <w:uiPriority w:val="99"/>
    <w:semiHidden/>
    <w:unhideWhenUsed/>
    <w:pPr>
      <w:pBdr/>
      <w:spacing w:after="0" w:line="240" w:lineRule="auto"/>
      <w:ind/>
    </w:pPr>
    <w:rPr>
      <w:sz w:val="20"/>
      <w:szCs w:val="20"/>
    </w:rPr>
  </w:style>
  <w:style w:type="character" w:styleId="1008">
    <w:name w:val="Footnote Text Char"/>
    <w:basedOn w:val="1030"/>
    <w:link w:val="1007"/>
    <w:uiPriority w:val="99"/>
    <w:semiHidden/>
    <w:pPr>
      <w:pBdr/>
      <w:spacing/>
      <w:ind/>
    </w:pPr>
    <w:rPr>
      <w:sz w:val="20"/>
      <w:szCs w:val="20"/>
    </w:rPr>
  </w:style>
  <w:style w:type="character" w:styleId="1009">
    <w:name w:val="footnote reference"/>
    <w:basedOn w:val="1030"/>
    <w:uiPriority w:val="99"/>
    <w:semiHidden/>
    <w:unhideWhenUsed/>
    <w:pPr>
      <w:pBdr/>
      <w:spacing/>
      <w:ind/>
    </w:pPr>
    <w:rPr>
      <w:vertAlign w:val="superscript"/>
    </w:rPr>
  </w:style>
  <w:style w:type="paragraph" w:styleId="1010">
    <w:name w:val="endnote text"/>
    <w:basedOn w:val="1025"/>
    <w:link w:val="1011"/>
    <w:uiPriority w:val="99"/>
    <w:semiHidden/>
    <w:unhideWhenUsed/>
    <w:pPr>
      <w:pBdr/>
      <w:spacing w:after="0" w:line="240" w:lineRule="auto"/>
      <w:ind/>
    </w:pPr>
    <w:rPr>
      <w:sz w:val="20"/>
      <w:szCs w:val="20"/>
    </w:rPr>
  </w:style>
  <w:style w:type="character" w:styleId="1011">
    <w:name w:val="Endnote Text Char"/>
    <w:basedOn w:val="1030"/>
    <w:link w:val="1010"/>
    <w:uiPriority w:val="99"/>
    <w:semiHidden/>
    <w:pPr>
      <w:pBdr/>
      <w:spacing/>
      <w:ind/>
    </w:pPr>
    <w:rPr>
      <w:sz w:val="20"/>
      <w:szCs w:val="20"/>
    </w:rPr>
  </w:style>
  <w:style w:type="character" w:styleId="1012">
    <w:name w:val="endnote reference"/>
    <w:basedOn w:val="1030"/>
    <w:uiPriority w:val="99"/>
    <w:semiHidden/>
    <w:unhideWhenUsed/>
    <w:pPr>
      <w:pBdr/>
      <w:spacing/>
      <w:ind/>
    </w:pPr>
    <w:rPr>
      <w:vertAlign w:val="superscript"/>
    </w:rPr>
  </w:style>
  <w:style w:type="paragraph" w:styleId="1013">
    <w:name w:val="toc 1"/>
    <w:basedOn w:val="1025"/>
    <w:next w:val="1025"/>
    <w:uiPriority w:val="39"/>
    <w:unhideWhenUsed/>
    <w:pPr>
      <w:pBdr/>
      <w:spacing w:after="100"/>
      <w:ind/>
    </w:pPr>
  </w:style>
  <w:style w:type="paragraph" w:styleId="1014">
    <w:name w:val="toc 2"/>
    <w:basedOn w:val="1025"/>
    <w:next w:val="1025"/>
    <w:uiPriority w:val="39"/>
    <w:unhideWhenUsed/>
    <w:pPr>
      <w:pBdr/>
      <w:spacing w:after="100"/>
      <w:ind w:left="220"/>
    </w:pPr>
  </w:style>
  <w:style w:type="paragraph" w:styleId="1015">
    <w:name w:val="toc 3"/>
    <w:basedOn w:val="1025"/>
    <w:next w:val="1025"/>
    <w:uiPriority w:val="39"/>
    <w:unhideWhenUsed/>
    <w:pPr>
      <w:pBdr/>
      <w:spacing w:after="100"/>
      <w:ind w:left="440"/>
    </w:pPr>
  </w:style>
  <w:style w:type="paragraph" w:styleId="1016">
    <w:name w:val="toc 4"/>
    <w:basedOn w:val="1025"/>
    <w:next w:val="1025"/>
    <w:uiPriority w:val="39"/>
    <w:unhideWhenUsed/>
    <w:pPr>
      <w:pBdr/>
      <w:spacing w:after="100"/>
      <w:ind w:left="660"/>
    </w:pPr>
  </w:style>
  <w:style w:type="paragraph" w:styleId="1017">
    <w:name w:val="toc 5"/>
    <w:basedOn w:val="1025"/>
    <w:next w:val="1025"/>
    <w:uiPriority w:val="39"/>
    <w:unhideWhenUsed/>
    <w:pPr>
      <w:pBdr/>
      <w:spacing w:after="100"/>
      <w:ind w:left="880"/>
    </w:pPr>
  </w:style>
  <w:style w:type="paragraph" w:styleId="1018">
    <w:name w:val="toc 6"/>
    <w:basedOn w:val="1025"/>
    <w:next w:val="1025"/>
    <w:uiPriority w:val="39"/>
    <w:unhideWhenUsed/>
    <w:pPr>
      <w:pBdr/>
      <w:spacing w:after="100"/>
      <w:ind w:left="1100"/>
    </w:pPr>
  </w:style>
  <w:style w:type="paragraph" w:styleId="1019">
    <w:name w:val="toc 7"/>
    <w:basedOn w:val="1025"/>
    <w:next w:val="1025"/>
    <w:uiPriority w:val="39"/>
    <w:unhideWhenUsed/>
    <w:pPr>
      <w:pBdr/>
      <w:spacing w:after="100"/>
      <w:ind w:left="1320"/>
    </w:pPr>
  </w:style>
  <w:style w:type="paragraph" w:styleId="1020">
    <w:name w:val="toc 8"/>
    <w:basedOn w:val="1025"/>
    <w:next w:val="1025"/>
    <w:uiPriority w:val="39"/>
    <w:unhideWhenUsed/>
    <w:pPr>
      <w:pBdr/>
      <w:spacing w:after="100"/>
      <w:ind w:left="1540"/>
    </w:pPr>
  </w:style>
  <w:style w:type="paragraph" w:styleId="1021">
    <w:name w:val="toc 9"/>
    <w:basedOn w:val="1025"/>
    <w:next w:val="1025"/>
    <w:uiPriority w:val="39"/>
    <w:unhideWhenUsed/>
    <w:pPr>
      <w:pBdr/>
      <w:spacing w:after="100"/>
      <w:ind w:left="1760"/>
    </w:pPr>
  </w:style>
  <w:style w:type="character" w:styleId="1022">
    <w:name w:val="Placeholder Text"/>
    <w:basedOn w:val="1030"/>
    <w:uiPriority w:val="99"/>
    <w:semiHidden/>
    <w:pPr>
      <w:pBdr/>
      <w:spacing/>
      <w:ind/>
    </w:pPr>
    <w:rPr>
      <w:color w:val="666666"/>
    </w:rPr>
  </w:style>
  <w:style w:type="paragraph" w:styleId="1023">
    <w:name w:val="TOC Heading"/>
    <w:uiPriority w:val="39"/>
    <w:unhideWhenUsed/>
    <w:pPr>
      <w:pBdr/>
      <w:spacing/>
      <w:ind/>
    </w:pPr>
  </w:style>
  <w:style w:type="paragraph" w:styleId="1024">
    <w:name w:val="table of figures"/>
    <w:basedOn w:val="1025"/>
    <w:next w:val="1025"/>
    <w:uiPriority w:val="99"/>
    <w:unhideWhenUsed/>
    <w:pPr>
      <w:pBdr/>
      <w:spacing w:after="0" w:afterAutospacing="0"/>
      <w:ind/>
    </w:pPr>
  </w:style>
  <w:style w:type="paragraph" w:styleId="1025" w:default="1">
    <w:name w:val="Normal"/>
    <w:qFormat/>
    <w:pPr>
      <w:pBdr/>
      <w:spacing w:after="0" w:line="240" w:lineRule="auto"/>
      <w:ind/>
    </w:pPr>
    <w:rPr>
      <w:rFonts w:ascii="Times New Roman" w:hAnsi="Times New Roman" w:eastAsia="Times New Roman" w:cs="Times New Roman"/>
      <w:sz w:val="24"/>
      <w:szCs w:val="24"/>
    </w:rPr>
  </w:style>
  <w:style w:type="paragraph" w:styleId="1026">
    <w:name w:val="Heading 1"/>
    <w:basedOn w:val="1025"/>
    <w:next w:val="1025"/>
    <w:link w:val="1033"/>
    <w:qFormat/>
    <w:pPr>
      <w:keepNext w:val="true"/>
      <w:pBdr/>
      <w:spacing w:after="120" w:before="120"/>
      <w:ind/>
      <w:jc w:val="center"/>
      <w:outlineLvl w:val="0"/>
    </w:pPr>
    <w:rPr>
      <w:b/>
      <w:bCs/>
      <w:sz w:val="27"/>
      <w:szCs w:val="27"/>
    </w:rPr>
  </w:style>
  <w:style w:type="paragraph" w:styleId="1027">
    <w:name w:val="Heading 2"/>
    <w:basedOn w:val="1025"/>
    <w:next w:val="1025"/>
    <w:link w:val="103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8">
    <w:name w:val="Heading 3"/>
    <w:basedOn w:val="1025"/>
    <w:next w:val="1025"/>
    <w:link w:val="1035"/>
    <w:qFormat/>
    <w:pPr>
      <w:keepNext w:val="true"/>
      <w:pBdr/>
      <w:spacing w:before="60"/>
      <w:ind/>
      <w:outlineLvl w:val="2"/>
    </w:pPr>
    <w:rPr>
      <w:sz w:val="28"/>
      <w:szCs w:val="28"/>
    </w:rPr>
  </w:style>
  <w:style w:type="paragraph" w:styleId="1029">
    <w:name w:val="Heading 4"/>
    <w:basedOn w:val="1025"/>
    <w:next w:val="1025"/>
    <w:link w:val="1036"/>
    <w:qFormat/>
    <w:pPr>
      <w:keepNext w:val="true"/>
      <w:pBdr/>
      <w:spacing/>
      <w:ind/>
      <w:jc w:val="center"/>
      <w:outlineLvl w:val="3"/>
    </w:pPr>
    <w:rPr>
      <w:b/>
      <w:bCs/>
    </w:rPr>
  </w:style>
  <w:style w:type="character" w:styleId="1030" w:default="1">
    <w:name w:val="Default Paragraph Font"/>
    <w:uiPriority w:val="1"/>
    <w:semiHidden/>
    <w:unhideWhenUsed/>
    <w:pPr>
      <w:pBdr/>
      <w:spacing/>
      <w:ind/>
    </w:pPr>
  </w:style>
  <w:style w:type="table" w:styleId="103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32" w:default="1">
    <w:name w:val="No List"/>
    <w:uiPriority w:val="99"/>
    <w:semiHidden/>
    <w:unhideWhenUsed/>
    <w:pPr>
      <w:pBdr/>
      <w:spacing/>
      <w:ind/>
    </w:pPr>
  </w:style>
  <w:style w:type="character" w:styleId="1033" w:customStyle="1">
    <w:name w:val="Heading 1 Char"/>
    <w:basedOn w:val="1030"/>
    <w:link w:val="1026"/>
    <w:pPr>
      <w:pBdr/>
      <w:spacing/>
      <w:ind/>
    </w:pPr>
    <w:rPr>
      <w:rFonts w:ascii="Times New Roman" w:hAnsi="Times New Roman" w:eastAsia="Times New Roman" w:cs="Times New Roman"/>
      <w:b/>
      <w:bCs/>
      <w:sz w:val="27"/>
      <w:szCs w:val="27"/>
    </w:rPr>
  </w:style>
  <w:style w:type="character" w:styleId="1034" w:customStyle="1">
    <w:name w:val="Heading 2 Char"/>
    <w:basedOn w:val="1030"/>
    <w:link w:val="1027"/>
    <w:uiPriority w:val="9"/>
    <w:pPr>
      <w:pBdr/>
      <w:spacing/>
      <w:ind/>
    </w:pPr>
    <w:rPr>
      <w:rFonts w:asciiTheme="majorHAnsi" w:hAnsiTheme="majorHAnsi" w:eastAsiaTheme="majorEastAsia" w:cstheme="majorBidi"/>
      <w:color w:val="365f91" w:themeColor="accent1" w:themeShade="BF"/>
      <w:sz w:val="26"/>
      <w:szCs w:val="26"/>
    </w:rPr>
  </w:style>
  <w:style w:type="character" w:styleId="1035" w:customStyle="1">
    <w:name w:val="Heading 3 Char"/>
    <w:basedOn w:val="1030"/>
    <w:link w:val="1028"/>
    <w:pPr>
      <w:pBdr/>
      <w:spacing/>
      <w:ind/>
    </w:pPr>
    <w:rPr>
      <w:rFonts w:ascii="Times New Roman" w:hAnsi="Times New Roman" w:eastAsia="Times New Roman" w:cs="Times New Roman"/>
      <w:sz w:val="28"/>
      <w:szCs w:val="28"/>
    </w:rPr>
  </w:style>
  <w:style w:type="character" w:styleId="1036" w:customStyle="1">
    <w:name w:val="Heading 4 Char"/>
    <w:basedOn w:val="1030"/>
    <w:link w:val="1029"/>
    <w:pPr>
      <w:pBdr/>
      <w:spacing/>
      <w:ind/>
    </w:pPr>
    <w:rPr>
      <w:rFonts w:ascii="Times New Roman" w:hAnsi="Times New Roman" w:eastAsia="Times New Roman" w:cs="Times New Roman"/>
      <w:b/>
      <w:bCs/>
      <w:sz w:val="24"/>
      <w:szCs w:val="24"/>
    </w:rPr>
  </w:style>
  <w:style w:type="character" w:styleId="1037">
    <w:name w:val="Hyperlink"/>
    <w:uiPriority w:val="99"/>
    <w:pPr>
      <w:pBdr/>
      <w:spacing/>
      <w:ind/>
    </w:pPr>
    <w:rPr>
      <w:color w:val="000000"/>
      <w:u w:val="single"/>
    </w:rPr>
  </w:style>
  <w:style w:type="character" w:styleId="1038">
    <w:name w:val="Strong"/>
    <w:uiPriority w:val="22"/>
    <w:qFormat/>
    <w:pPr>
      <w:pBdr/>
      <w:spacing/>
      <w:ind/>
    </w:pPr>
    <w:rPr>
      <w:b/>
      <w:bCs/>
    </w:rPr>
  </w:style>
  <w:style w:type="paragraph" w:styleId="1039">
    <w:name w:val="Balloon Text"/>
    <w:basedOn w:val="1025"/>
    <w:link w:val="1040"/>
    <w:uiPriority w:val="99"/>
    <w:semiHidden/>
    <w:unhideWhenUsed/>
    <w:pPr>
      <w:pBdr/>
      <w:spacing/>
      <w:ind/>
    </w:pPr>
    <w:rPr>
      <w:rFonts w:ascii="Tahoma" w:hAnsi="Tahoma" w:cs="Tahoma"/>
      <w:sz w:val="16"/>
      <w:szCs w:val="16"/>
    </w:rPr>
  </w:style>
  <w:style w:type="character" w:styleId="1040" w:customStyle="1">
    <w:name w:val="Balloon Text Char"/>
    <w:basedOn w:val="1030"/>
    <w:link w:val="1039"/>
    <w:uiPriority w:val="99"/>
    <w:semiHidden/>
    <w:pPr>
      <w:pBdr/>
      <w:spacing/>
      <w:ind/>
    </w:pPr>
    <w:rPr>
      <w:rFonts w:ascii="Tahoma" w:hAnsi="Tahoma" w:eastAsia="Times New Roman" w:cs="Tahoma"/>
      <w:sz w:val="16"/>
      <w:szCs w:val="16"/>
    </w:rPr>
  </w:style>
  <w:style w:type="paragraph" w:styleId="1041">
    <w:name w:val="Header"/>
    <w:basedOn w:val="1025"/>
    <w:link w:val="1042"/>
    <w:unhideWhenUsed/>
    <w:pPr>
      <w:pBdr/>
      <w:tabs>
        <w:tab w:val="center" w:leader="none" w:pos="4680"/>
        <w:tab w:val="right" w:leader="none" w:pos="9360"/>
      </w:tabs>
      <w:spacing/>
      <w:ind/>
    </w:pPr>
  </w:style>
  <w:style w:type="character" w:styleId="1042" w:customStyle="1">
    <w:name w:val="Header Char"/>
    <w:basedOn w:val="1030"/>
    <w:link w:val="1041"/>
    <w:pPr>
      <w:pBdr/>
      <w:spacing/>
      <w:ind/>
    </w:pPr>
    <w:rPr>
      <w:rFonts w:ascii="Times New Roman" w:hAnsi="Times New Roman" w:eastAsia="Times New Roman" w:cs="Times New Roman"/>
      <w:sz w:val="24"/>
      <w:szCs w:val="24"/>
    </w:rPr>
  </w:style>
  <w:style w:type="paragraph" w:styleId="1043">
    <w:name w:val="Footer"/>
    <w:basedOn w:val="1025"/>
    <w:link w:val="1044"/>
    <w:uiPriority w:val="99"/>
    <w:unhideWhenUsed/>
    <w:pPr>
      <w:pBdr/>
      <w:tabs>
        <w:tab w:val="center" w:leader="none" w:pos="4680"/>
        <w:tab w:val="right" w:leader="none" w:pos="9360"/>
      </w:tabs>
      <w:spacing/>
      <w:ind/>
    </w:pPr>
  </w:style>
  <w:style w:type="character" w:styleId="1044" w:customStyle="1">
    <w:name w:val="Footer Char"/>
    <w:basedOn w:val="1030"/>
    <w:link w:val="1043"/>
    <w:uiPriority w:val="99"/>
    <w:pPr>
      <w:pBdr/>
      <w:spacing/>
      <w:ind/>
    </w:pPr>
    <w:rPr>
      <w:rFonts w:ascii="Times New Roman" w:hAnsi="Times New Roman" w:eastAsia="Times New Roman" w:cs="Times New Roman"/>
      <w:sz w:val="24"/>
      <w:szCs w:val="24"/>
    </w:rPr>
  </w:style>
  <w:style w:type="character" w:styleId="1045" w:customStyle="1">
    <w:name w:val="normal-h1"/>
    <w:pPr>
      <w:pBdr/>
      <w:spacing/>
      <w:ind/>
    </w:pPr>
    <w:rPr>
      <w:rFonts w:hint="default" w:ascii=".VnTime" w:hAnsi=".VnTime"/>
      <w:color w:val="0000ff"/>
      <w:sz w:val="24"/>
      <w:szCs w:val="24"/>
    </w:rPr>
  </w:style>
  <w:style w:type="paragraph" w:styleId="1046" w:customStyle="1">
    <w:name w:val="normal-p"/>
    <w:basedOn w:val="1025"/>
    <w:pPr>
      <w:pBdr/>
      <w:spacing/>
      <w:ind/>
      <w:jc w:val="both"/>
    </w:pPr>
    <w:rPr>
      <w:sz w:val="20"/>
      <w:szCs w:val="20"/>
    </w:rPr>
  </w:style>
  <w:style w:type="paragraph" w:styleId="1047">
    <w:name w:val="List Paragraph"/>
    <w:basedOn w:val="1025"/>
    <w:link w:val="1134"/>
    <w:uiPriority w:val="34"/>
    <w:qFormat/>
    <w:pPr>
      <w:pBdr/>
      <w:spacing/>
      <w:ind w:left="720"/>
    </w:pPr>
  </w:style>
  <w:style w:type="paragraph" w:styleId="1048">
    <w:name w:val="Normal (Web)"/>
    <w:basedOn w:val="1025"/>
    <w:uiPriority w:val="99"/>
    <w:pPr>
      <w:pBdr/>
      <w:spacing w:after="100" w:afterAutospacing="1" w:before="100" w:beforeAutospacing="1"/>
      <w:ind/>
    </w:pPr>
  </w:style>
  <w:style w:type="paragraph" w:styleId="1049">
    <w:name w:val="Body Text"/>
    <w:basedOn w:val="1025"/>
    <w:link w:val="1050"/>
    <w:pPr>
      <w:pBdr/>
      <w:spacing w:after="120"/>
      <w:ind/>
      <w:jc w:val="both"/>
    </w:pPr>
  </w:style>
  <w:style w:type="character" w:styleId="1050" w:customStyle="1">
    <w:name w:val="Body Text Char"/>
    <w:basedOn w:val="1030"/>
    <w:link w:val="1049"/>
    <w:pPr>
      <w:pBdr/>
      <w:spacing/>
      <w:ind/>
    </w:pPr>
    <w:rPr>
      <w:rFonts w:ascii="Times New Roman" w:hAnsi="Times New Roman" w:eastAsia="Times New Roman" w:cs="Times New Roman"/>
      <w:sz w:val="24"/>
      <w:szCs w:val="24"/>
    </w:rPr>
  </w:style>
  <w:style w:type="table" w:styleId="1051">
    <w:name w:val="Table Grid"/>
    <w:basedOn w:val="103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53">
    <w:name w:val="annotation reference"/>
    <w:basedOn w:val="1030"/>
    <w:uiPriority w:val="99"/>
    <w:semiHidden/>
    <w:unhideWhenUsed/>
    <w:pPr>
      <w:pBdr/>
      <w:spacing/>
      <w:ind/>
    </w:pPr>
    <w:rPr>
      <w:sz w:val="16"/>
      <w:szCs w:val="16"/>
    </w:rPr>
  </w:style>
  <w:style w:type="paragraph" w:styleId="1054">
    <w:name w:val="annotation text"/>
    <w:basedOn w:val="1025"/>
    <w:link w:val="1055"/>
    <w:uiPriority w:val="99"/>
    <w:unhideWhenUsed/>
    <w:pPr>
      <w:pBdr/>
      <w:spacing/>
      <w:ind/>
    </w:pPr>
    <w:rPr>
      <w:sz w:val="20"/>
      <w:szCs w:val="20"/>
    </w:rPr>
  </w:style>
  <w:style w:type="character" w:styleId="1055" w:customStyle="1">
    <w:name w:val="Comment Text Char"/>
    <w:basedOn w:val="1030"/>
    <w:link w:val="1054"/>
    <w:uiPriority w:val="99"/>
    <w:pPr>
      <w:pBdr/>
      <w:spacing/>
      <w:ind/>
    </w:pPr>
    <w:rPr>
      <w:rFonts w:ascii="Times New Roman" w:hAnsi="Times New Roman" w:eastAsia="Times New Roman" w:cs="Times New Roman"/>
      <w:sz w:val="20"/>
      <w:szCs w:val="20"/>
    </w:rPr>
  </w:style>
  <w:style w:type="paragraph" w:styleId="1056">
    <w:name w:val="annotation subject"/>
    <w:basedOn w:val="1054"/>
    <w:next w:val="1054"/>
    <w:link w:val="1057"/>
    <w:uiPriority w:val="99"/>
    <w:semiHidden/>
    <w:unhideWhenUsed/>
    <w:pPr>
      <w:pBdr/>
      <w:spacing/>
      <w:ind/>
    </w:pPr>
    <w:rPr>
      <w:b/>
      <w:bCs/>
    </w:rPr>
  </w:style>
  <w:style w:type="character" w:styleId="1057" w:customStyle="1">
    <w:name w:val="Comment Subject Char"/>
    <w:basedOn w:val="1055"/>
    <w:link w:val="1056"/>
    <w:uiPriority w:val="99"/>
    <w:semiHidden/>
    <w:pPr>
      <w:pBdr/>
      <w:spacing/>
      <w:ind/>
    </w:pPr>
    <w:rPr>
      <w:rFonts w:ascii="Times New Roman" w:hAnsi="Times New Roman" w:eastAsia="Times New Roman" w:cs="Times New Roman"/>
      <w:b/>
      <w:bCs/>
      <w:sz w:val="20"/>
      <w:szCs w:val="20"/>
    </w:rPr>
  </w:style>
  <w:style w:type="paragraph" w:styleId="1058" w:customStyle="1">
    <w:name w:val="font5"/>
    <w:basedOn w:val="1025"/>
    <w:pPr>
      <w:pBdr/>
      <w:spacing w:after="100" w:afterAutospacing="1" w:before="100" w:beforeAutospacing="1"/>
      <w:ind/>
    </w:pPr>
    <w:rPr>
      <w:rFonts w:ascii="Tahoma" w:hAnsi="Tahoma" w:cs="Tahoma"/>
      <w:color w:val="000000"/>
      <w:sz w:val="18"/>
      <w:szCs w:val="18"/>
    </w:rPr>
  </w:style>
  <w:style w:type="paragraph" w:styleId="1059" w:customStyle="1">
    <w:name w:val="font6"/>
    <w:basedOn w:val="1025"/>
    <w:pPr>
      <w:pBdr/>
      <w:spacing w:after="100" w:afterAutospacing="1" w:before="100" w:beforeAutospacing="1"/>
      <w:ind/>
    </w:pPr>
    <w:rPr>
      <w:rFonts w:ascii="Tahoma" w:hAnsi="Tahoma" w:cs="Tahoma"/>
      <w:b/>
      <w:bCs/>
      <w:color w:val="000000"/>
      <w:sz w:val="18"/>
      <w:szCs w:val="18"/>
    </w:rPr>
  </w:style>
  <w:style w:type="paragraph" w:styleId="1060" w:customStyle="1">
    <w:name w:val="xl233"/>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1" w:customStyle="1">
    <w:name w:val="xl234"/>
    <w:basedOn w:val="1025"/>
    <w:pPr>
      <w:pBdr/>
      <w:spacing w:after="100" w:afterAutospacing="1" w:before="100" w:beforeAutospacing="1"/>
      <w:ind/>
      <w:jc w:val="center"/>
    </w:pPr>
  </w:style>
  <w:style w:type="paragraph" w:styleId="1062" w:customStyle="1">
    <w:name w:val="xl235"/>
    <w:basedOn w:val="1025"/>
    <w:pPr>
      <w:pBdr/>
      <w:spacing w:after="100" w:afterAutospacing="1" w:before="100" w:beforeAutospacing="1"/>
      <w:ind/>
      <w:jc w:val="center"/>
    </w:pPr>
    <w:rPr>
      <w:b/>
      <w:bCs/>
    </w:rPr>
  </w:style>
  <w:style w:type="paragraph" w:styleId="1063" w:customStyle="1">
    <w:name w:val="xl236"/>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4" w:customStyle="1">
    <w:name w:val="xl237"/>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5" w:customStyle="1">
    <w:name w:val="xl238"/>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6" w:customStyle="1">
    <w:name w:val="xl239"/>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7" w:customStyle="1">
    <w:name w:val="xl240"/>
    <w:basedOn w:val="1025"/>
    <w:pPr>
      <w:pBdr/>
      <w:spacing w:after="100" w:afterAutospacing="1" w:before="100" w:beforeAutospacing="1"/>
      <w:ind/>
    </w:pPr>
  </w:style>
  <w:style w:type="paragraph" w:styleId="1068" w:customStyle="1">
    <w:name w:val="xl241"/>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9" w:customStyle="1">
    <w:name w:val="xl242"/>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43"/>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44"/>
    <w:basedOn w:val="1025"/>
    <w:pPr>
      <w:pBdr/>
      <w:spacing w:after="100" w:afterAutospacing="1" w:before="100" w:beforeAutospacing="1"/>
      <w:ind/>
    </w:pPr>
    <w:rPr>
      <w:b/>
      <w:bCs/>
    </w:rPr>
  </w:style>
  <w:style w:type="paragraph" w:styleId="1072" w:customStyle="1">
    <w:name w:val="xl245"/>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3" w:customStyle="1">
    <w:name w:val="xl246"/>
    <w:basedOn w:val="102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4" w:customStyle="1">
    <w:name w:val="xl247"/>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5" w:customStyle="1">
    <w:name w:val="xl248"/>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49"/>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7" w:customStyle="1">
    <w:name w:val="xl250"/>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51"/>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9" w:customStyle="1">
    <w:name w:val="xl252"/>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0" w:customStyle="1">
    <w:name w:val="xl253"/>
    <w:basedOn w:val="102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1" w:customStyle="1">
    <w:name w:val="xl254"/>
    <w:basedOn w:val="102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2" w:customStyle="1">
    <w:name w:val="xl255"/>
    <w:basedOn w:val="102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56"/>
    <w:basedOn w:val="102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4" w:customStyle="1">
    <w:name w:val="xl257"/>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5" w:customStyle="1">
    <w:name w:val="xl258"/>
    <w:basedOn w:val="102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6" w:customStyle="1">
    <w:name w:val="xl259"/>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7" w:customStyle="1">
    <w:name w:val="xl260"/>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8" w:customStyle="1">
    <w:name w:val="xl261"/>
    <w:basedOn w:val="102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9" w:customStyle="1">
    <w:name w:val="xl262"/>
    <w:basedOn w:val="102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0" w:customStyle="1">
    <w:name w:val="xl263"/>
    <w:basedOn w:val="1025"/>
    <w:pPr>
      <w:pBdr/>
      <w:shd w:val="clear" w:color="000000" w:fill="ffffff"/>
      <w:spacing w:after="100" w:afterAutospacing="1" w:before="100" w:beforeAutospacing="1"/>
      <w:ind/>
    </w:pPr>
  </w:style>
  <w:style w:type="paragraph" w:styleId="1091" w:customStyle="1">
    <w:name w:val="xl264"/>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2" w:customStyle="1">
    <w:name w:val="xl265"/>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3" w:customStyle="1">
    <w:name w:val="xl266"/>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4" w:customStyle="1">
    <w:name w:val="xl267"/>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5" w:customStyle="1">
    <w:name w:val="xl268"/>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6" w:customStyle="1">
    <w:name w:val="xl269"/>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7" w:customStyle="1">
    <w:name w:val="xl270"/>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71"/>
    <w:basedOn w:val="102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9" w:customStyle="1">
    <w:name w:val="xl272"/>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100" w:customStyle="1">
    <w:name w:val="xl273"/>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1" w:customStyle="1">
    <w:name w:val="xl274"/>
    <w:basedOn w:val="102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102" w:customStyle="1">
    <w:name w:val="xl275"/>
    <w:basedOn w:val="1025"/>
    <w:pPr>
      <w:pBdr/>
      <w:spacing w:after="100" w:afterAutospacing="1" w:before="100" w:beforeAutospacing="1"/>
      <w:ind/>
    </w:pPr>
  </w:style>
  <w:style w:type="paragraph" w:styleId="1103" w:customStyle="1">
    <w:name w:val="xl276"/>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4" w:customStyle="1">
    <w:name w:val="xl277"/>
    <w:basedOn w:val="102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5" w:customStyle="1">
    <w:name w:val="xl278"/>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6" w:customStyle="1">
    <w:name w:val="xl279"/>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7" w:customStyle="1">
    <w:name w:val="xl280"/>
    <w:basedOn w:val="102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8" w:customStyle="1">
    <w:name w:val="xl281"/>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9" w:customStyle="1">
    <w:name w:val="xl282"/>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0" w:customStyle="1">
    <w:name w:val="xl283"/>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1" w:customStyle="1">
    <w:name w:val="xl284"/>
    <w:basedOn w:val="1025"/>
    <w:pPr>
      <w:pBdr>
        <w:left w:val="single" w:color="000000" w:sz="4" w:space="0"/>
        <w:bottom w:val="single" w:color="000000" w:sz="4" w:space="0"/>
        <w:right w:val="single" w:color="000000" w:sz="4" w:space="0"/>
      </w:pBdr>
      <w:spacing w:after="100" w:afterAutospacing="1" w:before="100" w:beforeAutospacing="1"/>
      <w:ind/>
    </w:pPr>
  </w:style>
  <w:style w:type="paragraph" w:styleId="1112" w:customStyle="1">
    <w:name w:val="xl285"/>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13" w:customStyle="1">
    <w:name w:val="xl286"/>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4" w:customStyle="1">
    <w:name w:val="xl287"/>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5" w:customStyle="1">
    <w:name w:val="xl288"/>
    <w:basedOn w:val="1025"/>
    <w:pPr>
      <w:pBdr>
        <w:top w:val="single" w:color="000000" w:sz="4" w:space="0"/>
        <w:left w:val="single" w:color="000000" w:sz="4" w:space="0"/>
        <w:right w:val="single" w:color="000000" w:sz="4" w:space="0"/>
      </w:pBdr>
      <w:spacing w:after="100" w:afterAutospacing="1" w:before="100" w:beforeAutospacing="1"/>
      <w:ind/>
    </w:pPr>
  </w:style>
  <w:style w:type="paragraph" w:styleId="1116" w:customStyle="1">
    <w:name w:val="xl289"/>
    <w:basedOn w:val="1025"/>
    <w:pPr>
      <w:pBdr>
        <w:left w:val="single" w:color="000000" w:sz="4" w:space="0"/>
        <w:right w:val="single" w:color="000000" w:sz="4" w:space="0"/>
      </w:pBdr>
      <w:spacing w:after="100" w:afterAutospacing="1" w:before="100" w:beforeAutospacing="1"/>
      <w:ind/>
    </w:pPr>
    <w:rPr>
      <w:b/>
      <w:bCs/>
    </w:rPr>
  </w:style>
  <w:style w:type="paragraph" w:styleId="1117" w:customStyle="1">
    <w:name w:val="xl290"/>
    <w:basedOn w:val="102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8" w:customStyle="1">
    <w:name w:val="xl291"/>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9" w:customStyle="1">
    <w:name w:val="xl292"/>
    <w:basedOn w:val="1025"/>
    <w:pPr>
      <w:pBdr>
        <w:top w:val="single" w:color="000000" w:sz="4" w:space="0"/>
        <w:left w:val="single" w:color="000000" w:sz="4" w:space="0"/>
        <w:right w:val="single" w:color="000000" w:sz="4" w:space="0"/>
      </w:pBdr>
      <w:spacing w:after="100" w:afterAutospacing="1" w:before="100" w:beforeAutospacing="1"/>
      <w:ind/>
    </w:pPr>
  </w:style>
  <w:style w:type="paragraph" w:styleId="1120" w:customStyle="1">
    <w:name w:val="xl293"/>
    <w:basedOn w:val="1025"/>
    <w:pPr>
      <w:pBdr>
        <w:left w:val="single" w:color="000000" w:sz="4" w:space="0"/>
        <w:bottom w:val="single" w:color="000000" w:sz="4" w:space="0"/>
        <w:right w:val="single" w:color="000000" w:sz="4" w:space="0"/>
      </w:pBdr>
      <w:spacing w:after="100" w:afterAutospacing="1" w:before="100" w:beforeAutospacing="1"/>
      <w:ind/>
    </w:pPr>
  </w:style>
  <w:style w:type="paragraph" w:styleId="1121" w:customStyle="1">
    <w:name w:val="xl294"/>
    <w:basedOn w:val="102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22">
    <w:name w:val="Title"/>
    <w:basedOn w:val="1025"/>
    <w:link w:val="1123"/>
    <w:qFormat/>
    <w:pPr>
      <w:pBdr/>
      <w:spacing/>
      <w:ind/>
      <w:jc w:val="center"/>
    </w:pPr>
    <w:rPr>
      <w:b/>
      <w:bCs/>
      <w:sz w:val="32"/>
      <w:szCs w:val="26"/>
    </w:rPr>
  </w:style>
  <w:style w:type="character" w:styleId="1123" w:customStyle="1">
    <w:name w:val="Title Char"/>
    <w:basedOn w:val="1030"/>
    <w:link w:val="1122"/>
    <w:pPr>
      <w:pBdr/>
      <w:spacing/>
      <w:ind/>
    </w:pPr>
    <w:rPr>
      <w:rFonts w:ascii="Times New Roman" w:hAnsi="Times New Roman" w:eastAsia="Times New Roman" w:cs="Times New Roman"/>
      <w:b/>
      <w:bCs/>
      <w:sz w:val="32"/>
      <w:szCs w:val="26"/>
    </w:rPr>
  </w:style>
  <w:style w:type="character" w:styleId="1124" w:customStyle="1">
    <w:name w:val="Unresolved Mention1"/>
    <w:basedOn w:val="1030"/>
    <w:uiPriority w:val="99"/>
    <w:semiHidden/>
    <w:unhideWhenUsed/>
    <w:pPr>
      <w:pBdr/>
      <w:spacing/>
      <w:ind/>
    </w:pPr>
    <w:rPr>
      <w:color w:val="605e5c"/>
      <w:shd w:val="clear" w:color="auto" w:fill="e1dfdd"/>
    </w:rPr>
  </w:style>
  <w:style w:type="character" w:styleId="1125" w:customStyle="1">
    <w:name w:val="Body text (3)_"/>
    <w:link w:val="1126"/>
    <w:pPr>
      <w:pBdr/>
      <w:spacing/>
      <w:ind/>
    </w:pPr>
    <w:rPr>
      <w:rFonts w:ascii="Times New Roman" w:hAnsi="Times New Roman" w:cs="Times New Roman"/>
      <w:i/>
      <w:iCs/>
      <w:spacing w:val="4"/>
      <w:shd w:val="clear" w:color="auto" w:fill="ffffff"/>
    </w:rPr>
  </w:style>
  <w:style w:type="paragraph" w:styleId="1126" w:customStyle="1">
    <w:name w:val="Body text (3)1"/>
    <w:basedOn w:val="1025"/>
    <w:link w:val="112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7" w:customStyle="1">
    <w:name w:val="t-j"/>
    <w:basedOn w:val="1025"/>
    <w:pPr>
      <w:pBdr/>
      <w:spacing w:after="100" w:afterAutospacing="1" w:before="100" w:beforeAutospacing="1"/>
      <w:ind/>
    </w:pPr>
  </w:style>
  <w:style w:type="character" w:styleId="1128" w:customStyle="1">
    <w:name w:val="Unresolved Mention2"/>
    <w:basedOn w:val="1030"/>
    <w:uiPriority w:val="99"/>
    <w:semiHidden/>
    <w:unhideWhenUsed/>
    <w:pPr>
      <w:pBdr/>
      <w:spacing/>
      <w:ind/>
    </w:pPr>
    <w:rPr>
      <w:color w:val="605e5c"/>
      <w:shd w:val="clear" w:color="auto" w:fill="e1dfdd"/>
    </w:rPr>
  </w:style>
  <w:style w:type="character" w:styleId="1129">
    <w:name w:val="FollowedHyperlink"/>
    <w:basedOn w:val="1030"/>
    <w:uiPriority w:val="99"/>
    <w:semiHidden/>
    <w:unhideWhenUsed/>
    <w:pPr>
      <w:pBdr/>
      <w:spacing/>
      <w:ind/>
    </w:pPr>
    <w:rPr>
      <w:color w:val="800080" w:themeColor="followedHyperlink"/>
      <w:u w:val="single"/>
    </w:rPr>
  </w:style>
  <w:style w:type="character" w:styleId="1130" w:customStyle="1">
    <w:name w:val="text"/>
    <w:basedOn w:val="1030"/>
    <w:pPr>
      <w:pBdr/>
      <w:spacing/>
      <w:ind/>
    </w:pPr>
  </w:style>
  <w:style w:type="character" w:styleId="1131" w:customStyle="1">
    <w:name w:val="card-send-time__sendtime"/>
    <w:basedOn w:val="1030"/>
    <w:pPr>
      <w:pBdr/>
      <w:spacing/>
      <w:ind/>
    </w:pPr>
  </w:style>
  <w:style w:type="character" w:styleId="1132" w:customStyle="1">
    <w:name w:val="Đề cập Chưa giải quyết1"/>
    <w:basedOn w:val="1030"/>
    <w:uiPriority w:val="99"/>
    <w:semiHidden/>
    <w:unhideWhenUsed/>
    <w:pPr>
      <w:pBdr/>
      <w:spacing/>
      <w:ind/>
    </w:pPr>
    <w:rPr>
      <w:color w:val="605e5c"/>
      <w:shd w:val="clear" w:color="auto" w:fill="e1dfdd"/>
    </w:rPr>
  </w:style>
  <w:style w:type="paragraph" w:styleId="1133" w:customStyle="1">
    <w:name w:val="nqtitle"/>
    <w:basedOn w:val="1025"/>
    <w:pPr>
      <w:pBdr/>
      <w:spacing w:after="100" w:afterAutospacing="1" w:before="100" w:beforeAutospacing="1"/>
      <w:ind/>
    </w:pPr>
    <w:rPr>
      <w:lang w:val="vi-VN" w:eastAsia="vi-VN"/>
    </w:rPr>
  </w:style>
  <w:style w:type="character" w:styleId="1134" w:customStyle="1">
    <w:name w:val="List Paragraph Char"/>
    <w:link w:val="1047"/>
    <w:uiPriority w:val="34"/>
    <w:qFormat/>
    <w:pPr>
      <w:pBdr/>
      <w:spacing/>
      <w:ind/>
    </w:pPr>
    <w:rPr>
      <w:rFonts w:ascii="Times New Roman" w:hAnsi="Times New Roman" w:eastAsia="Times New Roman" w:cs="Times New Roman"/>
      <w:sz w:val="24"/>
      <w:szCs w:val="24"/>
    </w:rPr>
  </w:style>
  <w:style w:type="character" w:styleId="1135" w:customStyle="1">
    <w:name w:val="Đề cập Chưa giải quyết2"/>
    <w:basedOn w:val="1030"/>
    <w:uiPriority w:val="99"/>
    <w:semiHidden/>
    <w:unhideWhenUsed/>
    <w:pPr>
      <w:pBdr/>
      <w:spacing/>
      <w:ind/>
    </w:pPr>
    <w:rPr>
      <w:color w:val="605e5c"/>
      <w:shd w:val="clear" w:color="auto" w:fill="e1dfdd"/>
    </w:rPr>
  </w:style>
  <w:style w:type="character" w:styleId="1136" w:customStyle="1">
    <w:name w:val="Unresolved Mention3"/>
    <w:basedOn w:val="1030"/>
    <w:uiPriority w:val="99"/>
    <w:semiHidden/>
    <w:unhideWhenUsed/>
    <w:pPr>
      <w:pBdr/>
      <w:spacing/>
      <w:ind/>
    </w:pPr>
    <w:rPr>
      <w:color w:val="605e5c"/>
      <w:shd w:val="clear" w:color="auto" w:fill="e1dfdd"/>
    </w:rPr>
  </w:style>
  <w:style w:type="character" w:styleId="1137" w:customStyle="1">
    <w:name w:val="copy"/>
    <w:basedOn w:val="1030"/>
    <w:pPr>
      <w:pBdr/>
      <w:spacing/>
      <w:ind/>
    </w:pPr>
  </w:style>
  <w:style w:type="paragraph" w:styleId="1138" w:customStyle="1">
    <w:name w:val="align-justify"/>
    <w:basedOn w:val="1025"/>
    <w:pPr>
      <w:pBdr/>
      <w:spacing w:after="100" w:afterAutospacing="1" w:before="100" w:beforeAutospacing="1"/>
      <w:ind/>
    </w:pPr>
  </w:style>
  <w:style w:type="character" w:styleId="1139" w:customStyle="1">
    <w:name w:val="btn"/>
    <w:basedOn w:val="1030"/>
    <w:pPr>
      <w:pBdr/>
      <w:spacing/>
      <w:ind/>
    </w:pPr>
  </w:style>
  <w:style w:type="character" w:styleId="1140" w:customStyle="1">
    <w:name w:val="hide_mobile"/>
    <w:basedOn w:val="1030"/>
    <w:pPr>
      <w:pBdr/>
      <w:spacing/>
      <w:ind/>
    </w:pPr>
  </w:style>
  <w:style w:type="character" w:styleId="1141">
    <w:name w:val="Emphasis"/>
    <w:basedOn w:val="1030"/>
    <w:uiPriority w:val="20"/>
    <w:qFormat/>
    <w:pPr>
      <w:pBdr/>
      <w:spacing/>
      <w:ind/>
    </w:pPr>
    <w:rPr>
      <w:i/>
      <w:iCs/>
    </w:rPr>
  </w:style>
  <w:style w:type="character" w:styleId="1142" w:customStyle="1">
    <w:name w:val="t1"/>
    <w:basedOn w:val="1030"/>
    <w:pPr>
      <w:pBdr/>
      <w:spacing/>
      <w:ind/>
    </w:pPr>
  </w:style>
  <w:style w:type="character" w:styleId="1143" w:customStyle="1">
    <w:name w:val="Unresolved Mention4"/>
    <w:basedOn w:val="1030"/>
    <w:uiPriority w:val="99"/>
    <w:semiHidden/>
    <w:unhideWhenUsed/>
    <w:pPr>
      <w:pBdr/>
      <w:spacing/>
      <w:ind/>
    </w:pPr>
    <w:rPr>
      <w:color w:val="605e5c"/>
      <w:shd w:val="clear" w:color="auto" w:fill="e1dfdd"/>
    </w:rPr>
  </w:style>
  <w:style w:type="character" w:styleId="1144">
    <w:name w:val="Unresolved Mention"/>
    <w:basedOn w:val="103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customXml" Target="../customXml/item1.xml" /><Relationship Id="rId15" Type="http://schemas.openxmlformats.org/officeDocument/2006/relationships/image" Target="media/image2.jpg"/><Relationship Id="rId16" Type="http://schemas.openxmlformats.org/officeDocument/2006/relationships/hyperlink" Target="mailto:ilotus.contact@gmail.com" TargetMode="External"/><Relationship Id="rId17" Type="http://schemas.openxmlformats.org/officeDocument/2006/relationships/hyperlink" Target="mailto:ilotus.contact@gmail.com"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jpg"/><Relationship Id="rId21" Type="http://schemas.openxmlformats.org/officeDocument/2006/relationships/image" Target="media/image6.jpg"/><Relationship Id="rId22" Type="http://schemas.openxmlformats.org/officeDocument/2006/relationships/image" Target="media/image7.jpg"/><Relationship Id="rId23" Type="http://schemas.openxmlformats.org/officeDocument/2006/relationships/image" Target="media/image8.jpg"/><Relationship Id="rId24" Type="http://schemas.openxmlformats.org/officeDocument/2006/relationships/image" Target="media/image9.jpg"/><Relationship Id="rId25" Type="http://schemas.openxmlformats.org/officeDocument/2006/relationships/image" Target="media/image10.jp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 Id="rId31" Type="http://schemas.openxmlformats.org/officeDocument/2006/relationships/image" Target="media/image16.jpg"/><Relationship Id="rId32" Type="http://schemas.openxmlformats.org/officeDocument/2006/relationships/image" Target="media/image17.jpg"/><Relationship Id="rId33" Type="http://schemas.openxmlformats.org/officeDocument/2006/relationships/image" Target="media/image18.png"/><Relationship Id="rId34" Type="http://schemas.openxmlformats.org/officeDocument/2006/relationships/image" Target="media/image19.png"/><Relationship Id="rId35" Type="http://schemas.openxmlformats.org/officeDocument/2006/relationships/image" Target="media/image20.jpg"/><Relationship Id="rId36" Type="http://schemas.openxmlformats.org/officeDocument/2006/relationships/image" Target="media/image21.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Tấn Sang</cp:lastModifiedBy>
  <cp:revision>512</cp:revision>
  <dcterms:created xsi:type="dcterms:W3CDTF">2025-09-15T02:01:00Z</dcterms:created>
  <dcterms:modified xsi:type="dcterms:W3CDTF">2026-06-17T02:34:19Z</dcterms:modified>
</cp:coreProperties>
</file>