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left"/>
        <w:rPr>
          <w:b/>
          <w:sz w:val="28"/>
        </w:rPr>
      </w:pP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111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111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275/2026/0893/VFI-CT.01ĐN.A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Tạ Hồng Quyên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Giá trị quyền sở hữu công trình xây dựng (Nhà ở riêng lẻ 04 tầng) tại Thửa đất số: 34, tờ bản đồ số: 111, địa chỉ: Số 09 đường Tống Phước Phổ, phường H</w:t>
                            </w:r>
                            <w:r>
                              <w:rPr>
                                <w:color w:val="000000"/>
                              </w:rPr>
                              <w:t xml:space="preserve">oà Cường, TP Đà Nẵng theo Giấy chứng nhận quyền sử dụng đất, quyền sở hữu nhà ở và tài sản khác gắn liền với đất số: CR 894874, số vào sổ cấp GCN: CTs 190519 Sở Tài nguyên và Môi trường thành phố Đà Nẵng cấp ngày 10/7/2019. Chủ tài sản là Bà Tạ Hồng Quyên.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2.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275/2026/0893/VFI-CT.01ĐN.A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Tạ Hồng Quyên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Giá trị quyền sở hữu công trình xây dựng (Nhà ở riêng lẻ 04 tầng) tại Thửa đất số: 34, tờ bản đồ số: 111, địa chỉ: Số 09 đường Tống Phước Phổ, phường H</w:t>
                      </w:r>
                      <w:r>
                        <w:rPr>
                          <w:color w:val="000000"/>
                        </w:rPr>
                        <w:t xml:space="preserve">oà Cường, TP Đà Nẵng theo Giấy chứng nhận quyền sử dụng đất, quyền sở hữu nhà ở và tài sản khác gắn liền với đất số: CR 894874, số vào sổ cấp GCN: CTs 190519 Sở Tài nguyên và Môi trường thành phố Đà Nẵng cấp ngày 10/7/2019. Chủ tài sản là Bà Tạ Hồng Quyên.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4-15</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4"/>
              <w:pBdr/>
              <w:tabs>
                <w:tab w:val="left" w:leader="none" w:pos="993"/>
              </w:tabs>
              <w:spacing w:after="120" w:before="120" w:line="288" w:lineRule="auto"/>
              <w:ind w:left="0"/>
              <w:jc w:val="both"/>
              <w:rPr>
                <w:bCs/>
                <w:lang w:val="pt-BR"/>
              </w:rPr>
            </w:pPr>
            <w:r>
              <w:rPr>
                <w:bCs/>
                <w:lang w:val="pt-BR"/>
              </w:rPr>
              <w:t xml:space="preserve">Phụ lục 1: Thông tin hiện trạng +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17-19</w:t>
            </w:r>
            <w:r>
              <w:rPr>
                <w:b/>
                <w:bCs/>
              </w:rPr>
            </w:r>
            <w:r>
              <w:rPr>
                <w:b/>
                <w:bCs/>
              </w:rPr>
            </w:r>
          </w:p>
        </w:tc>
      </w:tr>
    </w:tbl>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286" w:type="dxa"/>
        <w:tblBorders/>
        <w:tblLayout w:type="fixed"/>
        <w:tblLook w:val="04A0" w:firstRow="1" w:lastRow="0" w:firstColumn="1" w:lastColumn="0" w:noHBand="0" w:noVBand="1"/>
      </w:tblPr>
      <w:tblGrid>
        <w:gridCol w:w="856"/>
        <w:gridCol w:w="5347"/>
        <w:gridCol/>
        <w:gridCol w:w="4084"/>
        <w:gridCol/>
      </w:tblGrid>
      <w:tr>
        <w:trPr>
          <w:trHeight w:val="1152"/>
        </w:trPr>
        <w:tc>
          <w:tcPr>
            <w:gridSpan w:val="2"/>
            <w:tcBorders/>
            <w:tcW w:w="620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5347" w:type="dxa"/>
            <w:textDirection w:val="lrTb"/>
            <w:noWrap w:val="false"/>
          </w:tcPr>
          <w:p>
            <w:pPr>
              <w:pStyle w:val="1033"/>
              <w:pBdr/>
              <w:spacing w:after="60"/>
              <w:ind/>
              <w:rPr>
                <w:color w:val="000000" w:themeColor="text1"/>
                <w:sz w:val="24"/>
                <w:szCs w:val="24"/>
              </w:rPr>
            </w:pPr>
            <w:r>
              <w:rPr>
                <w:rStyle w:val="1032"/>
                <w:rFonts w:ascii="Times New Roman" w:hAnsi="Times New Roman"/>
                <w:color w:val="000000" w:themeColor="text1"/>
                <w:lang w:val="pt-BR"/>
              </w:rPr>
              <w:t xml:space="preserve">Số: </w:t>
            </w:r>
            <w:r>
              <w:rPr>
                <w:rStyle w:val="1032"/>
                <w:rFonts w:ascii="Times New Roman" w:hAnsi="Times New Roman"/>
                <w:color w:val="000000" w:themeColor="text1"/>
                <w:lang w:val="pt-BR"/>
              </w:rPr>
              <w:t xml:space="preserve">275/2026/0893/VFI-CT.01ĐN.A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33"/>
              <w:pBdr/>
              <w:spacing w:after="60"/>
              <w:ind w:right="-56"/>
              <w:jc w:val="right"/>
              <w:rPr>
                <w:color w:val="000000" w:themeColor="text1"/>
                <w:sz w:val="24"/>
                <w:szCs w:val="24"/>
                <w:lang w:val="vi-VN"/>
              </w:rPr>
            </w:pPr>
            <w:r>
              <w:rPr>
                <w:rStyle w:val="1032"/>
                <w:rFonts w:ascii="Times New Roman" w:hAnsi="Times New Roman"/>
                <w:i/>
                <w:color w:val="auto"/>
              </w:rPr>
              <w:t xml:space="preserve">TP. Hà Nội</w:t>
            </w:r>
            <w:r>
              <w:rPr>
                <w:rStyle w:val="1032"/>
                <w:rFonts w:ascii="Times New Roman" w:hAnsi="Times New Roman"/>
                <w:i/>
                <w:color w:val="auto"/>
                <w:lang w:val="vi-VN"/>
              </w:rPr>
              <w:t xml:space="preserve">, </w:t>
            </w:r>
            <w:r>
              <w:rPr>
                <w:rStyle w:val="1032"/>
                <w:rFonts w:ascii="Times New Roman" w:hAnsi="Times New Roman"/>
                <w:i/>
                <w:color w:val="000000" w:themeColor="text1"/>
                <w:lang w:val="vi-VN"/>
              </w:rPr>
              <w:t xml:space="preserve">ngày 13 tháng 6 năm 2026</w:t>
            </w:r>
            <w:r>
              <w:rPr>
                <w:color w:val="000000" w:themeColor="text1"/>
                <w:sz w:val="24"/>
                <w:szCs w:val="24"/>
                <w:lang w:val="vi-VN"/>
              </w:rPr>
            </w:r>
            <w:r>
              <w:rPr>
                <w:color w:val="000000" w:themeColor="text1"/>
                <w:sz w:val="24"/>
                <w:szCs w:val="24"/>
                <w:lang w:val="vi-VN"/>
              </w:rPr>
            </w:r>
          </w:p>
        </w:tc>
      </w:tr>
    </w:tbl>
    <w:p>
      <w:pPr>
        <w:pStyle w:val="1033"/>
        <w:pBdr/>
        <w:spacing w:after="120" w:before="200" w:line="288" w:lineRule="auto"/>
        <w:ind/>
        <w:jc w:val="center"/>
        <w:rPr>
          <w:rStyle w:val="1032"/>
          <w:rFonts w:ascii="Times New Roman" w:hAnsi="Times New Roman"/>
          <w:b/>
          <w:bCs/>
          <w:color w:val="auto"/>
          <w:sz w:val="30"/>
          <w:szCs w:val="30"/>
          <w:lang w:val="vi-VN"/>
        </w:rPr>
      </w:pPr>
      <w:r>
        <w:rPr>
          <w:rStyle w:val="1032"/>
          <w:rFonts w:ascii="Times New Roman" w:hAnsi="Times New Roman"/>
          <w:b/>
          <w:bCs/>
          <w:color w:val="auto"/>
          <w:sz w:val="30"/>
          <w:szCs w:val="30"/>
          <w:lang w:val="vi-VN"/>
        </w:rPr>
        <w:t xml:space="preserve">CHỨNG THƯ THẨM ĐỊNH GIÁ</w:t>
      </w:r>
      <w:r>
        <w:rPr>
          <w:rStyle w:val="1032"/>
          <w:rFonts w:ascii="Times New Roman" w:hAnsi="Times New Roman"/>
          <w:b/>
          <w:bCs/>
          <w:color w:val="auto"/>
          <w:sz w:val="30"/>
          <w:szCs w:val="30"/>
          <w:lang w:val="vi-VN"/>
        </w:rPr>
      </w:r>
      <w:r>
        <w:rPr>
          <w:rStyle w:val="103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Tạ Hồng Quyên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275/2026/0893/VFI-HĐTĐ.01ĐN.A</w:t>
      </w:r>
      <w:r>
        <w:rPr>
          <w:spacing w:val="-4"/>
          <w:lang w:val="vi-VN"/>
        </w:rPr>
        <w:t xml:space="preserve"> ký ngày </w:t>
      </w:r>
      <w:r>
        <w:rPr>
          <w:color w:val="000000" w:themeColor="text1"/>
          <w:spacing w:val="-4"/>
        </w:rPr>
        <w:t xml:space="preserve">13 tháng 6 năm 2026</w:t>
      </w:r>
      <w:r>
        <w:rPr>
          <w:spacing w:val="-4"/>
          <w:lang w:val="vi-VN"/>
        </w:rPr>
        <w:t xml:space="preserve"> </w:t>
      </w:r>
      <w:r>
        <w:rPr>
          <w:spacing w:val="-4"/>
          <w:lang w:val="vi-VN"/>
        </w:rPr>
        <w:t xml:space="preserve">giữa </w:t>
      </w:r>
      <w:r>
        <w:rPr>
          <w:color w:val="000000" w:themeColor="text1"/>
          <w:spacing w:val="-4"/>
        </w:rPr>
        <w:t xml:space="preserve">Bà Tạ Hồng Quyên</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275/2026/0893/VFI-BC.01ĐN.A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13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Tạ Hồng Quyên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048171004354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1971</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Bdr/>
        <w:spacing w:after="120" w:before="120" w:line="276"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Giá trị quyền sở hữu công trình xây dựng (</w:t>
      </w:r>
      <w:r>
        <w:rPr>
          <w:i/>
          <w:iCs/>
          <w:color w:val="000000" w:themeColor="text1"/>
        </w:rPr>
        <w:t xml:space="preserve">Nhà ở riêng lẻ 04 tầng</w:t>
      </w:r>
      <w:r>
        <w:rPr>
          <w:color w:val="000000" w:themeColor="text1"/>
        </w:rPr>
        <w:t xml:space="preserve">) tại Thửa đất số: 34, tờ bản đồ số: 111, địa chỉ: Số 09 đường Tống Phước Phổ, phường H</w:t>
      </w:r>
      <w:r>
        <w:rPr>
          <w:color w:val="000000" w:themeColor="text1"/>
        </w:rPr>
        <w:t xml:space="preserve">oà Cường, TP Đà Nẵng theo Giấy chứng nhận quyền sử dụng đất, quyền sở hữu nhà ở và tài sản khác gắn liền với đất số: CR 894874, số vào sổ cấp GCN: CTs 190519 Sở Tài nguyên và Môi trường thành phố Đà Nẵng cấp ngày 10/7/2019. Chủ tài sản là Bà Tạ Hồng Quyên.</w:t>
      </w:r>
      <w:r>
        <w:rPr>
          <w:b/>
          <w:bCs/>
        </w:rPr>
      </w:r>
      <w:r>
        <w:rPr>
          <w:b/>
          <w:bCs/>
        </w:rPr>
      </w:r>
    </w:p>
    <w:p>
      <w:pPr>
        <w:pBdr/>
        <w:spacing w:after="120" w:before="120" w:line="276"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6/2026</w:t>
      </w:r>
      <w:r>
        <w:rPr>
          <w:bCs/>
          <w:lang w:val="nl-NL"/>
        </w:rPr>
        <w:t xml:space="preserve">.</w:t>
      </w:r>
      <w:r>
        <w:rPr>
          <w:b/>
          <w:bCs/>
        </w:rPr>
      </w:r>
      <w:r>
        <w:rPr>
          <w:b/>
          <w:bCs/>
        </w:rPr>
      </w:r>
    </w:p>
    <w:p>
      <w:pPr>
        <w:pBdr/>
        <w:tabs>
          <w:tab w:val="left" w:leader="none" w:pos="851"/>
        </w:tabs>
        <w:spacing w:after="120" w:before="120" w:line="276"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76"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276"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276"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276"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6"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276"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6"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276"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6/2026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38"/>
        <w:tblInd w:w="0" w:type="dxa"/>
        <w:tblW w:w="4978"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21"/>
        <w:gridCol w:w="2659"/>
        <w:gridCol w:w="1662"/>
        <w:gridCol w:w="1468"/>
        <w:gridCol w:w="1263"/>
        <w:gridCol w:w="1809"/>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6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7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48" w:lineRule="auto"/>
              <w:ind w:right="0" w:firstLine="0" w:left="0"/>
              <w:jc w:val="both"/>
              <w:rPr/>
            </w:pPr>
            <w:r>
              <w:rPr>
                <w:rFonts w:ascii="Times New Roman" w:hAnsi="Times New Roman" w:eastAsia="Times New Roman" w:cs="Times New Roman"/>
                <w:b/>
                <w:color w:val="000000"/>
                <w:sz w:val="24"/>
              </w:rPr>
              <w:t xml:space="preserve">Giá trị quyền sở hữu công trình xây dựng tại Thửa đất số: 34, tờ bản đồ số: 111, địa chỉ: Số 09 đường Tống Phước Phổ, phường Hoà Cường, TP Đà Nẵng theo Giấy chứng nhận quyền sử dụng đất, quyền sở hữu nhà ở và tài sản khác gắn liền với đất số: CR 894874, số</w:t>
            </w:r>
            <w:r>
              <w:rPr>
                <w:rFonts w:ascii="Times New Roman" w:hAnsi="Times New Roman" w:eastAsia="Times New Roman" w:cs="Times New Roman"/>
                <w:b/>
                <w:color w:val="000000"/>
                <w:sz w:val="24"/>
              </w:rPr>
              <w:t xml:space="preserve"> vào sổ cấp GCN: CTs 190519 Sở Tài nguyên và Môi trường thành phố Đà Nẵng cấp ngày 10/7/2019. Chủ tài sản là Bà Tạ Hồng Quyên.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Nhà ở riêng lẻ (04 tầng)</w:t>
            </w:r>
            <w:r/>
          </w:p>
        </w:tc>
        <w:tc>
          <w:tcPr>
            <w:tcBorders>
              <w:bottom w:val="single" w:color="000000" w:sz="8" w:space="0"/>
              <w:right w:val="single" w:color="000000" w:sz="8" w:space="0"/>
            </w:tcBorders>
            <w:tcMar>
              <w:left w:w="108" w:type="dxa"/>
              <w:top w:w="0" w:type="dxa"/>
              <w:right w:w="108" w:type="dxa"/>
              <w:bottom w:w="0" w:type="dxa"/>
            </w:tcMar>
            <w:tcW w:w="1662"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290,3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6.590.000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3"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1.530.461.600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674"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1.530.461.600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674"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1.530.000.000</w:t>
            </w:r>
            <w:r/>
          </w:p>
        </w:tc>
      </w:tr>
      <w:tr>
        <w:trPr>
          <w:trHeight w:val="20"/>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483" w:type="dxa"/>
            <w:vAlign w:val="top"/>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i/>
                <w:color w:val="000000"/>
                <w:sz w:val="24"/>
              </w:rPr>
              <w:t xml:space="preserve">(Bằng chữ: Một tỷ, năm trăm ba mươi triệu đồng./.)</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 Ghi chú</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Theo yêu cầu của khách hàng, Công ty Cổ phần Thẩm định và Đầu tư Tài chính Hoa Sen chỉ ước tính giá trị công trình xây dựng là Nhà ở riêng lẻ 04 tầng, không tính giá trị quyền sử dụng đất vào tổng giá trị tài sản. Đề nghị Quý Ngân hàng lưu ý nội dung này.</w:t>
      </w:r>
      <w:r>
        <w:rPr>
          <w:rFonts w:ascii="Times New Roman" w:hAnsi="Times New Roman" w:eastAsia="Times New Roman" w:cs="Times New Roman"/>
          <w:sz w:val="24"/>
        </w:rPr>
      </w:r>
      <w:r/>
    </w:p>
    <w:p>
      <w:pPr>
        <w:pBdr/>
        <w:spacing w:after="120" w:before="120" w:line="276" w:lineRule="auto"/>
        <w:ind/>
        <w:jc w:val="both"/>
        <w:rPr>
          <w:b/>
          <w:bCs/>
          <w:highlight w:val="none"/>
          <w:lang w:val="vi-VN"/>
        </w:rPr>
      </w:pPr>
      <w:r>
        <w:rPr>
          <w:b/>
          <w:bCs/>
          <w:lang w:val="vi-VN"/>
        </w:rPr>
        <w:t xml:space="preserve">10. Thời hạn hiệu lực của kết quả thẩm định giá:</w:t>
      </w:r>
      <w:r>
        <w:rPr>
          <w:b/>
          <w:bCs/>
        </w:rPr>
      </w:r>
      <w:r>
        <w:rPr>
          <w:b/>
          <w:bCs/>
          <w:highlight w:val="none"/>
          <w:lang w:val="vi-VN"/>
        </w:rPr>
      </w:r>
    </w:p>
    <w:p>
      <w:pPr>
        <w:pBdr/>
        <w:spacing w:after="120" w:before="120" w:line="276"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276" w:lineRule="auto"/>
        <w:ind/>
        <w:rPr/>
      </w:pPr>
      <w:r>
        <w:rPr>
          <w:b/>
          <w:bCs/>
          <w:lang w:val="vi-VN"/>
        </w:rPr>
        <w:t xml:space="preserve">11. Những điều khoản loại trừ và hạn chế của kết quả thẩm định giá:</w:t>
      </w:r>
      <w:r/>
    </w:p>
    <w:p>
      <w:pPr>
        <w:pBdr/>
        <w:spacing w:after="120" w:before="120" w:line="276" w:lineRule="auto"/>
        <w:ind w:firstLine="360"/>
        <w:rPr>
          <w:highlight w:val="none"/>
          <w:lang w:val="pt-BR"/>
        </w:rPr>
      </w:pPr>
      <w:r>
        <w:rPr>
          <w:lang w:val="pt-BR"/>
        </w:rPr>
        <w:t xml:space="preserve">- </w:t>
      </w:r>
      <w:r>
        <w:rPr>
          <w:lang w:val="pt-BR"/>
        </w:rPr>
        <w:t xml:space="preserve">Chi tiết như Báo cáo kèm theo.</w:t>
      </w:r>
      <w:r>
        <w:rPr>
          <w:rFonts w:eastAsia="Calibri"/>
          <w:b/>
          <w:spacing w:val="-4"/>
          <w:lang w:val="pt-BR"/>
        </w:rPr>
      </w:r>
      <w:r>
        <w:rPr>
          <w:highlight w:val="none"/>
          <w:lang w:val="pt-BR"/>
        </w:rPr>
      </w:r>
    </w:p>
    <w:p>
      <w:pPr>
        <w:pBdr/>
        <w:spacing w:after="120" w:before="120" w:line="276" w:lineRule="auto"/>
        <w:ind w:firstLine="360"/>
        <w:rPr>
          <w:rFonts w:eastAsia="Calibri"/>
          <w:b/>
          <w:bCs/>
          <w:spacing w:val="-4"/>
          <w:lang w:val="pt-BR"/>
        </w:rPr>
      </w:pPr>
      <w:r>
        <w:rPr>
          <w:highlight w:val="none"/>
          <w:lang w:val="pt-BR" w:bidi="pt-BR"/>
        </w:rPr>
      </w:r>
      <w:r>
        <w:rPr>
          <w:highlight w:val="none"/>
          <w:lang w:val="pt-BR"/>
        </w:rPr>
      </w:r>
      <w:r>
        <w:rPr>
          <w:rFonts w:eastAsia="Calibri"/>
          <w:b/>
          <w:bCs/>
          <w:spacing w:val="-4"/>
          <w:lang w:val="pt-BR"/>
        </w:rPr>
      </w:r>
    </w:p>
    <w:p>
      <w:pPr>
        <w:pBdr/>
        <w:spacing w:after="120" w:before="120" w:line="312" w:lineRule="auto"/>
        <w:ind/>
        <w:rPr>
          <w:rFonts w:eastAsia="Calibri"/>
          <w:b/>
          <w:bCs/>
          <w:spacing w:val="-4"/>
          <w:highlight w:val="none"/>
          <w:lang w:val="vi-VN"/>
        </w:rPr>
      </w:pPr>
      <w:r>
        <w:rPr>
          <w:rFonts w:eastAsia="Calibri"/>
          <w:b/>
          <w:spacing w:val="-4"/>
          <w:lang w:val="pt-BR"/>
        </w:rPr>
        <w:t xml:space="preserve">12</w:t>
      </w:r>
      <w:r>
        <w:rPr>
          <w:rFonts w:eastAsia="Calibri"/>
          <w:b/>
          <w:spacing w:val="-4"/>
          <w:lang w:val="vi-VN"/>
        </w:rPr>
        <w:t xml:space="preserve">. Các tài liệu kèm theo:</w:t>
      </w:r>
      <w:r>
        <w:rPr>
          <w:lang w:val="pt-BR"/>
        </w:rPr>
      </w:r>
      <w:r>
        <w:rPr>
          <w:rFonts w:eastAsia="Calibri"/>
          <w:b/>
          <w:bCs/>
          <w:spacing w:val="-4"/>
          <w:highlight w:val="none"/>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570" w:type="dxa"/>
        <w:tblBorders/>
        <w:tblLayout w:type="fixed"/>
        <w:tblLook w:val="04A0" w:firstRow="1" w:lastRow="0" w:firstColumn="1" w:lastColumn="0" w:noHBand="0" w:noVBand="1"/>
      </w:tblPr>
      <w:tblGrid>
        <w:gridCol w:w="856"/>
        <w:gridCol w:w="5630"/>
        <w:gridCol/>
        <w:gridCol w:w="4084"/>
        <w:gridCol/>
      </w:tblGrid>
      <w:tr>
        <w:trPr>
          <w:trHeight w:val="1843"/>
        </w:trPr>
        <w:tc>
          <w:tcPr>
            <w:gridSpan w:val="2"/>
            <w:tcBorders/>
            <w:tcW w:w="648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P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5630" w:type="dxa"/>
            <w:textDirection w:val="lrTb"/>
            <w:noWrap w:val="false"/>
          </w:tcPr>
          <w:p>
            <w:pPr>
              <w:pStyle w:val="1033"/>
              <w:pBdr/>
              <w:spacing w:after="60"/>
              <w:ind/>
              <w:rPr>
                <w:color w:val="000000" w:themeColor="text1"/>
                <w:sz w:val="24"/>
                <w:szCs w:val="24"/>
              </w:rPr>
            </w:pPr>
            <w:r>
              <w:rPr>
                <w:rStyle w:val="1032"/>
                <w:rFonts w:ascii="Times New Roman" w:hAnsi="Times New Roman"/>
                <w:color w:val="000000" w:themeColor="text1"/>
                <w:lang w:val="pt-BR"/>
              </w:rPr>
              <w:t xml:space="preserve">Số: </w:t>
            </w:r>
            <w:r>
              <w:rPr>
                <w:rStyle w:val="1032"/>
                <w:rFonts w:ascii="Times New Roman" w:hAnsi="Times New Roman"/>
                <w:color w:val="000000" w:themeColor="text1"/>
                <w:lang w:val="pt-BR"/>
              </w:rPr>
              <w:t xml:space="preserve">275/2026/0893/VFI-CT.01ĐN.A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33"/>
              <w:pBdr/>
              <w:spacing w:after="60"/>
              <w:ind w:right="-56"/>
              <w:jc w:val="right"/>
              <w:rPr>
                <w:color w:val="000000" w:themeColor="text1"/>
                <w:sz w:val="24"/>
                <w:szCs w:val="24"/>
                <w:lang w:val="vi-VN"/>
              </w:rPr>
            </w:pPr>
            <w:r>
              <w:rPr>
                <w:rStyle w:val="1032"/>
                <w:rFonts w:ascii="Times New Roman" w:hAnsi="Times New Roman"/>
                <w:i/>
                <w:color w:val="auto"/>
              </w:rPr>
              <w:t xml:space="preserve">TP. Hà Nội</w:t>
            </w:r>
            <w:r>
              <w:rPr>
                <w:rStyle w:val="1032"/>
                <w:rFonts w:ascii="Times New Roman" w:hAnsi="Times New Roman"/>
                <w:i/>
                <w:color w:val="auto"/>
                <w:lang w:val="vi-VN"/>
              </w:rPr>
              <w:t xml:space="preserve">, </w:t>
            </w:r>
            <w:r>
              <w:rPr>
                <w:rStyle w:val="1032"/>
                <w:rFonts w:ascii="Times New Roman" w:hAnsi="Times New Roman"/>
                <w:i/>
                <w:color w:val="000000" w:themeColor="text1"/>
                <w:lang w:val="vi-VN"/>
              </w:rPr>
              <w:t xml:space="preserve">ngày 13 tháng 6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5630" w:type="dxa"/>
            <w:textDirection w:val="lrTb"/>
            <w:noWrap w:val="false"/>
          </w:tcPr>
          <w:p>
            <w:pPr>
              <w:pStyle w:val="1033"/>
              <w:pBdr/>
              <w:spacing w:after="60"/>
              <w:ind/>
              <w:rPr>
                <w:rStyle w:val="1032"/>
                <w:rFonts w:ascii="Times New Roman" w:hAnsi="Times New Roman"/>
                <w:color w:val="000000" w:themeColor="text1"/>
                <w:lang w:val="pt-BR"/>
              </w:rPr>
            </w:pPr>
            <w:r>
              <w:rPr>
                <w:rStyle w:val="1032"/>
                <w:rFonts w:ascii="Times New Roman" w:hAnsi="Times New Roman"/>
                <w:color w:val="000000" w:themeColor="text1"/>
                <w:lang w:val="pt-BR"/>
              </w:rPr>
            </w:r>
            <w:r>
              <w:rPr>
                <w:rStyle w:val="1032"/>
                <w:rFonts w:ascii="Times New Roman" w:hAnsi="Times New Roman"/>
                <w:color w:val="000000" w:themeColor="text1"/>
                <w:lang w:val="pt-BR"/>
              </w:rPr>
            </w:r>
            <w:r>
              <w:rPr>
                <w:rStyle w:val="1032"/>
                <w:rFonts w:ascii="Times New Roman" w:hAnsi="Times New Roman"/>
                <w:color w:val="000000" w:themeColor="text1"/>
                <w:lang w:val="pt-BR"/>
              </w:rPr>
            </w:r>
          </w:p>
        </w:tc>
        <w:tc>
          <w:tcPr>
            <w:shd w:val="clear" w:color="auto" w:fill="auto"/>
            <w:tcBorders/>
            <w:tcMar>
              <w:left w:w="108" w:type="dxa"/>
              <w:top w:w="0" w:type="dxa"/>
              <w:right w:w="108" w:type="dxa"/>
              <w:bottom w:w="0" w:type="dxa"/>
            </w:tcMar>
            <w:tcW w:w="4084" w:type="dxa"/>
            <w:textDirection w:val="lrTb"/>
            <w:noWrap w:val="false"/>
          </w:tcPr>
          <w:p>
            <w:pPr>
              <w:pStyle w:val="1033"/>
              <w:pBdr/>
              <w:spacing w:after="60"/>
              <w:ind w:right="-56"/>
              <w:rPr>
                <w:rStyle w:val="1032"/>
                <w:rFonts w:ascii="Times New Roman" w:hAnsi="Times New Roman"/>
                <w:i/>
                <w:color w:val="auto"/>
              </w:rPr>
            </w:pPr>
            <w:r>
              <w:rPr>
                <w:rFonts w:ascii="Times New Roman" w:hAnsi="Times New Roman"/>
                <w:i/>
                <w:color w:val="auto"/>
              </w:rPr>
            </w:r>
            <w:r>
              <w:rPr>
                <w:rStyle w:val="1032"/>
                <w:rFonts w:ascii="Times New Roman" w:hAnsi="Times New Roman"/>
                <w:i/>
                <w:color w:val="auto"/>
              </w:rPr>
            </w:r>
            <w:r>
              <w:rPr>
                <w:rStyle w:val="1032"/>
                <w:rFonts w:ascii="Times New Roman" w:hAnsi="Times New Roman"/>
                <w:i/>
                <w:color w:val="auto"/>
              </w:rPr>
            </w:r>
          </w:p>
        </w:tc>
      </w:tr>
    </w:tbl>
    <w:p>
      <w:pPr>
        <w:pStyle w:val="103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275/2026/0893/VFI-CT.01ĐN.A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13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3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Bà Tạ Hồng Quyên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048171004354</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1971</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Giá trị quyền sở hữu công trình xây dựng (</w:t>
            </w:r>
            <w:r>
              <w:rPr>
                <w:bCs/>
                <w:i/>
                <w:iCs/>
                <w:color w:val="000000" w:themeColor="text1"/>
                <w:lang w:val="pt-BR"/>
              </w:rPr>
              <w:t xml:space="preserve">Nhà ở riêng lẻ 04 tầng</w:t>
            </w:r>
            <w:r>
              <w:rPr>
                <w:bCs/>
                <w:color w:val="000000" w:themeColor="text1"/>
                <w:lang w:val="pt-BR"/>
              </w:rPr>
              <w:t xml:space="preserve">) tại Thửa đất số: 34, tờ bản đồ số: 111, địa chỉ: Số 09 đường Tống Phước Phổ, phường H</w:t>
            </w:r>
            <w:r>
              <w:rPr>
                <w:bCs/>
                <w:color w:val="000000" w:themeColor="text1"/>
                <w:lang w:val="pt-BR"/>
              </w:rPr>
              <w:t xml:space="preserve">oà Cường, TP Đà Nẵng theo Giấy chứng nhận quyền sử dụng đất, quyền sở hữu nhà ở và tài sản khác gắn liền với đất số: CR 894874, số vào sổ cấp GCN: CTs 190519 Sở Tài nguyên và Môi trường thành phố Đà Nẵng cấp ngày 10/7/2019. Chủ tài sản là Bà Tạ Hồng Quyên.</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bCs/>
                <w:color w:val="000000" w:themeColor="text1"/>
                <w:lang w:val="pt-BR"/>
              </w:rPr>
              <w:t xml:space="preserve">Số 09 đường Tống Phước Phổ, phường H</w:t>
            </w:r>
            <w:r>
              <w:rPr>
                <w:bCs/>
                <w:color w:val="000000" w:themeColor="text1"/>
                <w:lang w:val="pt-BR"/>
              </w:rPr>
              <w:t xml:space="preserve">oà Cường, TP Đà Nẵng</w:t>
            </w:r>
            <w:r>
              <w:rPr>
                <w:color w:val="000000" w:themeColor="text1"/>
                <w:lang w:val="pt-BR"/>
              </w:rPr>
              <w:t xml:space="preserve">.</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(16.0478513, 108.2220109)</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4"/>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4"/>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4"/>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4"/>
        <w:numPr>
          <w:ilvl w:val="0"/>
          <w:numId w:val="1"/>
        </w:numPr>
        <w:pBdr/>
        <w:spacing w:after="120" w:before="120" w:line="276" w:lineRule="auto"/>
        <w:ind/>
        <w:jc w:val="both"/>
        <w:rPr>
          <w:bCs/>
          <w:spacing w:val="-4"/>
          <w:lang w:val="pt-BR"/>
        </w:rPr>
      </w:pPr>
      <w:r>
        <w:rPr>
          <w:bCs/>
          <w:spacing w:val="-4"/>
          <w:lang w:val="pt-BR"/>
        </w:rPr>
      </w:r>
      <w:r>
        <w:rPr>
          <w:rFonts w:ascii="Times New Roman" w:hAnsi="Times New Roman" w:eastAsia="Times New Roman" w:cs="Times New Roman"/>
          <w:color w:val="000000"/>
          <w:sz w:val="24"/>
        </w:rPr>
        <w:t xml:space="preserve">Quyết định số 804/QĐ-UBND ngày 15/4/2024 của UBND thành phố Đà Nẵng về việc Quy định bảng giá chuẩn nhà ở xây dựng mới để tính giá bán nhà ở cũ thuộc sở hữu nhà nước</w:t>
      </w:r>
      <w:r>
        <w:rPr>
          <w:bCs/>
          <w:spacing w:val="-4"/>
          <w:lang w:val="pt-BR"/>
        </w:rPr>
        <w:t xml:space="preserve">;</w:t>
      </w:r>
      <w:r>
        <w:rPr>
          <w:bCs/>
          <w:spacing w:val="-4"/>
          <w:lang w:val="pt-BR"/>
        </w:rPr>
      </w:r>
      <w:r>
        <w:rPr>
          <w:bCs/>
          <w:spacing w:val="-4"/>
          <w:lang w:val="pt-BR"/>
        </w:rPr>
      </w:r>
    </w:p>
    <w:p>
      <w:pPr>
        <w:pStyle w:val="1034"/>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4"/>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CR 894874, số vào sổ cấp GCN: CTs 190519 Sở Tài nguyên và Môi trường thành phố Đà Nẵng cấp ngày 10/7/2019. Chủ tài sản là Bà Tạ Hồng Quyên.</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275/2026/0893/VFI-HĐTĐ.01ĐN.A ký ngày 13/6/2026 giữa Bà Tạ Hồng Quyên với Công ty Cổ phần Thẩm định và Đầu tư Tài chính Hoa Sen;</w:t>
      </w:r>
      <w:r>
        <w:rPr>
          <w:b/>
          <w:lang w:val="pt-BR"/>
        </w:rPr>
      </w:r>
      <w:r>
        <w:rPr>
          <w:b/>
          <w:lang w:val="pt-BR"/>
        </w:rPr>
      </w:r>
    </w:p>
    <w:p>
      <w:pPr>
        <w:pStyle w:val="103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b/>
          <w:color w:val="000000"/>
          <w:sz w:val="24"/>
          <w:highlight w:val="white"/>
        </w:rPr>
        <w:t xml:space="preserve">Bất động sản Đà Nẵng quý 2/2026: Người bán giữ giá, người mua giữ tiền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Bước sang quý 2/2026, thị trường bất động sản nhà ở tại Đà Nẵng tiếp tục vận động trong trạng thái giằng co. Nguồn cung có dấu hiệu cải thiện ở một số phân khúc, nhưng thanh khoản chưa theo kịp khi chi phí vốn vẫn cao và tâm lý người mua duy trì sự thận tr</w:t>
      </w:r>
      <w:r>
        <w:rPr>
          <w:rFonts w:ascii="Times New Roman" w:hAnsi="Times New Roman" w:eastAsia="Times New Roman" w:cs="Times New Roman"/>
          <w:color w:val="000000"/>
          <w:sz w:val="24"/>
          <w:highlight w:val="white"/>
        </w:rPr>
        <w:t xml:space="preserve">ọng sau một quý đầu năm nhiều biến động. Bước sang quý 2, những xu hướng này không đảo chiều, mà tiếp tục kéo dài với biên độ hẹp hơn.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b/>
          <w:color w:val="000000"/>
          <w:sz w:val="24"/>
          <w:highlight w:val="white"/>
        </w:rPr>
        <w:t xml:space="preserve">Nguồn cung có tín hiệu, nhưng dòng tiền vẫn “chọn lọc”</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Trong quý 2/2026, thị trường dự kiến đón thêm nguồn cung mới ở một số phân khúc chủ lực. Cụ thể, căn hộ có thể đạt khoảng 1.000 - 1.500 căn, chủ yếu tập trung tại khu vực Ngũ Hành Sơn. Tuy nhiên, nền tảng từ quý 1 cho thấy sức cầu vẫn chưa thực sự hồi phục</w:t>
      </w:r>
      <w:r>
        <w:rPr>
          <w:rFonts w:ascii="Times New Roman" w:hAnsi="Times New Roman" w:eastAsia="Times New Roman" w:cs="Times New Roman"/>
          <w:color w:val="000000"/>
          <w:sz w:val="24"/>
          <w:highlight w:val="white"/>
        </w:rPr>
        <w:t xml:space="preserve">: nguồn cung sơ cấp đạt 3.473 căn, giảm 25% so với quý trước; lượng tiêu thụ đạt 1.816 căn, giảm 32% theo quý.</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Ở phân khúc nhà phố/biệt thự, quý 1 ghi nhận 2.772 căn sơ cấp, tiêu thụ 1.711 căn – tăng mạnh so với quý trước nhưng chủ yếu tập trung tại một khu vực/dự án quy mô lớn, chiếm gần 88% nguồn cung toàn thị trường trong quý. Điều này cho thấy sự cải thiện chưa</w:t>
      </w:r>
      <w:r>
        <w:rPr>
          <w:rFonts w:ascii="Times New Roman" w:hAnsi="Times New Roman" w:eastAsia="Times New Roman" w:cs="Times New Roman"/>
          <w:color w:val="000000"/>
          <w:sz w:val="24"/>
          <w:highlight w:val="white"/>
        </w:rPr>
        <w:t xml:space="preserve"> mang tính lan tỏa.</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Với đất nền, thị trường ghi nhận 1.750 sản phẩm sơ cấp, tiêu thụ 228 nền, tương đương tỷ lệ tiêu thụ sơ cấp khoảng 13%. Dù lượng giao dịch tăng 61% theo quý, thanh khoản nhìn chung vẫn ở mức thấp và chưa hình thành xu hướng phục hồi rõ rệt.</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Ở chiều ngược lại, bất động sản nghỉ dưỡng tiếp tục là phân khúc trầm lắng nhất. Biệt thự nghỉ dưỡng chỉ ghi nhận 3 giao dịch trên tổng nguồn cung 225 căn, trong khi condotel tiêu thụ 16/1.250 căn, giảm tới 87% so với quý trước - cho thấy thanh khoản gần n</w:t>
      </w:r>
      <w:r>
        <w:rPr>
          <w:rFonts w:ascii="Times New Roman" w:hAnsi="Times New Roman" w:eastAsia="Times New Roman" w:cs="Times New Roman"/>
          <w:color w:val="000000"/>
          <w:sz w:val="24"/>
          <w:highlight w:val="white"/>
        </w:rPr>
        <w:t xml:space="preserve">hư “đóng băng”.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Điểm chung của các phân khúc là giao dịch không biến mất, nhưng không đủ mạnh để tạo thành xu hướng.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b/>
          <w:color w:val="000000"/>
          <w:sz w:val="24"/>
          <w:highlight w:val="white"/>
        </w:rPr>
        <w:t xml:space="preserve">Giá neo cao, thị trường tiếp tục phân hóa và tích lũy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Một nghịch lý tiếp tục kéo dài là giá chưa có dấu hiệu điều chỉnh tương ứng với thanh khoản. Trong quý 1, giá đất nền sơ cấp tăng khoảng 2% theo quý và tăng 7% so với cùng kỳ; thị trường thứ cấp thậm chí tăng tới 22% theo năm. Căn hộ cũng duy trì đà tăng g</w:t>
      </w:r>
      <w:r>
        <w:rPr>
          <w:rFonts w:ascii="Times New Roman" w:hAnsi="Times New Roman" w:eastAsia="Times New Roman" w:cs="Times New Roman"/>
          <w:color w:val="000000"/>
          <w:sz w:val="24"/>
          <w:highlight w:val="white"/>
        </w:rPr>
        <w:t xml:space="preserve">iá 5% – 10% theo năm, bất chấp sức cầu suy yếu.</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Ở phân khúc nhà phố/biệt thự, giá sơ cấp gần như đi ngang theo quý nhưng vẫn tăng trung bình khoảng 10% so với cùng kỳ; thị trường thứ cấp tăng khoảng 6% so với cuối năm 2025. Những dữ liệu này cho thấy áp lực chi phí đầu vào và tình trạng khan hiếm nguồn </w:t>
      </w:r>
      <w:r>
        <w:rPr>
          <w:rFonts w:ascii="Times New Roman" w:hAnsi="Times New Roman" w:eastAsia="Times New Roman" w:cs="Times New Roman"/>
          <w:color w:val="000000"/>
          <w:sz w:val="24"/>
          <w:highlight w:val="white"/>
        </w:rPr>
        <w:t xml:space="preserve">cung đang giữ mặt bằng giá ở mức cao.</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Một yếu tố khác góp phần duy trì mặt bằng giá là kỳ vọng vào hạ tầng và tiến trình tháo gỡ pháp lý. Trong thời gian qua, Đà Nẵng tiếp tục thúc đẩy các dự án hạ tầng kết nối khu Đông Nam và khu vực ven biển, qua đó củng cố kỳ vọng tăng giá tại những khu vực</w:t>
      </w:r>
      <w:r>
        <w:rPr>
          <w:rFonts w:ascii="Times New Roman" w:hAnsi="Times New Roman" w:eastAsia="Times New Roman" w:cs="Times New Roman"/>
          <w:color w:val="000000"/>
          <w:sz w:val="24"/>
          <w:highlight w:val="white"/>
        </w:rPr>
        <w:t xml:space="preserve"> còn dư địa phát triển. Tuy nhiên, các yếu tố này hiện chủ yếu tác động ở mức kỳ vọng, chưa chuyển hóa rõ rệt thành giao dịch thực tế.</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Ở góc độ pháp lý, việc từng bước tháo gỡ các vướng mắc liên quan đến thủ tục đầu tư và cấp phép cũng đang tạo điều kiện để một số dự án quay trở lại thị trường. Tuy vậy, quá trình này diễn ra không đồng đều, khiến sự phân hóa ngày càng rõ nét: các dự án ho</w:t>
      </w:r>
      <w:r>
        <w:rPr>
          <w:rFonts w:ascii="Times New Roman" w:hAnsi="Times New Roman" w:eastAsia="Times New Roman" w:cs="Times New Roman"/>
          <w:color w:val="000000"/>
          <w:sz w:val="24"/>
          <w:highlight w:val="white"/>
        </w:rPr>
        <w:t xml:space="preserve">àn chỉnh pháp lý tiếp tục có lợi thế về thanh khoản, trong khi phần còn lại vẫn gặp khó trong việc thu hút dòng tiền.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Bước sang quý 2, xu hướng phân hóa được dự báo sẽ tiếp tục rõ rệt. Các sản phẩm đã hoàn thiện pháp lý, có thể khai thác hoặc phục vụ nhu cầu ở thực vẫn duy trì giao dịch, trong khi những dự án chậm tiến độ hoặc chưa đầy đủ pháp lý sẽ tiếp tục bị “đứng ngoà</w:t>
      </w:r>
      <w:r>
        <w:rPr>
          <w:rFonts w:ascii="Times New Roman" w:hAnsi="Times New Roman" w:eastAsia="Times New Roman" w:cs="Times New Roman"/>
          <w:color w:val="000000"/>
          <w:sz w:val="24"/>
          <w:highlight w:val="white"/>
        </w:rPr>
        <w:t xml:space="preserve">i” dòng tiền.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Nhận định về triển vọng thời gian tới, ông Võ Hồng Thắng cho rằng, thị trường khó có đột biến trong ngắn hạn. “Mặt bằng giá nhiều khả năng vẫn duy trì ở mức cao do chi phí phát triển dự án chưa giảm, trong khi thanh khoản sẽ tiếp tục phụ thuộc vào diễn biế</w:t>
      </w:r>
      <w:r>
        <w:rPr>
          <w:rFonts w:ascii="Times New Roman" w:hAnsi="Times New Roman" w:eastAsia="Times New Roman" w:cs="Times New Roman"/>
          <w:color w:val="000000"/>
          <w:sz w:val="24"/>
          <w:highlight w:val="white"/>
        </w:rPr>
        <w:t xml:space="preserve">n lãi suất và khả năng cải thiện niềm tin của người mua. Quý 2 nhiều khả năng vẫn là giai đoạn tích lũy hơn là phục hồi rõ nét”, ông nói.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Trong ngắn hạn, khi người bán chưa hạ kỳ vọng và người mua chưa sẵn sàng chấp nhận mức giá hiện tại, trạng thái “giữ giá - giữ tiền” nhiều khả năng vẫn sẽ là đặc trưng của thị trường Đà Nẵng.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center"/>
        <w:rPr/>
      </w:pPr>
      <w:r>
        <w:rPr>
          <w:rFonts w:ascii="Times New Roman" w:hAnsi="Times New Roman" w:eastAsia="Times New Roman" w:cs="Times New Roman"/>
          <w:i/>
          <w:color w:val="000000"/>
          <w:sz w:val="24"/>
          <w:highlight w:val="white"/>
        </w:rPr>
        <w:t xml:space="preserve">(Nguồn thông tin: https://baodauthau.vn/bat-dong-san-da-nang-quy-22026-nguoi-ban-giu-gia-nguoi-mua-giu-tien-post197402.html)</w:t>
      </w:r>
      <w:r>
        <w:rPr>
          <w:rFonts w:ascii="Times New Roman" w:hAnsi="Times New Roman" w:eastAsia="Times New Roman" w:cs="Times New Roman"/>
          <w:sz w:val="24"/>
        </w:rPr>
      </w:r>
      <w:r/>
      <w:r>
        <w:rPr>
          <w:b/>
          <w:bCs/>
          <w:highlight w:val="none"/>
          <w:lang w:val="pt-BR"/>
        </w:rPr>
      </w:r>
      <w:r>
        <w:rPr>
          <w:b/>
          <w:bCs/>
          <w:highlight w:val="none"/>
          <w:lang w:val="pt-BR"/>
        </w:rPr>
      </w:r>
      <w:r>
        <w:rPr>
          <w:b/>
          <w:bCs/>
          <w:lang w:val="pt-BR"/>
        </w:rPr>
      </w:r>
      <w:r/>
    </w:p>
    <w:p>
      <w:pPr>
        <w:pStyle w:val="1034"/>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highlight w:val="none"/>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sở hữu công trình xây dựng (Nhà ở riêng lẻ 04 tầng) tại Thửa đất số: 34, tờ bản đồ số: 111, địa chỉ: Số 09 đường Tống Phước Phổ, phường H</w:t>
            </w:r>
            <w:r>
              <w:rPr>
                <w:b/>
                <w:bCs/>
                <w:color w:val="000000"/>
              </w:rPr>
              <w:t xml:space="preserve">oà Cường, TP Đà Nẵng theo Giấy chứng nhận quyền sử dụng đất, quyền sở hữu nhà ở và tài sản khác gắn liền với đất số: CR 894874, số vào sổ cấp GCN: CTs 190519 Sở Tài nguyên và Môi trường thành phố Đà Nẵng cấp ngày 10/7/2019. Chủ tài sản là Bà Tạ Hồng Quyên.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111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Số 09 đường Tống Phước Phổ, phường Hoà Cường, TP Đà Nẵng.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74,2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Được tặng cho đất được 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Tống Phước Phổ - đường nhựa 5,5m + lề</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5,5m + lề 1,5m</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5,5m + lề 1,5m</w:t>
            </w:r>
            <w:r>
              <w:rPr>
                <w:color w:val="000000"/>
              </w:rPr>
            </w:r>
            <w:r>
              <w:rPr>
                <w:color w:val="000000"/>
              </w:rPr>
            </w:r>
          </w:p>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rFonts w:ascii="Times New Roman" w:hAnsi="Times New Roman" w:eastAsia="Times New Roman" w:cs="Times New Roman"/>
                <w:color w:val="000000"/>
                <w:sz w:val="24"/>
              </w:rPr>
              <w:t xml:space="preserve">Cách trục đường đường 2 Tháng 9 khoảng 40m, cách UBND phường Hoà Cường khoảng 1,1km.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Hướng Tây: Tiếp giáp đường Tổng Phước Phổ;</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Các hướng còn lại: Tiếp giáp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(16.0478513, 108.2220109)</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397500" cy="262654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830376" name=""/>
                              <pic:cNvPicPr>
                                <a:picLocks noChangeAspect="1"/>
                              </pic:cNvPicPr>
                              <pic:nvPr/>
                            </pic:nvPicPr>
                            <pic:blipFill rotWithShape="1">
                              <a:blip r:embed="rId17"/>
                              <a:srcRect l="4365" t="5077" r="3736" b="15420"/>
                              <a:stretch/>
                            </pic:blipFill>
                            <pic:spPr bwMode="auto">
                              <a:xfrm flipH="0" flipV="0">
                                <a:off x="0" y="0"/>
                                <a:ext cx="5397499" cy="26265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5.00pt;height:206.81pt;mso-wrap-distance-left:0.00pt;mso-wrap-distance-top:0.00pt;mso-wrap-distance-right:0.00pt;mso-wrap-distance-bottom:0.00pt;z-index:1;" stroked="false">
                      <v:imagedata r:id="rId17" o:title="" croptop="3327f" cropleft="2861f" cropbottom="10106f" cropright="2448f"/>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74,2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5,49</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13,53</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xây,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w:t>
            </w:r>
            <w:r>
              <w:rPr>
                <w:rFonts w:ascii="Times New Roman" w:hAnsi="Times New Roman" w:eastAsia="Times New Roman" w:cs="Times New Roman"/>
                <w:b/>
                <w:color w:val="000000"/>
                <w:sz w:val="24"/>
              </w:rPr>
              <w:t xml:space="preserve">Nhà ở riêng lẻ 04 tầng.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 Tại thời điểm khảo sát dưới sự hướng dẫn của Khách hàng, CTXD gắn liền với đất là Nhà ở riêng lẻ 04 tầng (</w:t>
            </w:r>
            <w:r>
              <w:rPr>
                <w:i/>
                <w:iCs/>
                <w:color w:val="000000"/>
              </w:rPr>
              <w:t xml:space="preserve">Diện tích xây dựng là 67,7m</w:t>
            </w:r>
            <w:r>
              <w:rPr>
                <w:i/>
                <w:iCs/>
                <w:color w:val="000000"/>
                <w:vertAlign w:val="superscript"/>
              </w:rPr>
              <w:t xml:space="preserve">2</w:t>
            </w:r>
            <w:r>
              <w:rPr>
                <w:i/>
                <w:iCs/>
                <w:color w:val="000000"/>
              </w:rPr>
              <w:t xml:space="preserve">; tổng diện tích sử dụng là 290,3m</w:t>
            </w:r>
            <w:r>
              <w:rPr>
                <w:color w:val="000000"/>
                <w:vertAlign w:val="superscript"/>
              </w:rPr>
              <w:t xml:space="preserve">2</w:t>
            </w:r>
            <w:r>
              <w:rPr>
                <w:color w:val="000000"/>
              </w:rPr>
              <w:t xml:space="preserve">), kết cấu khung chịu lực BTCT, tường bao xây gạch, sàn và mái BTCT, nền lát gạch men, trần thạch cao, cầu thang ốp đá + lan can gỗ; hệ cửa </w:t>
            </w:r>
            <w:r>
              <w:rPr>
                <w:color w:val="000000"/>
              </w:rPr>
              <w:t xml:space="preserve">đi và cửa sổ nhôm + kính. Hiện trạng khung sườn nhà chắc chắn, đảm bảo chịu tải. Công trình nhà ở đang được tiến hành cải tạo, nâng cấp.  </w:t>
            </w:r>
            <w:r>
              <w:rPr>
                <w:color w:val="000000"/>
              </w:rPr>
            </w:r>
            <w:r>
              <w:rPr>
                <w:color w:val="000000"/>
              </w:rPr>
            </w:r>
          </w:p>
          <w:p>
            <w:pPr>
              <w:pBdr/>
              <w:spacing/>
              <w:ind/>
              <w:jc w:val="both"/>
              <w:rPr>
                <w:color w:val="000000"/>
              </w:rPr>
            </w:pPr>
            <w:r>
              <w:rPr>
                <w:color w:val="000000"/>
              </w:rPr>
              <w:t xml:space="preserve">+ Nhà ở 04 tầng nêu trên đã được chứng nhận trên GCN.</w:t>
            </w:r>
            <w:r>
              <w:rPr>
                <w:color w:val="000000"/>
              </w:rPr>
            </w:r>
            <w:r>
              <w:rPr>
                <w:color w:val="000000"/>
              </w:rPr>
            </w:r>
          </w:p>
        </w:tc>
      </w:tr>
    </w:tbl>
    <w:p>
      <w:pPr>
        <w:pStyle w:val="103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4"/>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4"/>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4"/>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w:t>
      </w:r>
      <w:r>
        <w:rPr>
          <w:spacing w:val="-4"/>
          <w:lang w:val="pt-BR"/>
        </w:rPr>
        <w:t xml:space="preserve"> </w:t>
      </w:r>
      <w:r>
        <w:rPr>
          <w:spacing w:val="-4"/>
          <w:lang w:val="pt-BR"/>
        </w:rPr>
        <w:t xml:space="preserve">tài sản thẩm định</w:t>
      </w:r>
      <w:r>
        <w:rPr>
          <w:spacing w:val="-2"/>
          <w:lang w:val="pt-BR"/>
        </w:rPr>
        <w:t xml:space="preserve">.</w:t>
      </w:r>
      <w:r>
        <w:rPr>
          <w:lang w:val="de-DE"/>
        </w:rPr>
      </w:r>
      <w:r>
        <w:rPr>
          <w:lang w:val="de-DE"/>
        </w:rPr>
      </w:r>
    </w:p>
    <w:p>
      <w:pPr>
        <w:pStyle w:val="103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4"/>
        <w:numPr>
          <w:ilvl w:val="0"/>
          <w:numId w:val="26"/>
        </w:numPr>
        <w:pBdr/>
        <w:spacing w:after="120" w:before="120" w:line="276" w:lineRule="auto"/>
        <w:ind w:hanging="357" w:left="357"/>
        <w:jc w:val="both"/>
        <w:rPr>
          <w:b/>
          <w:bCs/>
        </w:rPr>
      </w:pPr>
      <w:r>
        <w:rPr>
          <w:b/>
          <w:bCs/>
        </w:rPr>
        <w:t xml:space="preserve">Xác định giá trị tài sản gắn liền với đất (Nhà ở riêng lẻ 04 tầng):</w:t>
      </w:r>
      <w:r>
        <w:rPr>
          <w:b/>
          <w:bCs/>
        </w:rPr>
      </w:r>
      <w:r>
        <w:rPr>
          <w:b/>
          <w:bCs/>
        </w:rPr>
      </w:r>
    </w:p>
    <w:p>
      <w:pPr>
        <w:numPr>
          <w:ilvl w:val="0"/>
          <w:numId w:val="41"/>
        </w:numPr>
        <w:pBdr>
          <w:top w:val="none" w:color="000000" w:sz="4" w:space="0"/>
          <w:left w:val="none" w:color="000000" w:sz="4" w:space="0"/>
          <w:bottom w:val="none" w:color="000000" w:sz="4" w:space="0"/>
          <w:right w:val="none" w:color="000000" w:sz="4" w:space="0"/>
        </w:pBdr>
        <w:spacing w:after="120" w:before="120" w:line="360" w:lineRule="auto"/>
        <w:ind w:right="0" w:hanging="425" w:left="425"/>
        <w:jc w:val="both"/>
        <w:rPr/>
      </w:pPr>
      <w:r>
        <w:rPr>
          <w:rFonts w:ascii="Times New Roman" w:hAnsi="Times New Roman" w:eastAsia="Times New Roman" w:cs="Times New Roman"/>
          <w:b/>
          <w:i/>
          <w:color w:val="000000"/>
          <w:sz w:val="24"/>
        </w:rPr>
        <w:t xml:space="preserve">Xác định đơn giá xây dựng:</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360" w:lineRule="auto"/>
        <w:ind/>
        <w:jc w:val="both"/>
        <w:rPr/>
      </w:pPr>
      <w:r>
        <w:rPr>
          <w:rFonts w:ascii="Times New Roman" w:hAnsi="Times New Roman" w:eastAsia="Times New Roman" w:cs="Times New Roman"/>
          <w:color w:val="000000"/>
          <w:sz w:val="24"/>
        </w:rPr>
        <w:t xml:space="preserve">Công trình xây dựng trên đất là Nhà 04 tầng, kết cấu khung chịu lực BTCT, tường bao xây gạch, sàn và mái BTCT, nền gạch men: Vận dụng Quyết định số 804/QĐ-UBND ngày 15/4/2024 của UBND thành phố Đà Nẵng về việc Quy định bảng giá chuẩn nhà ở xây dựng mới để </w:t>
      </w:r>
      <w:r>
        <w:rPr>
          <w:rFonts w:ascii="Times New Roman" w:hAnsi="Times New Roman" w:eastAsia="Times New Roman" w:cs="Times New Roman"/>
          <w:color w:val="000000"/>
          <w:sz w:val="24"/>
        </w:rPr>
        <w:t xml:space="preserve">tính giá bán nhà ở cũ thuộc sở hữu nhà nước kết hợp với khảo sát đơn giá thị trường tại địa bàn Đà Nẵng tại thời điểm thẩm định, Tổ Thẩm định ước tính đơn giá xây mới của tài sản thẩm định là: </w:t>
      </w:r>
      <w:r>
        <w:rPr>
          <w:rFonts w:ascii="Times New Roman" w:hAnsi="Times New Roman" w:eastAsia="Times New Roman" w:cs="Times New Roman"/>
          <w:b/>
          <w:color w:val="000000"/>
          <w:sz w:val="24"/>
        </w:rPr>
        <w:t xml:space="preserve">6.590.000đồng/m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i/>
          <w:color w:val="000000"/>
          <w:sz w:val="24"/>
        </w:rPr>
        <w:t xml:space="preserve">.</w:t>
      </w:r>
      <w:r/>
    </w:p>
    <w:p>
      <w:pPr>
        <w:numPr>
          <w:ilvl w:val="0"/>
          <w:numId w:val="41"/>
        </w:numPr>
        <w:pBdr>
          <w:top w:val="none" w:color="000000" w:sz="4" w:space="0"/>
          <w:left w:val="none" w:color="000000" w:sz="4" w:space="0"/>
          <w:bottom w:val="none" w:color="000000" w:sz="4" w:space="0"/>
          <w:right w:val="none" w:color="000000" w:sz="4" w:space="0"/>
        </w:pBdr>
        <w:spacing w:after="120" w:before="120" w:line="360" w:lineRule="auto"/>
        <w:ind w:right="0" w:hanging="425" w:left="425"/>
        <w:jc w:val="both"/>
        <w:rPr/>
      </w:pPr>
      <w:r>
        <w:rPr>
          <w:rFonts w:ascii="Times New Roman" w:hAnsi="Times New Roman" w:eastAsia="Times New Roman" w:cs="Times New Roman"/>
          <w:b/>
          <w:i/>
          <w:color w:val="000000"/>
          <w:sz w:val="24"/>
        </w:rPr>
        <w:t xml:space="preserve">Xác định tỷ lệ chất lượng còn lại của công trình xây dựng:</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360" w:lineRule="auto"/>
        <w:ind/>
        <w:jc w:val="both"/>
        <w:rPr/>
      </w:pPr>
      <w:r>
        <w:rPr>
          <w:rFonts w:ascii="Times New Roman" w:hAnsi="Times New Roman" w:eastAsia="Times New Roman" w:cs="Times New Roman"/>
          <w:color w:val="000000"/>
          <w:sz w:val="24"/>
          <w:u w:val="none"/>
        </w:rPr>
        <w:t xml:space="preserve">Qua khảo sát hiện </w:t>
      </w:r>
      <w:r>
        <w:rPr>
          <w:rFonts w:ascii="Times New Roman" w:hAnsi="Times New Roman" w:eastAsia="Times New Roman" w:cs="Times New Roman"/>
          <w:color w:val="000000"/>
          <w:sz w:val="24"/>
        </w:rPr>
        <w:t xml:space="preserve">trạng, dựa vào đặc điểm tài sản và tham khảo ý kiến các chuyên giá về xây dựng. Tổ thẩm định đánh giá chất lượng còn lại của công trình xây dựng theo Công văn số: 1326/BXD-QLN do Bộ Xây dựng ban hành ngày 08/8/2011 về việc  hướng dẫn kiểm kê, đánh giá lại </w:t>
      </w:r>
      <w:r>
        <w:rPr>
          <w:rFonts w:ascii="Times New Roman" w:hAnsi="Times New Roman" w:eastAsia="Times New Roman" w:cs="Times New Roman"/>
          <w:color w:val="000000"/>
          <w:sz w:val="24"/>
        </w:rPr>
        <w:t xml:space="preserve">giá trị tài sản cố định là nhà, vật kiến trúc như sau:</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360" w:lineRule="auto"/>
        <w:ind/>
        <w:jc w:val="both"/>
        <w:rPr/>
      </w:pPr>
      <w:r>
        <w:rPr>
          <w:rFonts w:ascii="Times New Roman" w:hAnsi="Times New Roman" w:eastAsia="Times New Roman" w:cs="Times New Roman"/>
          <w:color w:val="000000"/>
          <w:sz w:val="24"/>
        </w:rPr>
        <w:t xml:space="preserve">Tỷ lệ chất lượng còn lại của nhà, vật kiến trúc được xác định căn cứ vào tỷ lệ chất lượng còn lại của các kết cấu chính (nếu là nhà thì kết cấu chính gồm: móng, khung, cột, tường, nền, sàn, kết cấu đỡ mái và mái) tạo nên nhà đó và tỷ lệ giá trị của các kết</w:t>
      </w:r>
      <w:r>
        <w:rPr>
          <w:rFonts w:ascii="Times New Roman" w:hAnsi="Times New Roman" w:eastAsia="Times New Roman" w:cs="Times New Roman"/>
          <w:color w:val="000000"/>
          <w:sz w:val="24"/>
        </w:rPr>
        <w:t xml:space="preserve"> cấu chính đó so với tổng giá trị của nhà hoặc vật kiến trúc.</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360" w:lineRule="auto"/>
        <w:ind/>
        <w:jc w:val="both"/>
        <w:rPr/>
      </w:pPr>
      <w:r>
        <w:rPr>
          <w:rFonts w:ascii="Times New Roman" w:hAnsi="Times New Roman" w:eastAsia="Times New Roman" w:cs="Times New Roman"/>
          <w:color w:val="000000"/>
          <w:sz w:val="24"/>
        </w:rPr>
        <w:t xml:space="preserve">Công thức tính như sau:</w:t>
      </w:r>
      <w:r/>
    </w:p>
    <w:tbl>
      <w:tblPr>
        <w:tblStyle w:val="1038"/>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764"/>
        <w:gridCol w:w="514"/>
        <w:gridCol w:w="709"/>
        <w:gridCol w:w="2361"/>
        <w:gridCol w:w="567"/>
        <w:gridCol w:w="2049"/>
      </w:tblGrid>
      <w:tr>
        <w:trPr>
          <w:trHeight w:val="1797"/>
        </w:trPr>
        <w:tc>
          <w:tcPr>
            <w:tcBorders/>
            <w:tcMar>
              <w:left w:w="108" w:type="dxa"/>
              <w:top w:w="0" w:type="dxa"/>
              <w:right w:w="108" w:type="dxa"/>
              <w:bottom w:w="0" w:type="dxa"/>
            </w:tcMar>
            <w:tcW w:w="176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Tỷ lệ chất lượng còn lại của nhà, vật kiến trúc (%)</w:t>
            </w:r>
            <w:r/>
          </w:p>
        </w:tc>
        <w:tc>
          <w:tcPr>
            <w:tcBorders/>
            <w:tcMar>
              <w:left w:w="108" w:type="dxa"/>
              <w:top w:w="0" w:type="dxa"/>
              <w:right w:w="108" w:type="dxa"/>
              <w:bottom w:w="0" w:type="dxa"/>
            </w:tcMar>
            <w:tcW w:w="51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tcBorders>
            <w:tcMar>
              <w:left w:w="108" w:type="dxa"/>
              <w:top w:w="0" w:type="dxa"/>
              <w:right w:w="108" w:type="dxa"/>
              <w:bottom w:w="0" w:type="dxa"/>
            </w:tcMar>
            <w:tcW w:w="709" w:type="dxa"/>
            <w:vAlign w:val="center"/>
            <w:textDirection w:val="lrTb"/>
            <w:noWrap w:val="false"/>
          </w:tcPr>
          <w:p>
            <w:pPr>
              <w:pBdr/>
              <w:spacing w:after="0" w:before="0" w:line="240" w:lineRule="auto"/>
              <w:ind/>
              <w:jc w:val="center"/>
              <w:rPr/>
            </w:pPr>
            <w:r/>
            <w:r/>
          </w:p>
        </w:tc>
        <w:tc>
          <w:tcPr>
            <w:tcBorders>
              <w:bottom w:val="single" w:color="000000" w:sz="8" w:space="0"/>
            </w:tcBorders>
            <w:tcMar>
              <w:left w:w="108" w:type="dxa"/>
              <w:top w:w="0" w:type="dxa"/>
              <w:right w:w="108" w:type="dxa"/>
              <w:bottom w:w="0" w:type="dxa"/>
            </w:tcMar>
            <w:tcW w:w="2361"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Tỷ lệ chất lượng còn lại của kết cấu chính thức i (%)</w:t>
            </w:r>
            <w:r/>
          </w:p>
        </w:tc>
        <w:tc>
          <w:tcPr>
            <w:tcBorders>
              <w:bottom w:val="single" w:color="000000" w:sz="8" w:space="0"/>
            </w:tcBorders>
            <w:tcMar>
              <w:left w:w="108" w:type="dxa"/>
              <w:top w:w="0" w:type="dxa"/>
              <w:right w:w="108"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x</w:t>
            </w:r>
            <w:r/>
          </w:p>
        </w:tc>
        <w:tc>
          <w:tcPr>
            <w:tcBorders>
              <w:bottom w:val="single" w:color="000000" w:sz="8" w:space="0"/>
            </w:tcBorders>
            <w:tcMar>
              <w:left w:w="108" w:type="dxa"/>
              <w:top w:w="0" w:type="dxa"/>
              <w:right w:w="108" w:type="dxa"/>
              <w:bottom w:w="0" w:type="dxa"/>
            </w:tcMar>
            <w:tcW w:w="2049"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Tỷ lệ giá trị của kết cấu chính thứ i so với tổng giá trị của ngôi nhà hoặc vật kiến trúc (%)</w:t>
            </w:r>
            <w:r/>
          </w:p>
        </w:tc>
      </w:tr>
      <w:tr>
        <w:trPr>
          <w:trHeight w:val="167"/>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08" w:type="dxa"/>
              <w:top w:w="0" w:type="dxa"/>
              <w:right w:w="108" w:type="dxa"/>
              <w:bottom w:w="0" w:type="dxa"/>
            </w:tcMar>
            <w:tcW w:w="5686"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Tổng tỷ lệ giá trị của các kết cấu chính so với tổng giá trị của ngôi nhà hoặc vật kiến trúc (%)</w:t>
            </w:r>
            <w:r/>
          </w:p>
        </w:tc>
      </w:tr>
    </w:tbl>
    <w:p>
      <w:pPr>
        <w:numPr>
          <w:ilvl w:val="0"/>
          <w:numId w:val="43"/>
        </w:numPr>
        <w:pBdr>
          <w:top w:val="none" w:color="000000" w:sz="4" w:space="0"/>
          <w:left w:val="none" w:color="000000" w:sz="4" w:space="0"/>
          <w:bottom w:val="none" w:color="000000" w:sz="4" w:space="0"/>
          <w:right w:val="none" w:color="000000" w:sz="4" w:space="0"/>
        </w:pBdr>
        <w:spacing w:line="360" w:lineRule="auto"/>
        <w:ind/>
        <w:rPr/>
      </w:pPr>
      <w:r>
        <w:rPr>
          <w:rFonts w:ascii="Times New Roman" w:hAnsi="Times New Roman" w:eastAsia="Times New Roman" w:cs="Times New Roman"/>
          <w:i/>
          <w:color w:val="000000"/>
          <w:sz w:val="24"/>
        </w:rPr>
        <w:t xml:space="preserve">Trong đó:</w:t>
      </w:r>
      <w:r/>
    </w:p>
    <w:p>
      <w:pPr>
        <w:numPr>
          <w:ilvl w:val="0"/>
          <w:numId w:val="43"/>
        </w:numPr>
        <w:pBdr>
          <w:top w:val="none" w:color="000000" w:sz="4" w:space="0"/>
          <w:left w:val="none" w:color="000000" w:sz="4" w:space="0"/>
          <w:bottom w:val="none" w:color="000000" w:sz="4" w:space="0"/>
          <w:right w:val="none" w:color="000000" w:sz="4" w:space="0"/>
        </w:pBdr>
        <w:spacing w:line="360" w:lineRule="auto"/>
        <w:ind/>
        <w:rPr/>
      </w:pPr>
      <w:r>
        <w:rPr>
          <w:rFonts w:ascii="Times New Roman" w:hAnsi="Times New Roman" w:eastAsia="Times New Roman" w:cs="Times New Roman"/>
          <w:color w:val="000000"/>
          <w:sz w:val="24"/>
        </w:rPr>
        <w:t xml:space="preserve">i: số thứ tự của kết cấu chính</w:t>
      </w:r>
      <w:r/>
    </w:p>
    <w:p>
      <w:pPr>
        <w:numPr>
          <w:ilvl w:val="0"/>
          <w:numId w:val="43"/>
        </w:numPr>
        <w:pBdr>
          <w:top w:val="none" w:color="000000" w:sz="4" w:space="0"/>
          <w:left w:val="none" w:color="000000" w:sz="4" w:space="0"/>
          <w:bottom w:val="none" w:color="000000" w:sz="4" w:space="0"/>
          <w:right w:val="none" w:color="000000" w:sz="4" w:space="0"/>
        </w:pBdr>
        <w:spacing w:line="360" w:lineRule="auto"/>
        <w:ind/>
        <w:rPr/>
      </w:pPr>
      <w:r>
        <w:rPr>
          <w:rFonts w:ascii="Times New Roman" w:hAnsi="Times New Roman" w:eastAsia="Times New Roman" w:cs="Times New Roman"/>
          <w:color w:val="000000"/>
          <w:sz w:val="24"/>
        </w:rPr>
        <w:t xml:space="preserve">n: số các kết cấu chính.</w:t>
      </w:r>
      <w:r/>
    </w:p>
    <w:p>
      <w:pPr>
        <w:numPr>
          <w:ilvl w:val="0"/>
          <w:numId w:val="43"/>
        </w:numPr>
        <w:pBdr>
          <w:top w:val="none" w:color="000000" w:sz="4" w:space="0"/>
          <w:left w:val="none" w:color="000000" w:sz="4" w:space="0"/>
          <w:bottom w:val="none" w:color="000000" w:sz="4" w:space="0"/>
          <w:right w:val="none" w:color="000000" w:sz="4" w:space="0"/>
        </w:pBdr>
        <w:spacing w:line="360" w:lineRule="auto"/>
        <w:ind/>
        <w:jc w:val="both"/>
        <w:rPr/>
      </w:pPr>
      <w:r>
        <w:rPr>
          <w:rFonts w:ascii="Times New Roman" w:hAnsi="Times New Roman" w:eastAsia="Times New Roman" w:cs="Times New Roman"/>
          <w:color w:val="000000"/>
          <w:sz w:val="24"/>
        </w:rPr>
        <w:t xml:space="preserve">Tổ thẩm định xác định chất lượng còn lại của công trình như sau:</w:t>
      </w:r>
      <w:r/>
    </w:p>
    <w:tbl>
      <w:tblPr>
        <w:tblStyle w:val="1038"/>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905"/>
        <w:gridCol w:w="1905"/>
        <w:gridCol w:w="1905"/>
        <w:gridCol w:w="1905"/>
        <w:gridCol w:w="1905"/>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KẾT CẤU CHÍNH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Tỷ lệ giá trị còn lại các kết cấu chính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i/>
                <w:color w:val="000000"/>
                <w:sz w:val="24"/>
              </w:rPr>
              <w:t xml:space="preserve">a</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i/>
                <w:color w:val="000000"/>
                <w:sz w:val="24"/>
              </w:rPr>
              <w:t xml:space="preserve">b</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i/>
                <w:color w:val="000000"/>
                <w:sz w:val="24"/>
              </w:rPr>
              <w:t xml:space="preserve">c</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i/>
                <w:color w:val="000000"/>
                <w:sz w:val="24"/>
              </w:rPr>
              <w:t xml:space="preserve">d</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i/>
                <w:color w:val="000000"/>
                <w:sz w:val="24"/>
              </w:rPr>
              <w:t xml:space="preserve">e = c x d/g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Móng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80%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14%</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Khung, cột</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Tường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18%</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80%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25%</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Nền, sàn</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16%</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80%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22%</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Kết cấu đỡ mái</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Mái</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14%</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80%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19%</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Tổng cộng (g)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58%</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Tỷ lệ chất lượng còn lại:</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80%</w:t>
            </w:r>
            <w:r/>
          </w:p>
        </w:tc>
      </w:tr>
    </w:tbl>
    <w:p>
      <w:pPr>
        <w:pBdr>
          <w:top w:val="none" w:color="000000" w:sz="4" w:space="0"/>
          <w:left w:val="none" w:color="000000" w:sz="4" w:space="0"/>
          <w:bottom w:val="none" w:color="000000" w:sz="4" w:space="0"/>
          <w:right w:val="none" w:color="000000" w:sz="4" w:space="0"/>
        </w:pBdr>
        <w:spacing w:after="120" w:before="120" w:line="360" w:lineRule="auto"/>
        <w:ind w:right="0" w:firstLine="284" w:left="0"/>
        <w:jc w:val="both"/>
        <w:rPr/>
      </w:pPr>
      <w:r>
        <w:rPr>
          <w:rFonts w:ascii="Times New Roman" w:hAnsi="Times New Roman" w:eastAsia="Times New Roman" w:cs="Times New Roman"/>
          <w:color w:val="000000"/>
          <w:sz w:val="24"/>
        </w:rPr>
        <w:t xml:space="preserve">Tổ thẩm định ước tính tỷ lệ chất lượng còn lại của tài sản là: </w:t>
      </w:r>
      <w:r>
        <w:rPr>
          <w:rFonts w:ascii="Times New Roman" w:hAnsi="Times New Roman" w:eastAsia="Times New Roman" w:cs="Times New Roman"/>
          <w:b/>
          <w:color w:val="000000"/>
          <w:sz w:val="24"/>
        </w:rPr>
        <w:t xml:space="preserve">80%.</w:t>
      </w:r>
      <w:r>
        <w:rPr>
          <w:rFonts w:ascii="Times New Roman" w:hAnsi="Times New Roman" w:eastAsia="Times New Roman" w:cs="Times New Roman"/>
          <w:sz w:val="24"/>
        </w:rPr>
      </w:r>
      <w:r/>
    </w:p>
    <w:p>
      <w:pPr>
        <w:pStyle w:val="103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4"/>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6/2026</w:t>
      </w:r>
      <w:r>
        <w:t xml:space="preserve"> </w:t>
      </w:r>
      <w:r>
        <w:t xml:space="preserve">ước tính </w:t>
      </w:r>
      <w:r>
        <w:t xml:space="preserve">như sau</w:t>
      </w:r>
      <w:r>
        <w:t xml:space="preserve">:</w:t>
      </w:r>
      <w:r>
        <w:rPr>
          <w:highlight w:val="none"/>
        </w:rPr>
      </w:r>
      <w:r>
        <w:rPr>
          <w:highlight w:val="none"/>
        </w:rPr>
      </w:r>
    </w:p>
    <w:tbl>
      <w:tblPr>
        <w:tblStyle w:val="1038"/>
        <w:tblInd w:w="0" w:type="dxa"/>
        <w:tblW w:w="5018"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805"/>
        <w:gridCol w:w="2801"/>
        <w:gridCol w:w="1967"/>
        <w:gridCol w:w="2193"/>
        <w:gridCol w:w="1793"/>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Tài sản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Diện tích (m²)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Đơn giá (đồng/m²)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Thành tiền (đồng)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9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4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Giá trị quyền sở hữu công trình xây dựng tại Thửa đất số: 34, tờ bản đồ số: 111, địa chỉ: Số 09 đường Tống Phước Phổ, phường Hoà Cường, TP Đà Nẵng theo Giấy chứng nhận quyền sử dụng đất, quyền sở hữu nhà ở và tài sản khác gắn liền với đất số: CR 894874, số</w:t>
            </w:r>
            <w:r>
              <w:rPr>
                <w:rFonts w:ascii="Times New Roman" w:hAnsi="Times New Roman" w:eastAsia="Times New Roman" w:cs="Times New Roman"/>
                <w:b/>
                <w:color w:val="000000"/>
                <w:sz w:val="24"/>
              </w:rPr>
              <w:t xml:space="preserve"> vào sổ cấp GCN: CTs 190519 Sở Tài nguyên và Môi trường thành phố Đà Nẵng cấp ngày 10/7/2019. Chủ tài sản là Bà Tạ Hồng Quyên.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Nhà ở riêng lẻ (04 tầng).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67"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290,3</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30.000.000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1.530.461.600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765"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TỔNG CỘNG: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1.530.461.600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765"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LÀM TRÒN: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1.530.000.000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5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(Bằng chữ: Hai tỷ, năm trăm ba mươi triệu đồng./.)</w:t>
            </w:r>
            <w:r>
              <w:rPr>
                <w:rFonts w:ascii="Times New Roman" w:hAnsi="Times New Roman" w:eastAsia="Times New Roman" w:cs="Times New Roman"/>
                <w:sz w:val="24"/>
              </w:rPr>
            </w:r>
            <w:r>
              <w:rPr>
                <w:rFonts w:ascii="Times New Roman" w:hAnsi="Times New Roman" w:eastAsia="Times New Roman" w:cs="Times New Roman"/>
                <w:sz w:val="24"/>
              </w:rPr>
            </w:r>
          </w:p>
        </w:tc>
      </w:tr>
    </w:tbl>
    <w:p>
      <w:pPr>
        <w:pBdr/>
        <w:tabs>
          <w:tab w:val="left" w:leader="none" w:pos="993"/>
        </w:tabs>
        <w:spacing w:after="120" w:before="120" w:line="276" w:lineRule="auto"/>
        <w:ind w:firstLine="0" w:left="0"/>
        <w:jc w:val="both"/>
        <w:rPr>
          <w:bCs/>
          <w:i/>
        </w:rPr>
      </w:pPr>
      <w:r>
        <w:rPr>
          <w:b/>
          <w:bCs/>
        </w:rPr>
        <w:t xml:space="preserve">* Ghi chú</w:t>
      </w:r>
      <w:r>
        <w:t xml:space="preserve">: </w:t>
      </w:r>
      <w:r>
        <w:rPr>
          <w:i/>
          <w:iCs/>
        </w:rPr>
        <w:t xml:space="preserve">Theo yêu cầu của khách hàng, </w:t>
      </w:r>
      <w:r>
        <w:rPr>
          <w:i/>
          <w:iCs/>
          <w:lang w:val="pt-BR"/>
        </w:rPr>
        <w:t xml:space="preserve">Công ty </w:t>
      </w:r>
      <w:r>
        <w:rPr>
          <w:i/>
          <w:iCs/>
          <w:lang w:val="pt-BR"/>
        </w:rPr>
        <w:t xml:space="preserve">Cổ phần Thẩm định</w:t>
      </w:r>
      <w:r>
        <w:rPr>
          <w:i/>
          <w:iCs/>
          <w:lang w:val="pt-BR"/>
        </w:rPr>
        <w:t xml:space="preserve"> và Đầu tư Tài chính Hoa Sen </w:t>
      </w:r>
      <w:r>
        <w:rPr>
          <w:i/>
          <w:iCs/>
        </w:rPr>
        <w:t xml:space="preserve">chỉ ước tính giá trị công trình xây dựng là Nhà ở riêng lẻ 04 tầng, không tính giá trị quyền sử dụng đất vào tổng giá trị tài sản. Đề nghị Quý Ngân hàng lưu ý nội dung này.</w:t>
      </w:r>
      <w:r>
        <w:rPr>
          <w:i/>
          <w:iCs/>
        </w:rPr>
      </w:r>
      <w:r>
        <w:rPr>
          <w:bCs/>
          <w:i/>
        </w:rPr>
      </w:r>
    </w:p>
    <w:p>
      <w:pPr>
        <w:pStyle w:val="103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4"/>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4"/>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4"/>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4"/>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4"/>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4"/>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4"/>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4"/>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3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4"/>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3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4"/>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4"/>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4"/>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4"/>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4"/>
        <w:pBdr/>
        <w:tabs>
          <w:tab w:val="left" w:leader="none" w:pos="993"/>
        </w:tabs>
        <w:spacing w:after="120" w:before="120" w:line="288" w:lineRule="auto"/>
        <w:ind w:left="0"/>
        <w:jc w:val="both"/>
        <w:rPr>
          <w:lang w:val="pt-BR"/>
        </w:rPr>
      </w:pPr>
      <w:r>
        <w:rPr>
          <w:highlight w:val="none"/>
          <w:lang w:val="vi-VN"/>
        </w:rPr>
      </w:r>
      <w:r>
        <w:rPr>
          <w:highlight w:val="none"/>
          <w:lang w:val="vi-VN"/>
        </w:rPr>
      </w:r>
      <w:r>
        <w:rPr>
          <w:lang w:val="pt-BR"/>
        </w:rPr>
      </w:r>
    </w:p>
    <w:p>
      <w:pPr>
        <w:pStyle w:val="1034"/>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275/2026/0893/VFI-CT.01ĐN.A</w:t>
      </w:r>
      <w:r>
        <w:rPr>
          <w:color w:val="ff0000"/>
          <w:lang w:val="vi-VN"/>
        </w:rPr>
        <w:t xml:space="preserve"> </w:t>
      </w:r>
      <w:r>
        <w:rPr>
          <w:color w:val="000000" w:themeColor="text1"/>
        </w:rPr>
        <w:t xml:space="preserve">ngày 13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gridSpan w:val="2"/>
            <w:tcBorders/>
            <w:tcW w:w="9155" w:type="dxa"/>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ind/>
              <w:rPr/>
            </w:pPr>
            <w: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gridSpan w:val="2"/>
            <w:tcBorders/>
            <w:tcW w:w="9155" w:type="dxa"/>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275/2026/0893/VFI-BC.01ĐN.A</w:t>
      </w:r>
      <w:r>
        <w:rPr>
          <w:i/>
        </w:rPr>
        <w:t xml:space="preserve"> ngày</w:t>
      </w:r>
      <w:r>
        <w:rPr>
          <w:i/>
          <w:lang w:val="pt-BR"/>
        </w:rPr>
        <w:t xml:space="preserve"> </w:t>
      </w:r>
      <w:r>
        <w:rPr>
          <w:i/>
          <w:lang w:val="pt-BR"/>
        </w:rPr>
        <w:t xml:space="preserve">13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029570" cy="2405643"/>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200782" name=""/>
                              <pic:cNvPicPr>
                                <a:picLocks noChangeAspect="1"/>
                              </pic:cNvPicPr>
                              <pic:nvPr/>
                            </pic:nvPicPr>
                            <pic:blipFill rotWithShape="1">
                              <a:blip r:embed="rId18"/>
                              <a:srcRect l="1571" t="6271" r="-1570" b="18647"/>
                              <a:stretch/>
                            </pic:blipFill>
                            <pic:spPr bwMode="auto">
                              <a:xfrm flipH="0" flipV="0">
                                <a:off x="0" y="0"/>
                                <a:ext cx="2029569" cy="24056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59.81pt;height:189.42pt;mso-wrap-distance-left:0.00pt;mso-wrap-distance-top:0.00pt;mso-wrap-distance-right:0.00pt;mso-wrap-distance-bottom:0.00pt;z-index:1;" stroked="false">
                      <v:imagedata r:id="rId18" o:title="" croptop="4110f" cropleft="1030f" cropbottom="12220f" cropright="-1028f"/>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760905" cy="243169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244888" name=""/>
                              <pic:cNvPicPr>
                                <a:picLocks noChangeAspect="1"/>
                              </pic:cNvPicPr>
                              <pic:nvPr/>
                            </pic:nvPicPr>
                            <pic:blipFill rotWithShape="1">
                              <a:blip r:embed="rId19"/>
                              <a:stretch/>
                            </pic:blipFill>
                            <pic:spPr bwMode="auto">
                              <a:xfrm flipH="0" flipV="0">
                                <a:off x="0" y="0"/>
                                <a:ext cx="1760904" cy="24316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38.65pt;height:191.47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424628" cy="25017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762643" name=""/>
                              <pic:cNvPicPr>
                                <a:picLocks noChangeAspect="1"/>
                              </pic:cNvPicPr>
                              <pic:nvPr/>
                            </pic:nvPicPr>
                            <pic:blipFill rotWithShape="1">
                              <a:blip r:embed="rId20"/>
                              <a:stretch/>
                            </pic:blipFill>
                            <pic:spPr bwMode="auto">
                              <a:xfrm flipH="0" flipV="0">
                                <a:off x="0" y="0"/>
                                <a:ext cx="2424628" cy="25016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0.92pt;height:196.98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391523" cy="245950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321109" name=""/>
                              <pic:cNvPicPr>
                                <a:picLocks noChangeAspect="1"/>
                              </pic:cNvPicPr>
                              <pic:nvPr/>
                            </pic:nvPicPr>
                            <pic:blipFill rotWithShape="1">
                              <a:blip r:embed="rId21"/>
                              <a:stretch/>
                            </pic:blipFill>
                            <pic:spPr bwMode="auto">
                              <a:xfrm flipH="0" flipV="0">
                                <a:off x="0" y="0"/>
                                <a:ext cx="2391522" cy="24595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88.31pt;height:193.66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454463" cy="247829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432061" name=""/>
                              <pic:cNvPicPr>
                                <a:picLocks noChangeAspect="1"/>
                              </pic:cNvPicPr>
                              <pic:nvPr/>
                            </pic:nvPicPr>
                            <pic:blipFill rotWithShape="1">
                              <a:blip r:embed="rId22"/>
                              <a:stretch/>
                            </pic:blipFill>
                            <pic:spPr bwMode="auto">
                              <a:xfrm flipH="0" flipV="0">
                                <a:off x="0" y="0"/>
                                <a:ext cx="2454463" cy="24782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3.26pt;height:195.14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434021" cy="246866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869080" name=""/>
                              <pic:cNvPicPr>
                                <a:picLocks noChangeAspect="1"/>
                              </pic:cNvPicPr>
                              <pic:nvPr/>
                            </pic:nvPicPr>
                            <pic:blipFill rotWithShape="1">
                              <a:blip r:embed="rId23"/>
                              <a:stretch/>
                            </pic:blipFill>
                            <pic:spPr bwMode="auto">
                              <a:xfrm flipH="0" flipV="0">
                                <a:off x="0" y="0"/>
                                <a:ext cx="2434021" cy="24686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1.66pt;height:194.38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170059" cy="232755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579591" name=""/>
                              <pic:cNvPicPr>
                                <a:picLocks noChangeAspect="1"/>
                              </pic:cNvPicPr>
                              <pic:nvPr/>
                            </pic:nvPicPr>
                            <pic:blipFill rotWithShape="1">
                              <a:blip r:embed="rId24"/>
                              <a:stretch/>
                            </pic:blipFill>
                            <pic:spPr bwMode="auto">
                              <a:xfrm flipH="0" flipV="0">
                                <a:off x="0" y="0"/>
                                <a:ext cx="2170058" cy="23275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70.87pt;height:183.27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346565" cy="234564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20357" name=""/>
                              <pic:cNvPicPr>
                                <a:picLocks noChangeAspect="1"/>
                              </pic:cNvPicPr>
                              <pic:nvPr/>
                            </pic:nvPicPr>
                            <pic:blipFill rotWithShape="1">
                              <a:blip r:embed="rId25"/>
                              <a:stretch/>
                            </pic:blipFill>
                            <pic:spPr bwMode="auto">
                              <a:xfrm flipH="0" flipV="0">
                                <a:off x="0" y="0"/>
                                <a:ext cx="2346565" cy="23456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4.77pt;height:184.70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149202" cy="2254063"/>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809202" name=""/>
                              <pic:cNvPicPr>
                                <a:picLocks noChangeAspect="1"/>
                              </pic:cNvPicPr>
                              <pic:nvPr/>
                            </pic:nvPicPr>
                            <pic:blipFill rotWithShape="1">
                              <a:blip r:embed="rId26"/>
                              <a:stretch/>
                            </pic:blipFill>
                            <pic:spPr bwMode="auto">
                              <a:xfrm flipH="0" flipV="0">
                                <a:off x="0" y="0"/>
                                <a:ext cx="2149202" cy="22540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69.23pt;height:177.49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387490" cy="229141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02837" name=""/>
                              <pic:cNvPicPr>
                                <a:picLocks noChangeAspect="1"/>
                              </pic:cNvPicPr>
                              <pic:nvPr/>
                            </pic:nvPicPr>
                            <pic:blipFill rotWithShape="1">
                              <a:blip r:embed="rId27"/>
                              <a:stretch/>
                            </pic:blipFill>
                            <pic:spPr bwMode="auto">
                              <a:xfrm flipH="0" flipV="0">
                                <a:off x="0" y="0"/>
                                <a:ext cx="2387490" cy="22914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99pt;height:180.43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222135" cy="240792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466291" name=""/>
                              <pic:cNvPicPr>
                                <a:picLocks noChangeAspect="1"/>
                              </pic:cNvPicPr>
                              <pic:nvPr/>
                            </pic:nvPicPr>
                            <pic:blipFill rotWithShape="1">
                              <a:blip r:embed="rId28"/>
                              <a:stretch/>
                            </pic:blipFill>
                            <pic:spPr bwMode="auto">
                              <a:xfrm flipH="0" flipV="0">
                                <a:off x="0" y="0"/>
                                <a:ext cx="2222134" cy="24079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74.97pt;height:189.60pt;mso-wrap-distance-left:0.00pt;mso-wrap-distance-top:0.00pt;mso-wrap-distance-right:0.00pt;mso-wrap-distance-bottom:0.00pt;z-index:1;" stroked="false">
                      <v:imagedata r:id="rId28"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256205" cy="2503696"/>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742159" name=""/>
                              <pic:cNvPicPr>
                                <a:picLocks noChangeAspect="1"/>
                              </pic:cNvPicPr>
                              <pic:nvPr/>
                            </pic:nvPicPr>
                            <pic:blipFill rotWithShape="1">
                              <a:blip r:embed="rId29"/>
                              <a:stretch/>
                            </pic:blipFill>
                            <pic:spPr bwMode="auto">
                              <a:xfrm flipH="0" flipV="0">
                                <a:off x="0" y="0"/>
                                <a:ext cx="2256205" cy="25036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77.65pt;height:197.14pt;mso-wrap-distance-left:0.00pt;mso-wrap-distance-top:0.00pt;mso-wrap-distance-right:0.00pt;mso-wrap-distance-bottom:0.00pt;z-index:1;" stroked="false">
                      <v:imagedata r:id="rId29" o:title=""/>
                      <o:lock v:ext="edit" rotation="t"/>
                    </v:shape>
                  </w:pict>
                </mc:Fallback>
              </mc:AlternateContent>
            </w:r>
            <w:r>
              <w:rPr>
                <w:i/>
                <w:lang w:val="pt-BR"/>
              </w:rPr>
            </w:r>
            <w:r>
              <w:rPr>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u w:val="none"/>
        </w:rPr>
      </w:pPr>
      <w:r>
        <w:rPr>
          <w:b/>
          <w:u w:val="none"/>
          <w:lang w:val="vi-VN"/>
        </w:rPr>
        <w:t xml:space="preserve">HỒ SƠ PHÁP LÝ</w:t>
      </w:r>
      <w:r>
        <w:rPr>
          <w:i/>
          <w:u w:val="none"/>
          <w:lang w:val="pt-BR"/>
        </w:rPr>
      </w:r>
      <w:r>
        <w:rPr>
          <w:i/>
          <w:u w:val="none"/>
        </w:rPr>
      </w:r>
    </w:p>
    <w:p>
      <w:pPr>
        <w:pBdr/>
        <w:spacing w:after="200" w:line="276" w:lineRule="auto"/>
        <w:ind/>
        <w:jc w:val="center"/>
        <w:rPr>
          <w:iCs/>
          <w:highlight w:val="none"/>
          <w:lang w:val="pt-BR"/>
        </w:rPr>
      </w:pPr>
      <w:r>
        <w:rPr>
          <w:iCs/>
          <w:lang w:val="pt-BR"/>
        </w:rPr>
      </w:r>
      <w:r>
        <w:rPr>
          <w:iCs/>
          <w:lang w:val="pt-BR"/>
        </w:rPr>
        <mc:AlternateContent>
          <mc:Choice Requires="wpg">
            <w:drawing>
              <wp:inline xmlns:wp="http://schemas.openxmlformats.org/drawingml/2006/wordprocessingDrawing" distT="0" distB="0" distL="0" distR="0">
                <wp:extent cx="6048375" cy="401981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666774" name=""/>
                        <pic:cNvPicPr>
                          <a:picLocks noChangeAspect="1"/>
                        </pic:cNvPicPr>
                        <pic:nvPr/>
                      </pic:nvPicPr>
                      <pic:blipFill rotWithShape="1">
                        <a:blip r:embed="rId30"/>
                        <a:stretch/>
                      </pic:blipFill>
                      <pic:spPr bwMode="auto">
                        <a:xfrm flipH="0" flipV="0">
                          <a:off x="0" y="0"/>
                          <a:ext cx="6048374" cy="40198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316.52pt;mso-wrap-distance-left:0.00pt;mso-wrap-distance-top:0.00pt;mso-wrap-distance-right:0.00pt;mso-wrap-distance-bottom:0.00pt;z-index:1;" stroked="false">
                <v:imagedata r:id="rId30" o:title=""/>
                <o:lock v:ext="edit" rotation="t"/>
              </v:shape>
            </w:pict>
          </mc:Fallback>
        </mc:AlternateContent>
      </w:r>
      <w:r>
        <w:rPr>
          <w:iCs/>
          <w:lang w:val="pt-BR"/>
        </w:rPr>
      </w:r>
      <w:r>
        <w:rPr>
          <w:iCs/>
          <w:highlight w:val="none"/>
          <w:lang w:val="pt-BR"/>
        </w:rPr>
      </w:r>
    </w:p>
    <w:p>
      <w:pPr>
        <w:pBdr/>
        <w:spacing w:after="200" w:line="276" w:lineRule="auto"/>
        <w:ind/>
        <w:jc w:val="center"/>
        <w:rPr>
          <w:lang w:val="pt-BR"/>
        </w:rPr>
      </w:pPr>
      <w:r>
        <w:rPr>
          <w:iCs/>
          <w:highlight w:val="none"/>
          <w:lang w:val="pt-BR" w:bidi="pt-BR"/>
        </w:rPr>
        <mc:AlternateContent>
          <mc:Choice Requires="wpg">
            <w:drawing>
              <wp:inline xmlns:wp="http://schemas.openxmlformats.org/drawingml/2006/wordprocessingDrawing" distT="0" distB="0" distL="0" distR="0">
                <wp:extent cx="6048375" cy="4610996"/>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940049" name=""/>
                        <pic:cNvPicPr>
                          <a:picLocks noChangeAspect="1"/>
                        </pic:cNvPicPr>
                        <pic:nvPr/>
                      </pic:nvPicPr>
                      <pic:blipFill rotWithShape="1">
                        <a:blip r:embed="rId31"/>
                        <a:stretch/>
                      </pic:blipFill>
                      <pic:spPr bwMode="auto">
                        <a:xfrm>
                          <a:off x="0" y="0"/>
                          <a:ext cx="6048374" cy="46109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363.07pt;mso-wrap-distance-left:0.00pt;mso-wrap-distance-top:0.00pt;mso-wrap-distance-right:0.00pt;mso-wrap-distance-bottom:0.00pt;z-index:1;" stroked="false">
                <v:imagedata r:id="rId31" o:title=""/>
                <o:lock v:ext="edit" rotation="t"/>
              </v:shape>
            </w:pict>
          </mc:Fallback>
        </mc:AlternateContent>
      </w:r>
      <w:r>
        <w:rPr>
          <w:lang w:val="pt-BR"/>
        </w:rPr>
      </w:r>
      <w:r>
        <w:rPr>
          <w:lang w:val="pt-BR"/>
        </w:rPr>
      </w:r>
    </w:p>
    <w:p>
      <w:pPr>
        <w:pBdr/>
        <w:spacing w:after="200" w:line="276" w:lineRule="auto"/>
        <w:ind/>
        <w:jc w:val="center"/>
        <w:rPr>
          <w:b/>
          <w:bCs/>
        </w:rPr>
      </w:pPr>
      <w:r>
        <w:rPr>
          <w:b/>
          <w:bCs/>
          <w:iCs/>
          <w:lang w:val="pt-BR"/>
        </w:rPr>
      </w:r>
      <w:r>
        <w:rPr>
          <w:b/>
          <w:bCs/>
          <w:iCs/>
          <w:lang w:val="pt-BR"/>
        </w:rPr>
        <w:t xml:space="preserve">BIÊN BẢN KHẢO SÁT</w:t>
      </w:r>
      <w:r>
        <w:rPr>
          <w:b/>
          <w:bCs/>
        </w:rPr>
      </w:r>
      <w:r>
        <w:rPr>
          <w:b/>
          <w:bCs/>
        </w:rPr>
      </w:r>
    </w:p>
    <w:p>
      <w:pPr>
        <w:pBdr/>
        <w:spacing w:after="200" w:line="276" w:lineRule="auto"/>
        <w:ind/>
        <w:jc w:val="center"/>
        <w:rPr>
          <w:iCs/>
          <w:lang w:val="pt-BR"/>
        </w:rPr>
      </w:pPr>
      <w:r>
        <w:rPr>
          <w:iCs/>
          <w:lang w:val="pt-BR"/>
        </w:rPr>
        <mc:AlternateContent>
          <mc:Choice Requires="wpg">
            <w:drawing>
              <wp:inline xmlns:wp="http://schemas.openxmlformats.org/drawingml/2006/wordprocessingDrawing" distT="0" distB="0" distL="0" distR="0">
                <wp:extent cx="6140981" cy="8604596"/>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056949" name=""/>
                        <pic:cNvPicPr>
                          <a:picLocks noChangeAspect="1"/>
                        </pic:cNvPicPr>
                        <pic:nvPr/>
                      </pic:nvPicPr>
                      <pic:blipFill rotWithShape="1">
                        <a:blip r:embed="rId32"/>
                        <a:srcRect l="6249" t="2562" r="7578" b="6881"/>
                        <a:stretch/>
                      </pic:blipFill>
                      <pic:spPr bwMode="auto">
                        <a:xfrm flipH="0" flipV="0">
                          <a:off x="0" y="0"/>
                          <a:ext cx="6140980" cy="86045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83.54pt;height:677.53pt;mso-wrap-distance-left:0.00pt;mso-wrap-distance-top:0.00pt;mso-wrap-distance-right:0.00pt;mso-wrap-distance-bottom:0.00pt;z-index:1;" stroked="false">
                <v:imagedata r:id="rId32" o:title="" croptop="1679f" cropleft="4095f" cropbottom="4510f" cropright="4966f"/>
                <o:lock v:ext="edit" rotation="t"/>
              </v:shape>
            </w:pict>
          </mc:Fallback>
        </mc:AlternateContent>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55396FF"/>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697ACDF4"/>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0">
    <w:nsid w:val="6E99713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162F0DA6"/>
    <w:lvl w:ilvl="0">
      <w:isLgl w:val="false"/>
      <w:lvlJc w:val="left"/>
      <w:lvlText w:val=""/>
      <w:numFmt w:val="bullet"/>
      <w:pPr>
        <w:pBdr/>
        <w:spacing/>
        <w:ind w:hanging="360" w:left="1368"/>
      </w:pPr>
      <w:rPr>
        <w:rFonts w:hint="default" w:ascii="Wingdings" w:hAnsi="Wingdings" w:eastAsia="Wingdings" w:cs="Wingdings"/>
      </w:rPr>
      <w:start w:val="1"/>
      <w:suff w:val="tab"/>
    </w:lvl>
    <w:lvl w:ilvl="1">
      <w:isLgl w:val="false"/>
      <w:lvlJc w:val="left"/>
      <w:lvlText w:val="o"/>
      <w:numFmt w:val="bullet"/>
      <w:pPr>
        <w:pBdr/>
        <w:spacing/>
        <w:ind w:hanging="360" w:left="2088"/>
      </w:pPr>
      <w:rPr>
        <w:rFonts w:hint="default" w:ascii="Courier New" w:hAnsi="Courier New" w:eastAsia="Courier New" w:cs="Courier New"/>
      </w:rPr>
      <w:start w:val="1"/>
      <w:suff w:val="tab"/>
    </w:lvl>
    <w:lvl w:ilvl="2">
      <w:isLgl w:val="false"/>
      <w:lvlJc w:val="left"/>
      <w:lvlText w:val=""/>
      <w:numFmt w:val="bullet"/>
      <w:pPr>
        <w:pBdr/>
        <w:spacing/>
        <w:ind w:hanging="360" w:left="2808"/>
      </w:pPr>
      <w:rPr>
        <w:rFonts w:hint="default" w:ascii="Wingdings" w:hAnsi="Wingdings" w:eastAsia="Wingdings" w:cs="Wingdings"/>
      </w:rPr>
      <w:start w:val="1"/>
      <w:suff w:val="tab"/>
    </w:lvl>
    <w:lvl w:ilvl="3">
      <w:isLgl w:val="false"/>
      <w:lvlJc w:val="left"/>
      <w:lvlText w:val=""/>
      <w:numFmt w:val="bullet"/>
      <w:pPr>
        <w:pBdr/>
        <w:spacing/>
        <w:ind w:hanging="360" w:left="3528"/>
      </w:pPr>
      <w:rPr>
        <w:rFonts w:hint="default" w:ascii="Symbol" w:hAnsi="Symbol" w:eastAsia="Symbol" w:cs="Symbol"/>
      </w:rPr>
      <w:start w:val="1"/>
      <w:suff w:val="tab"/>
    </w:lvl>
    <w:lvl w:ilvl="4">
      <w:isLgl w:val="false"/>
      <w:lvlJc w:val="left"/>
      <w:lvlText w:val="o"/>
      <w:numFmt w:val="bullet"/>
      <w:pPr>
        <w:pBdr/>
        <w:spacing/>
        <w:ind w:hanging="360" w:left="4248"/>
      </w:pPr>
      <w:rPr>
        <w:rFonts w:hint="default" w:ascii="Courier New" w:hAnsi="Courier New" w:eastAsia="Courier New" w:cs="Courier New"/>
      </w:rPr>
      <w:start w:val="1"/>
      <w:suff w:val="tab"/>
    </w:lvl>
    <w:lvl w:ilvl="5">
      <w:isLgl w:val="false"/>
      <w:lvlJc w:val="left"/>
      <w:lvlText w:val=""/>
      <w:numFmt w:val="bullet"/>
      <w:pPr>
        <w:pBdr/>
        <w:spacing/>
        <w:ind w:hanging="360" w:left="4968"/>
      </w:pPr>
      <w:rPr>
        <w:rFonts w:hint="default" w:ascii="Wingdings" w:hAnsi="Wingdings" w:eastAsia="Wingdings" w:cs="Wingdings"/>
      </w:rPr>
      <w:start w:val="1"/>
      <w:suff w:val="tab"/>
    </w:lvl>
    <w:lvl w:ilvl="6">
      <w:isLgl w:val="false"/>
      <w:lvlJc w:val="left"/>
      <w:lvlText w:val=""/>
      <w:numFmt w:val="bullet"/>
      <w:pPr>
        <w:pBdr/>
        <w:spacing/>
        <w:ind w:hanging="360" w:left="5688"/>
      </w:pPr>
      <w:rPr>
        <w:rFonts w:hint="default" w:ascii="Symbol" w:hAnsi="Symbol" w:eastAsia="Symbol" w:cs="Symbol"/>
      </w:rPr>
      <w:start w:val="1"/>
      <w:suff w:val="tab"/>
    </w:lvl>
    <w:lvl w:ilvl="7">
      <w:isLgl w:val="false"/>
      <w:lvlJc w:val="left"/>
      <w:lvlText w:val="o"/>
      <w:numFmt w:val="bullet"/>
      <w:pPr>
        <w:pBdr/>
        <w:spacing/>
        <w:ind w:hanging="360" w:left="6408"/>
      </w:pPr>
      <w:rPr>
        <w:rFonts w:hint="default" w:ascii="Courier New" w:hAnsi="Courier New" w:eastAsia="Courier New" w:cs="Courier New"/>
      </w:rPr>
      <w:start w:val="1"/>
      <w:suff w:val="tab"/>
    </w:lvl>
    <w:lvl w:ilvl="8">
      <w:isLgl w:val="false"/>
      <w:lvlJc w:val="left"/>
      <w:lvlText w:val=""/>
      <w:numFmt w:val="bullet"/>
      <w:pPr>
        <w:pBdr/>
        <w:spacing/>
        <w:ind w:hanging="360" w:left="7128"/>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6">
    <w:name w:val="Table Grid Light"/>
    <w:basedOn w:val="101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1"/>
    <w:basedOn w:val="101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2"/>
    <w:basedOn w:val="101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3"/>
    <w:basedOn w:val="10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4"/>
    <w:basedOn w:val="10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5"/>
    <w:basedOn w:val="10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w:basedOn w:val="101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1"/>
    <w:basedOn w:val="101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2"/>
    <w:basedOn w:val="101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3"/>
    <w:basedOn w:val="101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4"/>
    <w:basedOn w:val="101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5"/>
    <w:basedOn w:val="101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6"/>
    <w:basedOn w:val="101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w:basedOn w:val="101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1"/>
    <w:basedOn w:val="101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2"/>
    <w:basedOn w:val="101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3"/>
    <w:basedOn w:val="101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4"/>
    <w:basedOn w:val="101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5"/>
    <w:basedOn w:val="101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6"/>
    <w:basedOn w:val="101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w:basedOn w:val="101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1"/>
    <w:basedOn w:val="101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2"/>
    <w:basedOn w:val="101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3"/>
    <w:basedOn w:val="101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4"/>
    <w:basedOn w:val="101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5"/>
    <w:basedOn w:val="101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6"/>
    <w:basedOn w:val="101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w:basedOn w:val="101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1"/>
    <w:basedOn w:val="101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2"/>
    <w:basedOn w:val="101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3"/>
    <w:basedOn w:val="101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4"/>
    <w:basedOn w:val="101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5"/>
    <w:basedOn w:val="101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6"/>
    <w:basedOn w:val="101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1"/>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2"/>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3"/>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4"/>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5"/>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6"/>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6 Colorful"/>
    <w:basedOn w:val="101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8">
    <w:name w:val="Grid Table 6 Colorful - Accent 1"/>
    <w:basedOn w:val="101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9">
    <w:name w:val="Grid Table 6 Colorful - Accent 2"/>
    <w:basedOn w:val="101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0">
    <w:name w:val="Grid Table 6 Colorful - Accent 3"/>
    <w:basedOn w:val="101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1">
    <w:name w:val="Grid Table 6 Colorful - Accent 4"/>
    <w:basedOn w:val="101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2">
    <w:name w:val="Grid Table 6 Colorful - Accent 5"/>
    <w:basedOn w:val="101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6 Colorful - Accent 6"/>
    <w:basedOn w:val="101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7 Colorful"/>
    <w:basedOn w:val="101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1"/>
    <w:basedOn w:val="101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2"/>
    <w:basedOn w:val="101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3"/>
    <w:basedOn w:val="101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4"/>
    <w:basedOn w:val="101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5"/>
    <w:basedOn w:val="101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6"/>
    <w:basedOn w:val="101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1"/>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2"/>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3"/>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4"/>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5"/>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6"/>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w:basedOn w:val="101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1"/>
    <w:basedOn w:val="101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2"/>
    <w:basedOn w:val="101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3"/>
    <w:basedOn w:val="101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4"/>
    <w:basedOn w:val="101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5"/>
    <w:basedOn w:val="101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6"/>
    <w:basedOn w:val="101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w:basedOn w:val="101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1"/>
    <w:basedOn w:val="101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2"/>
    <w:basedOn w:val="101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3"/>
    <w:basedOn w:val="101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4"/>
    <w:basedOn w:val="101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5"/>
    <w:basedOn w:val="101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6"/>
    <w:basedOn w:val="101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w:basedOn w:val="101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1"/>
    <w:basedOn w:val="101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2"/>
    <w:basedOn w:val="101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3"/>
    <w:basedOn w:val="101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4"/>
    <w:basedOn w:val="101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5"/>
    <w:basedOn w:val="101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6"/>
    <w:basedOn w:val="101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5 Dark"/>
    <w:basedOn w:val="101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1"/>
    <w:basedOn w:val="101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2"/>
    <w:basedOn w:val="101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3"/>
    <w:basedOn w:val="101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4"/>
    <w:basedOn w:val="101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5"/>
    <w:basedOn w:val="101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6"/>
    <w:basedOn w:val="101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6 Colorful"/>
    <w:basedOn w:val="101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1"/>
    <w:basedOn w:val="101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2"/>
    <w:basedOn w:val="101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3"/>
    <w:basedOn w:val="101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4"/>
    <w:basedOn w:val="101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5"/>
    <w:basedOn w:val="101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6"/>
    <w:basedOn w:val="101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7 Colorful"/>
    <w:basedOn w:val="101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4">
    <w:name w:val="List Table 7 Colorful - Accent 1"/>
    <w:basedOn w:val="101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5">
    <w:name w:val="List Table 7 Colorful - Accent 2"/>
    <w:basedOn w:val="101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6">
    <w:name w:val="List Table 7 Colorful - Accent 3"/>
    <w:basedOn w:val="101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7">
    <w:name w:val="List Table 7 Colorful - Accent 4"/>
    <w:basedOn w:val="101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8">
    <w:name w:val="List Table 7 Colorful - Accent 5"/>
    <w:basedOn w:val="101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9">
    <w:name w:val="List Table 7 Colorful - Accent 6"/>
    <w:basedOn w:val="101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0">
    <w:name w:val="Lined - Accent"/>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1"/>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2"/>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3"/>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4"/>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5"/>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6"/>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w:basedOn w:val="101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1"/>
    <w:basedOn w:val="101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2"/>
    <w:basedOn w:val="101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3"/>
    <w:basedOn w:val="101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4"/>
    <w:basedOn w:val="101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5"/>
    <w:basedOn w:val="101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6"/>
    <w:basedOn w:val="101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w:basedOn w:val="101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1"/>
    <w:basedOn w:val="101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2"/>
    <w:basedOn w:val="101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3"/>
    <w:basedOn w:val="101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4"/>
    <w:basedOn w:val="101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5"/>
    <w:basedOn w:val="101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6"/>
    <w:basedOn w:val="101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1">
    <w:name w:val="Heading 5"/>
    <w:basedOn w:val="1012"/>
    <w:next w:val="1012"/>
    <w:link w:val="97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2">
    <w:name w:val="Heading 6"/>
    <w:basedOn w:val="1012"/>
    <w:next w:val="1012"/>
    <w:link w:val="97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3">
    <w:name w:val="Heading 7"/>
    <w:basedOn w:val="1012"/>
    <w:next w:val="1012"/>
    <w:link w:val="97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4">
    <w:name w:val="Heading 8"/>
    <w:basedOn w:val="1012"/>
    <w:next w:val="1012"/>
    <w:link w:val="97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5">
    <w:name w:val="Heading 9"/>
    <w:basedOn w:val="1012"/>
    <w:next w:val="1012"/>
    <w:link w:val="98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6">
    <w:name w:val="Heading 5 Char"/>
    <w:basedOn w:val="1017"/>
    <w:link w:val="971"/>
    <w:uiPriority w:val="9"/>
    <w:pPr>
      <w:pBdr/>
      <w:spacing/>
      <w:ind/>
    </w:pPr>
    <w:rPr>
      <w:rFonts w:ascii="Arial" w:hAnsi="Arial" w:eastAsia="Arial" w:cs="Arial"/>
      <w:color w:val="0f4761" w:themeColor="accent1" w:themeShade="BF"/>
    </w:rPr>
  </w:style>
  <w:style w:type="character" w:styleId="977">
    <w:name w:val="Heading 6 Char"/>
    <w:basedOn w:val="1017"/>
    <w:link w:val="972"/>
    <w:uiPriority w:val="9"/>
    <w:pPr>
      <w:pBdr/>
      <w:spacing/>
      <w:ind/>
    </w:pPr>
    <w:rPr>
      <w:rFonts w:ascii="Arial" w:hAnsi="Arial" w:eastAsia="Arial" w:cs="Arial"/>
      <w:i/>
      <w:iCs/>
      <w:color w:val="595959" w:themeColor="text1" w:themeTint="A6"/>
    </w:rPr>
  </w:style>
  <w:style w:type="character" w:styleId="978">
    <w:name w:val="Heading 7 Char"/>
    <w:basedOn w:val="1017"/>
    <w:link w:val="973"/>
    <w:uiPriority w:val="9"/>
    <w:pPr>
      <w:pBdr/>
      <w:spacing/>
      <w:ind/>
    </w:pPr>
    <w:rPr>
      <w:rFonts w:ascii="Arial" w:hAnsi="Arial" w:eastAsia="Arial" w:cs="Arial"/>
      <w:color w:val="595959" w:themeColor="text1" w:themeTint="A6"/>
    </w:rPr>
  </w:style>
  <w:style w:type="character" w:styleId="979">
    <w:name w:val="Heading 8 Char"/>
    <w:basedOn w:val="1017"/>
    <w:link w:val="974"/>
    <w:uiPriority w:val="9"/>
    <w:pPr>
      <w:pBdr/>
      <w:spacing/>
      <w:ind/>
    </w:pPr>
    <w:rPr>
      <w:rFonts w:ascii="Arial" w:hAnsi="Arial" w:eastAsia="Arial" w:cs="Arial"/>
      <w:i/>
      <w:iCs/>
      <w:color w:val="272727" w:themeColor="text1" w:themeTint="D8"/>
    </w:rPr>
  </w:style>
  <w:style w:type="character" w:styleId="980">
    <w:name w:val="Heading 9 Char"/>
    <w:basedOn w:val="1017"/>
    <w:link w:val="975"/>
    <w:uiPriority w:val="9"/>
    <w:pPr>
      <w:pBdr/>
      <w:spacing/>
      <w:ind/>
    </w:pPr>
    <w:rPr>
      <w:rFonts w:ascii="Arial" w:hAnsi="Arial" w:eastAsia="Arial" w:cs="Arial"/>
      <w:i/>
      <w:iCs/>
      <w:color w:val="272727" w:themeColor="text1" w:themeTint="D8"/>
    </w:rPr>
  </w:style>
  <w:style w:type="paragraph" w:styleId="981">
    <w:name w:val="Subtitle"/>
    <w:basedOn w:val="1012"/>
    <w:next w:val="1012"/>
    <w:link w:val="982"/>
    <w:uiPriority w:val="11"/>
    <w:qFormat/>
    <w:pPr>
      <w:numPr>
        <w:ilvl w:val="1"/>
      </w:numPr>
      <w:pBdr/>
      <w:spacing/>
      <w:ind/>
    </w:pPr>
    <w:rPr>
      <w:color w:val="595959" w:themeColor="text1" w:themeTint="A6"/>
      <w:spacing w:val="15"/>
      <w:sz w:val="28"/>
      <w:szCs w:val="28"/>
    </w:rPr>
  </w:style>
  <w:style w:type="character" w:styleId="982">
    <w:name w:val="Subtitle Char"/>
    <w:basedOn w:val="1017"/>
    <w:link w:val="981"/>
    <w:uiPriority w:val="11"/>
    <w:pPr>
      <w:pBdr/>
      <w:spacing/>
      <w:ind/>
    </w:pPr>
    <w:rPr>
      <w:color w:val="595959" w:themeColor="text1" w:themeTint="A6"/>
      <w:spacing w:val="15"/>
      <w:sz w:val="28"/>
      <w:szCs w:val="28"/>
    </w:rPr>
  </w:style>
  <w:style w:type="paragraph" w:styleId="983">
    <w:name w:val="Quote"/>
    <w:basedOn w:val="1012"/>
    <w:next w:val="1012"/>
    <w:link w:val="984"/>
    <w:uiPriority w:val="29"/>
    <w:qFormat/>
    <w:pPr>
      <w:pBdr/>
      <w:spacing w:before="160"/>
      <w:ind/>
      <w:jc w:val="center"/>
    </w:pPr>
    <w:rPr>
      <w:i/>
      <w:iCs/>
      <w:color w:val="404040" w:themeColor="text1" w:themeTint="BF"/>
    </w:rPr>
  </w:style>
  <w:style w:type="character" w:styleId="984">
    <w:name w:val="Quote Char"/>
    <w:basedOn w:val="1017"/>
    <w:link w:val="983"/>
    <w:uiPriority w:val="29"/>
    <w:pPr>
      <w:pBdr/>
      <w:spacing/>
      <w:ind/>
    </w:pPr>
    <w:rPr>
      <w:i/>
      <w:iCs/>
      <w:color w:val="404040" w:themeColor="text1" w:themeTint="BF"/>
    </w:rPr>
  </w:style>
  <w:style w:type="character" w:styleId="985">
    <w:name w:val="Intense Emphasis"/>
    <w:basedOn w:val="1017"/>
    <w:uiPriority w:val="21"/>
    <w:qFormat/>
    <w:pPr>
      <w:pBdr/>
      <w:spacing/>
      <w:ind/>
    </w:pPr>
    <w:rPr>
      <w:i/>
      <w:iCs/>
      <w:color w:val="0f4761" w:themeColor="accent1" w:themeShade="BF"/>
    </w:rPr>
  </w:style>
  <w:style w:type="paragraph" w:styleId="986">
    <w:name w:val="Intense Quote"/>
    <w:basedOn w:val="1012"/>
    <w:next w:val="1012"/>
    <w:link w:val="98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7">
    <w:name w:val="Intense Quote Char"/>
    <w:basedOn w:val="1017"/>
    <w:link w:val="986"/>
    <w:uiPriority w:val="30"/>
    <w:pPr>
      <w:pBdr/>
      <w:spacing/>
      <w:ind/>
    </w:pPr>
    <w:rPr>
      <w:i/>
      <w:iCs/>
      <w:color w:val="0f4761" w:themeColor="accent1" w:themeShade="BF"/>
    </w:rPr>
  </w:style>
  <w:style w:type="character" w:styleId="988">
    <w:name w:val="Intense Reference"/>
    <w:basedOn w:val="1017"/>
    <w:uiPriority w:val="32"/>
    <w:qFormat/>
    <w:pPr>
      <w:pBdr/>
      <w:spacing/>
      <w:ind/>
    </w:pPr>
    <w:rPr>
      <w:b/>
      <w:bCs/>
      <w:smallCaps/>
      <w:color w:val="0f4761" w:themeColor="accent1" w:themeShade="BF"/>
      <w:spacing w:val="5"/>
    </w:rPr>
  </w:style>
  <w:style w:type="paragraph" w:styleId="989">
    <w:name w:val="No Spacing"/>
    <w:basedOn w:val="1012"/>
    <w:uiPriority w:val="1"/>
    <w:qFormat/>
    <w:pPr>
      <w:pBdr/>
      <w:spacing w:after="0" w:line="240" w:lineRule="auto"/>
      <w:ind/>
    </w:pPr>
  </w:style>
  <w:style w:type="character" w:styleId="990">
    <w:name w:val="Subtle Emphasis"/>
    <w:basedOn w:val="1017"/>
    <w:uiPriority w:val="19"/>
    <w:qFormat/>
    <w:pPr>
      <w:pBdr/>
      <w:spacing/>
      <w:ind/>
    </w:pPr>
    <w:rPr>
      <w:i/>
      <w:iCs/>
      <w:color w:val="404040" w:themeColor="text1" w:themeTint="BF"/>
    </w:rPr>
  </w:style>
  <w:style w:type="character" w:styleId="991">
    <w:name w:val="Subtle Reference"/>
    <w:basedOn w:val="1017"/>
    <w:uiPriority w:val="31"/>
    <w:qFormat/>
    <w:pPr>
      <w:pBdr/>
      <w:spacing/>
      <w:ind/>
    </w:pPr>
    <w:rPr>
      <w:smallCaps/>
      <w:color w:val="5a5a5a" w:themeColor="text1" w:themeTint="A5"/>
    </w:rPr>
  </w:style>
  <w:style w:type="character" w:styleId="992">
    <w:name w:val="Book Title"/>
    <w:basedOn w:val="1017"/>
    <w:uiPriority w:val="33"/>
    <w:qFormat/>
    <w:pPr>
      <w:pBdr/>
      <w:spacing/>
      <w:ind/>
    </w:pPr>
    <w:rPr>
      <w:b/>
      <w:bCs/>
      <w:i/>
      <w:iCs/>
      <w:spacing w:val="5"/>
    </w:rPr>
  </w:style>
  <w:style w:type="paragraph" w:styleId="993">
    <w:name w:val="Caption"/>
    <w:basedOn w:val="1012"/>
    <w:next w:val="1012"/>
    <w:uiPriority w:val="35"/>
    <w:unhideWhenUsed/>
    <w:qFormat/>
    <w:pPr>
      <w:pBdr/>
      <w:spacing w:after="200" w:line="240" w:lineRule="auto"/>
      <w:ind/>
    </w:pPr>
    <w:rPr>
      <w:i/>
      <w:iCs/>
      <w:color w:val="0e2841" w:themeColor="text2"/>
      <w:sz w:val="18"/>
      <w:szCs w:val="18"/>
    </w:rPr>
  </w:style>
  <w:style w:type="paragraph" w:styleId="994">
    <w:name w:val="footnote text"/>
    <w:basedOn w:val="1012"/>
    <w:link w:val="995"/>
    <w:uiPriority w:val="99"/>
    <w:semiHidden/>
    <w:unhideWhenUsed/>
    <w:pPr>
      <w:pBdr/>
      <w:spacing w:after="0" w:line="240" w:lineRule="auto"/>
      <w:ind/>
    </w:pPr>
    <w:rPr>
      <w:sz w:val="20"/>
      <w:szCs w:val="20"/>
    </w:rPr>
  </w:style>
  <w:style w:type="character" w:styleId="995">
    <w:name w:val="Footnote Text Char"/>
    <w:basedOn w:val="1017"/>
    <w:link w:val="994"/>
    <w:uiPriority w:val="99"/>
    <w:semiHidden/>
    <w:pPr>
      <w:pBdr/>
      <w:spacing/>
      <w:ind/>
    </w:pPr>
    <w:rPr>
      <w:sz w:val="20"/>
      <w:szCs w:val="20"/>
    </w:rPr>
  </w:style>
  <w:style w:type="character" w:styleId="996">
    <w:name w:val="footnote reference"/>
    <w:basedOn w:val="1017"/>
    <w:uiPriority w:val="99"/>
    <w:semiHidden/>
    <w:unhideWhenUsed/>
    <w:pPr>
      <w:pBdr/>
      <w:spacing/>
      <w:ind/>
    </w:pPr>
    <w:rPr>
      <w:vertAlign w:val="superscript"/>
    </w:rPr>
  </w:style>
  <w:style w:type="paragraph" w:styleId="997">
    <w:name w:val="endnote text"/>
    <w:basedOn w:val="1012"/>
    <w:link w:val="998"/>
    <w:uiPriority w:val="99"/>
    <w:semiHidden/>
    <w:unhideWhenUsed/>
    <w:pPr>
      <w:pBdr/>
      <w:spacing w:after="0" w:line="240" w:lineRule="auto"/>
      <w:ind/>
    </w:pPr>
    <w:rPr>
      <w:sz w:val="20"/>
      <w:szCs w:val="20"/>
    </w:rPr>
  </w:style>
  <w:style w:type="character" w:styleId="998">
    <w:name w:val="Endnote Text Char"/>
    <w:basedOn w:val="1017"/>
    <w:link w:val="997"/>
    <w:uiPriority w:val="99"/>
    <w:semiHidden/>
    <w:pPr>
      <w:pBdr/>
      <w:spacing/>
      <w:ind/>
    </w:pPr>
    <w:rPr>
      <w:sz w:val="20"/>
      <w:szCs w:val="20"/>
    </w:rPr>
  </w:style>
  <w:style w:type="character" w:styleId="999">
    <w:name w:val="endnote reference"/>
    <w:basedOn w:val="1017"/>
    <w:uiPriority w:val="99"/>
    <w:semiHidden/>
    <w:unhideWhenUsed/>
    <w:pPr>
      <w:pBdr/>
      <w:spacing/>
      <w:ind/>
    </w:pPr>
    <w:rPr>
      <w:vertAlign w:val="superscript"/>
    </w:rPr>
  </w:style>
  <w:style w:type="paragraph" w:styleId="1000">
    <w:name w:val="toc 1"/>
    <w:basedOn w:val="1012"/>
    <w:next w:val="1012"/>
    <w:uiPriority w:val="39"/>
    <w:unhideWhenUsed/>
    <w:pPr>
      <w:pBdr/>
      <w:spacing w:after="100"/>
      <w:ind/>
    </w:pPr>
  </w:style>
  <w:style w:type="paragraph" w:styleId="1001">
    <w:name w:val="toc 2"/>
    <w:basedOn w:val="1012"/>
    <w:next w:val="1012"/>
    <w:uiPriority w:val="39"/>
    <w:unhideWhenUsed/>
    <w:pPr>
      <w:pBdr/>
      <w:spacing w:after="100"/>
      <w:ind w:left="220"/>
    </w:pPr>
  </w:style>
  <w:style w:type="paragraph" w:styleId="1002">
    <w:name w:val="toc 3"/>
    <w:basedOn w:val="1012"/>
    <w:next w:val="1012"/>
    <w:uiPriority w:val="39"/>
    <w:unhideWhenUsed/>
    <w:pPr>
      <w:pBdr/>
      <w:spacing w:after="100"/>
      <w:ind w:left="440"/>
    </w:pPr>
  </w:style>
  <w:style w:type="paragraph" w:styleId="1003">
    <w:name w:val="toc 4"/>
    <w:basedOn w:val="1012"/>
    <w:next w:val="1012"/>
    <w:uiPriority w:val="39"/>
    <w:unhideWhenUsed/>
    <w:pPr>
      <w:pBdr/>
      <w:spacing w:after="100"/>
      <w:ind w:left="660"/>
    </w:pPr>
  </w:style>
  <w:style w:type="paragraph" w:styleId="1004">
    <w:name w:val="toc 5"/>
    <w:basedOn w:val="1012"/>
    <w:next w:val="1012"/>
    <w:uiPriority w:val="39"/>
    <w:unhideWhenUsed/>
    <w:pPr>
      <w:pBdr/>
      <w:spacing w:after="100"/>
      <w:ind w:left="880"/>
    </w:pPr>
  </w:style>
  <w:style w:type="paragraph" w:styleId="1005">
    <w:name w:val="toc 6"/>
    <w:basedOn w:val="1012"/>
    <w:next w:val="1012"/>
    <w:uiPriority w:val="39"/>
    <w:unhideWhenUsed/>
    <w:pPr>
      <w:pBdr/>
      <w:spacing w:after="100"/>
      <w:ind w:left="1100"/>
    </w:pPr>
  </w:style>
  <w:style w:type="paragraph" w:styleId="1006">
    <w:name w:val="toc 7"/>
    <w:basedOn w:val="1012"/>
    <w:next w:val="1012"/>
    <w:uiPriority w:val="39"/>
    <w:unhideWhenUsed/>
    <w:pPr>
      <w:pBdr/>
      <w:spacing w:after="100"/>
      <w:ind w:left="1320"/>
    </w:pPr>
  </w:style>
  <w:style w:type="paragraph" w:styleId="1007">
    <w:name w:val="toc 8"/>
    <w:basedOn w:val="1012"/>
    <w:next w:val="1012"/>
    <w:uiPriority w:val="39"/>
    <w:unhideWhenUsed/>
    <w:pPr>
      <w:pBdr/>
      <w:spacing w:after="100"/>
      <w:ind w:left="1540"/>
    </w:pPr>
  </w:style>
  <w:style w:type="paragraph" w:styleId="1008">
    <w:name w:val="toc 9"/>
    <w:basedOn w:val="1012"/>
    <w:next w:val="1012"/>
    <w:uiPriority w:val="39"/>
    <w:unhideWhenUsed/>
    <w:pPr>
      <w:pBdr/>
      <w:spacing w:after="100"/>
      <w:ind w:left="1760"/>
    </w:pPr>
  </w:style>
  <w:style w:type="character" w:styleId="1009">
    <w:name w:val="Placeholder Text"/>
    <w:basedOn w:val="1017"/>
    <w:uiPriority w:val="99"/>
    <w:semiHidden/>
    <w:pPr>
      <w:pBdr/>
      <w:spacing/>
      <w:ind/>
    </w:pPr>
    <w:rPr>
      <w:color w:val="666666"/>
    </w:rPr>
  </w:style>
  <w:style w:type="paragraph" w:styleId="1010">
    <w:name w:val="TOC Heading"/>
    <w:uiPriority w:val="39"/>
    <w:unhideWhenUsed/>
    <w:pPr>
      <w:pBdr/>
      <w:spacing/>
      <w:ind/>
    </w:pPr>
  </w:style>
  <w:style w:type="paragraph" w:styleId="1011">
    <w:name w:val="table of figures"/>
    <w:basedOn w:val="1012"/>
    <w:next w:val="1012"/>
    <w:uiPriority w:val="99"/>
    <w:unhideWhenUsed/>
    <w:pPr>
      <w:pBdr/>
      <w:spacing w:after="0" w:afterAutospacing="0"/>
      <w:ind/>
    </w:pPr>
  </w:style>
  <w:style w:type="paragraph" w:styleId="1012" w:default="1">
    <w:name w:val="Normal"/>
    <w:qFormat/>
    <w:pPr>
      <w:pBdr/>
      <w:spacing w:after="0" w:line="240" w:lineRule="auto"/>
      <w:ind/>
    </w:pPr>
    <w:rPr>
      <w:rFonts w:ascii="Times New Roman" w:hAnsi="Times New Roman" w:eastAsia="Times New Roman" w:cs="Times New Roman"/>
      <w:sz w:val="24"/>
      <w:szCs w:val="24"/>
    </w:rPr>
  </w:style>
  <w:style w:type="paragraph" w:styleId="1013">
    <w:name w:val="Heading 1"/>
    <w:basedOn w:val="1012"/>
    <w:next w:val="1012"/>
    <w:link w:val="1020"/>
    <w:qFormat/>
    <w:pPr>
      <w:keepNext w:val="true"/>
      <w:pBdr/>
      <w:spacing w:after="120" w:before="120"/>
      <w:ind/>
      <w:jc w:val="center"/>
      <w:outlineLvl w:val="0"/>
    </w:pPr>
    <w:rPr>
      <w:b/>
      <w:bCs/>
      <w:sz w:val="27"/>
      <w:szCs w:val="27"/>
    </w:rPr>
  </w:style>
  <w:style w:type="paragraph" w:styleId="1014">
    <w:name w:val="Heading 2"/>
    <w:basedOn w:val="1012"/>
    <w:next w:val="1012"/>
    <w:link w:val="102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5">
    <w:name w:val="Heading 3"/>
    <w:basedOn w:val="1012"/>
    <w:next w:val="1012"/>
    <w:link w:val="1022"/>
    <w:qFormat/>
    <w:pPr>
      <w:keepNext w:val="true"/>
      <w:pBdr/>
      <w:spacing w:before="60"/>
      <w:ind/>
      <w:outlineLvl w:val="2"/>
    </w:pPr>
    <w:rPr>
      <w:sz w:val="28"/>
      <w:szCs w:val="28"/>
    </w:rPr>
  </w:style>
  <w:style w:type="paragraph" w:styleId="1016">
    <w:name w:val="Heading 4"/>
    <w:basedOn w:val="1012"/>
    <w:next w:val="1012"/>
    <w:link w:val="1023"/>
    <w:qFormat/>
    <w:pPr>
      <w:keepNext w:val="true"/>
      <w:pBdr/>
      <w:spacing/>
      <w:ind/>
      <w:jc w:val="center"/>
      <w:outlineLvl w:val="3"/>
    </w:pPr>
    <w:rPr>
      <w:b/>
      <w:bCs/>
    </w:rPr>
  </w:style>
  <w:style w:type="character" w:styleId="1017" w:default="1">
    <w:name w:val="Default Paragraph Font"/>
    <w:uiPriority w:val="1"/>
    <w:semiHidden/>
    <w:unhideWhenUsed/>
    <w:pPr>
      <w:pBdr/>
      <w:spacing/>
      <w:ind/>
    </w:pPr>
  </w:style>
  <w:style w:type="table" w:styleId="101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9" w:default="1">
    <w:name w:val="No List"/>
    <w:uiPriority w:val="99"/>
    <w:semiHidden/>
    <w:unhideWhenUsed/>
    <w:pPr>
      <w:pBdr/>
      <w:spacing/>
      <w:ind/>
    </w:pPr>
  </w:style>
  <w:style w:type="character" w:styleId="1020" w:customStyle="1">
    <w:name w:val="Heading 1 Char"/>
    <w:basedOn w:val="1017"/>
    <w:link w:val="1013"/>
    <w:pPr>
      <w:pBdr/>
      <w:spacing/>
      <w:ind/>
    </w:pPr>
    <w:rPr>
      <w:rFonts w:ascii="Times New Roman" w:hAnsi="Times New Roman" w:eastAsia="Times New Roman" w:cs="Times New Roman"/>
      <w:b/>
      <w:bCs/>
      <w:sz w:val="27"/>
      <w:szCs w:val="27"/>
    </w:rPr>
  </w:style>
  <w:style w:type="character" w:styleId="1021" w:customStyle="1">
    <w:name w:val="Heading 2 Char"/>
    <w:basedOn w:val="1017"/>
    <w:link w:val="1014"/>
    <w:uiPriority w:val="9"/>
    <w:pPr>
      <w:pBdr/>
      <w:spacing/>
      <w:ind/>
    </w:pPr>
    <w:rPr>
      <w:rFonts w:asciiTheme="majorHAnsi" w:hAnsiTheme="majorHAnsi" w:eastAsiaTheme="majorEastAsia" w:cstheme="majorBidi"/>
      <w:color w:val="365f91" w:themeColor="accent1" w:themeShade="BF"/>
      <w:sz w:val="26"/>
      <w:szCs w:val="26"/>
    </w:rPr>
  </w:style>
  <w:style w:type="character" w:styleId="1022" w:customStyle="1">
    <w:name w:val="Heading 3 Char"/>
    <w:basedOn w:val="1017"/>
    <w:link w:val="1015"/>
    <w:pPr>
      <w:pBdr/>
      <w:spacing/>
      <w:ind/>
    </w:pPr>
    <w:rPr>
      <w:rFonts w:ascii="Times New Roman" w:hAnsi="Times New Roman" w:eastAsia="Times New Roman" w:cs="Times New Roman"/>
      <w:sz w:val="28"/>
      <w:szCs w:val="28"/>
    </w:rPr>
  </w:style>
  <w:style w:type="character" w:styleId="1023" w:customStyle="1">
    <w:name w:val="Heading 4 Char"/>
    <w:basedOn w:val="1017"/>
    <w:link w:val="1016"/>
    <w:pPr>
      <w:pBdr/>
      <w:spacing/>
      <w:ind/>
    </w:pPr>
    <w:rPr>
      <w:rFonts w:ascii="Times New Roman" w:hAnsi="Times New Roman" w:eastAsia="Times New Roman" w:cs="Times New Roman"/>
      <w:b/>
      <w:bCs/>
      <w:sz w:val="24"/>
      <w:szCs w:val="24"/>
    </w:rPr>
  </w:style>
  <w:style w:type="character" w:styleId="1024">
    <w:name w:val="Hyperlink"/>
    <w:uiPriority w:val="99"/>
    <w:pPr>
      <w:pBdr/>
      <w:spacing/>
      <w:ind/>
    </w:pPr>
    <w:rPr>
      <w:color w:val="000000"/>
      <w:u w:val="single"/>
    </w:rPr>
  </w:style>
  <w:style w:type="character" w:styleId="1025">
    <w:name w:val="Strong"/>
    <w:uiPriority w:val="22"/>
    <w:qFormat/>
    <w:pPr>
      <w:pBdr/>
      <w:spacing/>
      <w:ind/>
    </w:pPr>
    <w:rPr>
      <w:b/>
      <w:bCs/>
    </w:rPr>
  </w:style>
  <w:style w:type="paragraph" w:styleId="1026">
    <w:name w:val="Balloon Text"/>
    <w:basedOn w:val="1012"/>
    <w:link w:val="1027"/>
    <w:uiPriority w:val="99"/>
    <w:semiHidden/>
    <w:unhideWhenUsed/>
    <w:pPr>
      <w:pBdr/>
      <w:spacing/>
      <w:ind/>
    </w:pPr>
    <w:rPr>
      <w:rFonts w:ascii="Tahoma" w:hAnsi="Tahoma" w:cs="Tahoma"/>
      <w:sz w:val="16"/>
      <w:szCs w:val="16"/>
    </w:rPr>
  </w:style>
  <w:style w:type="character" w:styleId="1027" w:customStyle="1">
    <w:name w:val="Balloon Text Char"/>
    <w:basedOn w:val="1017"/>
    <w:link w:val="1026"/>
    <w:uiPriority w:val="99"/>
    <w:semiHidden/>
    <w:pPr>
      <w:pBdr/>
      <w:spacing/>
      <w:ind/>
    </w:pPr>
    <w:rPr>
      <w:rFonts w:ascii="Tahoma" w:hAnsi="Tahoma" w:eastAsia="Times New Roman" w:cs="Tahoma"/>
      <w:sz w:val="16"/>
      <w:szCs w:val="16"/>
    </w:rPr>
  </w:style>
  <w:style w:type="paragraph" w:styleId="1028">
    <w:name w:val="Header"/>
    <w:basedOn w:val="1012"/>
    <w:link w:val="1029"/>
    <w:unhideWhenUsed/>
    <w:pPr>
      <w:pBdr/>
      <w:tabs>
        <w:tab w:val="center" w:leader="none" w:pos="4680"/>
        <w:tab w:val="right" w:leader="none" w:pos="9360"/>
      </w:tabs>
      <w:spacing/>
      <w:ind/>
    </w:pPr>
  </w:style>
  <w:style w:type="character" w:styleId="1029" w:customStyle="1">
    <w:name w:val="Header Char"/>
    <w:basedOn w:val="1017"/>
    <w:link w:val="1028"/>
    <w:pPr>
      <w:pBdr/>
      <w:spacing/>
      <w:ind/>
    </w:pPr>
    <w:rPr>
      <w:rFonts w:ascii="Times New Roman" w:hAnsi="Times New Roman" w:eastAsia="Times New Roman" w:cs="Times New Roman"/>
      <w:sz w:val="24"/>
      <w:szCs w:val="24"/>
    </w:rPr>
  </w:style>
  <w:style w:type="paragraph" w:styleId="1030">
    <w:name w:val="Footer"/>
    <w:basedOn w:val="1012"/>
    <w:link w:val="1031"/>
    <w:uiPriority w:val="99"/>
    <w:unhideWhenUsed/>
    <w:pPr>
      <w:pBdr/>
      <w:tabs>
        <w:tab w:val="center" w:leader="none" w:pos="4680"/>
        <w:tab w:val="right" w:leader="none" w:pos="9360"/>
      </w:tabs>
      <w:spacing/>
      <w:ind/>
    </w:pPr>
  </w:style>
  <w:style w:type="character" w:styleId="1031" w:customStyle="1">
    <w:name w:val="Footer Char"/>
    <w:basedOn w:val="1017"/>
    <w:link w:val="1030"/>
    <w:uiPriority w:val="99"/>
    <w:pPr>
      <w:pBdr/>
      <w:spacing/>
      <w:ind/>
    </w:pPr>
    <w:rPr>
      <w:rFonts w:ascii="Times New Roman" w:hAnsi="Times New Roman" w:eastAsia="Times New Roman" w:cs="Times New Roman"/>
      <w:sz w:val="24"/>
      <w:szCs w:val="24"/>
    </w:rPr>
  </w:style>
  <w:style w:type="character" w:styleId="1032" w:customStyle="1">
    <w:name w:val="normal-h1"/>
    <w:pPr>
      <w:pBdr/>
      <w:spacing/>
      <w:ind/>
    </w:pPr>
    <w:rPr>
      <w:rFonts w:hint="default" w:ascii=".VnTime" w:hAnsi=".VnTime"/>
      <w:color w:val="0000ff"/>
      <w:sz w:val="24"/>
      <w:szCs w:val="24"/>
    </w:rPr>
  </w:style>
  <w:style w:type="paragraph" w:styleId="1033" w:customStyle="1">
    <w:name w:val="normal-p"/>
    <w:basedOn w:val="1012"/>
    <w:pPr>
      <w:pBdr/>
      <w:spacing/>
      <w:ind/>
      <w:jc w:val="both"/>
    </w:pPr>
    <w:rPr>
      <w:sz w:val="20"/>
      <w:szCs w:val="20"/>
    </w:rPr>
  </w:style>
  <w:style w:type="paragraph" w:styleId="1034">
    <w:name w:val="List Paragraph"/>
    <w:basedOn w:val="1012"/>
    <w:link w:val="1121"/>
    <w:uiPriority w:val="34"/>
    <w:qFormat/>
    <w:pPr>
      <w:pBdr/>
      <w:spacing/>
      <w:ind w:left="720"/>
    </w:pPr>
  </w:style>
  <w:style w:type="paragraph" w:styleId="1035">
    <w:name w:val="Normal (Web)"/>
    <w:basedOn w:val="1012"/>
    <w:uiPriority w:val="99"/>
    <w:pPr>
      <w:pBdr/>
      <w:spacing w:after="100" w:afterAutospacing="1" w:before="100" w:beforeAutospacing="1"/>
      <w:ind/>
    </w:pPr>
  </w:style>
  <w:style w:type="paragraph" w:styleId="1036">
    <w:name w:val="Body Text"/>
    <w:basedOn w:val="1012"/>
    <w:link w:val="1037"/>
    <w:pPr>
      <w:pBdr/>
      <w:spacing w:after="120"/>
      <w:ind/>
      <w:jc w:val="both"/>
    </w:pPr>
  </w:style>
  <w:style w:type="character" w:styleId="1037" w:customStyle="1">
    <w:name w:val="Body Text Char"/>
    <w:basedOn w:val="1017"/>
    <w:link w:val="1036"/>
    <w:pPr>
      <w:pBdr/>
      <w:spacing/>
      <w:ind/>
    </w:pPr>
    <w:rPr>
      <w:rFonts w:ascii="Times New Roman" w:hAnsi="Times New Roman" w:eastAsia="Times New Roman" w:cs="Times New Roman"/>
      <w:sz w:val="24"/>
      <w:szCs w:val="24"/>
    </w:rPr>
  </w:style>
  <w:style w:type="table" w:styleId="1038">
    <w:name w:val="Table Grid"/>
    <w:basedOn w:val="101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0">
    <w:name w:val="annotation reference"/>
    <w:basedOn w:val="1017"/>
    <w:uiPriority w:val="99"/>
    <w:semiHidden/>
    <w:unhideWhenUsed/>
    <w:pPr>
      <w:pBdr/>
      <w:spacing/>
      <w:ind/>
    </w:pPr>
    <w:rPr>
      <w:sz w:val="16"/>
      <w:szCs w:val="16"/>
    </w:rPr>
  </w:style>
  <w:style w:type="paragraph" w:styleId="1041">
    <w:name w:val="annotation text"/>
    <w:basedOn w:val="1012"/>
    <w:link w:val="1042"/>
    <w:uiPriority w:val="99"/>
    <w:unhideWhenUsed/>
    <w:pPr>
      <w:pBdr/>
      <w:spacing/>
      <w:ind/>
    </w:pPr>
    <w:rPr>
      <w:sz w:val="20"/>
      <w:szCs w:val="20"/>
    </w:rPr>
  </w:style>
  <w:style w:type="character" w:styleId="1042" w:customStyle="1">
    <w:name w:val="Comment Text Char"/>
    <w:basedOn w:val="1017"/>
    <w:link w:val="1041"/>
    <w:uiPriority w:val="99"/>
    <w:pPr>
      <w:pBdr/>
      <w:spacing/>
      <w:ind/>
    </w:pPr>
    <w:rPr>
      <w:rFonts w:ascii="Times New Roman" w:hAnsi="Times New Roman" w:eastAsia="Times New Roman" w:cs="Times New Roman"/>
      <w:sz w:val="20"/>
      <w:szCs w:val="20"/>
    </w:rPr>
  </w:style>
  <w:style w:type="paragraph" w:styleId="1043">
    <w:name w:val="annotation subject"/>
    <w:basedOn w:val="1041"/>
    <w:next w:val="1041"/>
    <w:link w:val="1044"/>
    <w:uiPriority w:val="99"/>
    <w:semiHidden/>
    <w:unhideWhenUsed/>
    <w:pPr>
      <w:pBdr/>
      <w:spacing/>
      <w:ind/>
    </w:pPr>
    <w:rPr>
      <w:b/>
      <w:bCs/>
    </w:rPr>
  </w:style>
  <w:style w:type="character" w:styleId="1044" w:customStyle="1">
    <w:name w:val="Comment Subject Char"/>
    <w:basedOn w:val="1042"/>
    <w:link w:val="1043"/>
    <w:uiPriority w:val="99"/>
    <w:semiHidden/>
    <w:pPr>
      <w:pBdr/>
      <w:spacing/>
      <w:ind/>
    </w:pPr>
    <w:rPr>
      <w:rFonts w:ascii="Times New Roman" w:hAnsi="Times New Roman" w:eastAsia="Times New Roman" w:cs="Times New Roman"/>
      <w:b/>
      <w:bCs/>
      <w:sz w:val="20"/>
      <w:szCs w:val="20"/>
    </w:rPr>
  </w:style>
  <w:style w:type="paragraph" w:styleId="1045" w:customStyle="1">
    <w:name w:val="font5"/>
    <w:basedOn w:val="1012"/>
    <w:pPr>
      <w:pBdr/>
      <w:spacing w:after="100" w:afterAutospacing="1" w:before="100" w:beforeAutospacing="1"/>
      <w:ind/>
    </w:pPr>
    <w:rPr>
      <w:rFonts w:ascii="Tahoma" w:hAnsi="Tahoma" w:cs="Tahoma"/>
      <w:color w:val="000000"/>
      <w:sz w:val="18"/>
      <w:szCs w:val="18"/>
    </w:rPr>
  </w:style>
  <w:style w:type="paragraph" w:styleId="1046" w:customStyle="1">
    <w:name w:val="font6"/>
    <w:basedOn w:val="1012"/>
    <w:pPr>
      <w:pBdr/>
      <w:spacing w:after="100" w:afterAutospacing="1" w:before="100" w:beforeAutospacing="1"/>
      <w:ind/>
    </w:pPr>
    <w:rPr>
      <w:rFonts w:ascii="Tahoma" w:hAnsi="Tahoma" w:cs="Tahoma"/>
      <w:b/>
      <w:bCs/>
      <w:color w:val="000000"/>
      <w:sz w:val="18"/>
      <w:szCs w:val="18"/>
    </w:rPr>
  </w:style>
  <w:style w:type="paragraph" w:styleId="1047" w:customStyle="1">
    <w:name w:val="xl233"/>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8" w:customStyle="1">
    <w:name w:val="xl234"/>
    <w:basedOn w:val="1012"/>
    <w:pPr>
      <w:pBdr/>
      <w:spacing w:after="100" w:afterAutospacing="1" w:before="100" w:beforeAutospacing="1"/>
      <w:ind/>
      <w:jc w:val="center"/>
    </w:pPr>
  </w:style>
  <w:style w:type="paragraph" w:styleId="1049" w:customStyle="1">
    <w:name w:val="xl235"/>
    <w:basedOn w:val="1012"/>
    <w:pPr>
      <w:pBdr/>
      <w:spacing w:after="100" w:afterAutospacing="1" w:before="100" w:beforeAutospacing="1"/>
      <w:ind/>
      <w:jc w:val="center"/>
    </w:pPr>
    <w:rPr>
      <w:b/>
      <w:bCs/>
    </w:rPr>
  </w:style>
  <w:style w:type="paragraph" w:styleId="1050" w:customStyle="1">
    <w:name w:val="xl236"/>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1" w:customStyle="1">
    <w:name w:val="xl237"/>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2" w:customStyle="1">
    <w:name w:val="xl238"/>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3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4" w:customStyle="1">
    <w:name w:val="xl240"/>
    <w:basedOn w:val="1012"/>
    <w:pPr>
      <w:pBdr/>
      <w:spacing w:after="100" w:afterAutospacing="1" w:before="100" w:beforeAutospacing="1"/>
      <w:ind/>
    </w:pPr>
  </w:style>
  <w:style w:type="paragraph" w:styleId="1055" w:customStyle="1">
    <w:name w:val="xl241"/>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6" w:customStyle="1">
    <w:name w:val="xl242"/>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3"/>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44"/>
    <w:basedOn w:val="1012"/>
    <w:pPr>
      <w:pBdr/>
      <w:spacing w:after="100" w:afterAutospacing="1" w:before="100" w:beforeAutospacing="1"/>
      <w:ind/>
    </w:pPr>
    <w:rPr>
      <w:b/>
      <w:bCs/>
    </w:rPr>
  </w:style>
  <w:style w:type="paragraph" w:styleId="1059" w:customStyle="1">
    <w:name w:val="xl245"/>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6"/>
    <w:basedOn w:val="101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47"/>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2" w:customStyle="1">
    <w:name w:val="xl248"/>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3" w:customStyle="1">
    <w:name w:val="xl24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4" w:customStyle="1">
    <w:name w:val="xl250"/>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5" w:customStyle="1">
    <w:name w:val="xl251"/>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2"/>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3"/>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4"/>
    <w:basedOn w:val="101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5"/>
    <w:basedOn w:val="101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6"/>
    <w:basedOn w:val="101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7"/>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8"/>
    <w:basedOn w:val="101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0"/>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1"/>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2"/>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63"/>
    <w:basedOn w:val="1012"/>
    <w:pPr>
      <w:pBdr/>
      <w:shd w:val="clear" w:color="000000" w:fill="ffffff"/>
      <w:spacing w:after="100" w:afterAutospacing="1" w:before="100" w:beforeAutospacing="1"/>
      <w:ind/>
    </w:pPr>
  </w:style>
  <w:style w:type="paragraph" w:styleId="1078" w:customStyle="1">
    <w:name w:val="xl264"/>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5"/>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0" w:customStyle="1">
    <w:name w:val="xl266"/>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1" w:customStyle="1">
    <w:name w:val="xl267"/>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2" w:customStyle="1">
    <w:name w:val="xl268"/>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69"/>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70"/>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5" w:customStyle="1">
    <w:name w:val="xl271"/>
    <w:basedOn w:val="101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6" w:customStyle="1">
    <w:name w:val="xl272"/>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73"/>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8" w:customStyle="1">
    <w:name w:val="xl274"/>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9" w:customStyle="1">
    <w:name w:val="xl275"/>
    <w:basedOn w:val="1012"/>
    <w:pPr>
      <w:pBdr/>
      <w:spacing w:after="100" w:afterAutospacing="1" w:before="100" w:beforeAutospacing="1"/>
      <w:ind/>
    </w:pPr>
  </w:style>
  <w:style w:type="paragraph" w:styleId="1090" w:customStyle="1">
    <w:name w:val="xl276"/>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1" w:customStyle="1">
    <w:name w:val="xl277"/>
    <w:basedOn w:val="101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2" w:customStyle="1">
    <w:name w:val="xl278"/>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7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0"/>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5" w:customStyle="1">
    <w:name w:val="xl281"/>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6" w:customStyle="1">
    <w:name w:val="xl282"/>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3"/>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4"/>
    <w:basedOn w:val="1012"/>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5"/>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6"/>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customStyle="1">
    <w:name w:val="xl287"/>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8"/>
    <w:basedOn w:val="1012"/>
    <w:pPr>
      <w:pBdr>
        <w:top w:val="single" w:color="000000" w:sz="4" w:space="0"/>
        <w:left w:val="single" w:color="000000" w:sz="4" w:space="0"/>
        <w:right w:val="single" w:color="000000" w:sz="4" w:space="0"/>
      </w:pBdr>
      <w:spacing w:after="100" w:afterAutospacing="1" w:before="100" w:beforeAutospacing="1"/>
      <w:ind/>
    </w:pPr>
  </w:style>
  <w:style w:type="paragraph" w:styleId="1103" w:customStyle="1">
    <w:name w:val="xl289"/>
    <w:basedOn w:val="1012"/>
    <w:pPr>
      <w:pBdr>
        <w:left w:val="single" w:color="000000" w:sz="4" w:space="0"/>
        <w:right w:val="single" w:color="000000" w:sz="4" w:space="0"/>
      </w:pBdr>
      <w:spacing w:after="100" w:afterAutospacing="1" w:before="100" w:beforeAutospacing="1"/>
      <w:ind/>
    </w:pPr>
    <w:rPr>
      <w:b/>
      <w:bCs/>
    </w:rPr>
  </w:style>
  <w:style w:type="paragraph" w:styleId="1104" w:customStyle="1">
    <w:name w:val="xl290"/>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5" w:customStyle="1">
    <w:name w:val="xl291"/>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6" w:customStyle="1">
    <w:name w:val="xl292"/>
    <w:basedOn w:val="1012"/>
    <w:pPr>
      <w:pBdr>
        <w:top w:val="single" w:color="000000" w:sz="4" w:space="0"/>
        <w:left w:val="single" w:color="000000" w:sz="4" w:space="0"/>
        <w:right w:val="single" w:color="000000" w:sz="4" w:space="0"/>
      </w:pBdr>
      <w:spacing w:after="100" w:afterAutospacing="1" w:before="100" w:beforeAutospacing="1"/>
      <w:ind/>
    </w:pPr>
  </w:style>
  <w:style w:type="paragraph" w:styleId="1107" w:customStyle="1">
    <w:name w:val="xl293"/>
    <w:basedOn w:val="1012"/>
    <w:pPr>
      <w:pBdr>
        <w:left w:val="single" w:color="000000" w:sz="4" w:space="0"/>
        <w:bottom w:val="single" w:color="000000" w:sz="4" w:space="0"/>
        <w:right w:val="single" w:color="000000" w:sz="4" w:space="0"/>
      </w:pBdr>
      <w:spacing w:after="100" w:afterAutospacing="1" w:before="100" w:beforeAutospacing="1"/>
      <w:ind/>
    </w:pPr>
  </w:style>
  <w:style w:type="paragraph" w:styleId="1108" w:customStyle="1">
    <w:name w:val="xl294"/>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9">
    <w:name w:val="Title"/>
    <w:basedOn w:val="1012"/>
    <w:link w:val="1110"/>
    <w:qFormat/>
    <w:pPr>
      <w:pBdr/>
      <w:spacing/>
      <w:ind/>
      <w:jc w:val="center"/>
    </w:pPr>
    <w:rPr>
      <w:b/>
      <w:bCs/>
      <w:sz w:val="32"/>
      <w:szCs w:val="26"/>
    </w:rPr>
  </w:style>
  <w:style w:type="character" w:styleId="1110" w:customStyle="1">
    <w:name w:val="Title Char"/>
    <w:basedOn w:val="1017"/>
    <w:link w:val="1109"/>
    <w:pPr>
      <w:pBdr/>
      <w:spacing/>
      <w:ind/>
    </w:pPr>
    <w:rPr>
      <w:rFonts w:ascii="Times New Roman" w:hAnsi="Times New Roman" w:eastAsia="Times New Roman" w:cs="Times New Roman"/>
      <w:b/>
      <w:bCs/>
      <w:sz w:val="32"/>
      <w:szCs w:val="26"/>
    </w:rPr>
  </w:style>
  <w:style w:type="character" w:styleId="1111" w:customStyle="1">
    <w:name w:val="Unresolved Mention1"/>
    <w:basedOn w:val="1017"/>
    <w:uiPriority w:val="99"/>
    <w:semiHidden/>
    <w:unhideWhenUsed/>
    <w:pPr>
      <w:pBdr/>
      <w:spacing/>
      <w:ind/>
    </w:pPr>
    <w:rPr>
      <w:color w:val="605e5c"/>
      <w:shd w:val="clear" w:color="auto" w:fill="e1dfdd"/>
    </w:rPr>
  </w:style>
  <w:style w:type="character" w:styleId="1112" w:customStyle="1">
    <w:name w:val="Body text (3)_"/>
    <w:link w:val="1113"/>
    <w:pPr>
      <w:pBdr/>
      <w:spacing/>
      <w:ind/>
    </w:pPr>
    <w:rPr>
      <w:rFonts w:ascii="Times New Roman" w:hAnsi="Times New Roman" w:cs="Times New Roman"/>
      <w:i/>
      <w:iCs/>
      <w:spacing w:val="4"/>
      <w:shd w:val="clear" w:color="auto" w:fill="ffffff"/>
    </w:rPr>
  </w:style>
  <w:style w:type="paragraph" w:styleId="1113" w:customStyle="1">
    <w:name w:val="Body text (3)1"/>
    <w:basedOn w:val="1012"/>
    <w:link w:val="111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4" w:customStyle="1">
    <w:name w:val="t-j"/>
    <w:basedOn w:val="1012"/>
    <w:pPr>
      <w:pBdr/>
      <w:spacing w:after="100" w:afterAutospacing="1" w:before="100" w:beforeAutospacing="1"/>
      <w:ind/>
    </w:pPr>
  </w:style>
  <w:style w:type="character" w:styleId="1115" w:customStyle="1">
    <w:name w:val="Unresolved Mention2"/>
    <w:basedOn w:val="1017"/>
    <w:uiPriority w:val="99"/>
    <w:semiHidden/>
    <w:unhideWhenUsed/>
    <w:pPr>
      <w:pBdr/>
      <w:spacing/>
      <w:ind/>
    </w:pPr>
    <w:rPr>
      <w:color w:val="605e5c"/>
      <w:shd w:val="clear" w:color="auto" w:fill="e1dfdd"/>
    </w:rPr>
  </w:style>
  <w:style w:type="character" w:styleId="1116">
    <w:name w:val="FollowedHyperlink"/>
    <w:basedOn w:val="1017"/>
    <w:uiPriority w:val="99"/>
    <w:semiHidden/>
    <w:unhideWhenUsed/>
    <w:pPr>
      <w:pBdr/>
      <w:spacing/>
      <w:ind/>
    </w:pPr>
    <w:rPr>
      <w:color w:val="800080" w:themeColor="followedHyperlink"/>
      <w:u w:val="single"/>
    </w:rPr>
  </w:style>
  <w:style w:type="character" w:styleId="1117" w:customStyle="1">
    <w:name w:val="text"/>
    <w:basedOn w:val="1017"/>
    <w:pPr>
      <w:pBdr/>
      <w:spacing/>
      <w:ind/>
    </w:pPr>
  </w:style>
  <w:style w:type="character" w:styleId="1118" w:customStyle="1">
    <w:name w:val="card-send-time__sendtime"/>
    <w:basedOn w:val="1017"/>
    <w:pPr>
      <w:pBdr/>
      <w:spacing/>
      <w:ind/>
    </w:pPr>
  </w:style>
  <w:style w:type="character" w:styleId="1119" w:customStyle="1">
    <w:name w:val="Đề cập Chưa giải quyết1"/>
    <w:basedOn w:val="1017"/>
    <w:uiPriority w:val="99"/>
    <w:semiHidden/>
    <w:unhideWhenUsed/>
    <w:pPr>
      <w:pBdr/>
      <w:spacing/>
      <w:ind/>
    </w:pPr>
    <w:rPr>
      <w:color w:val="605e5c"/>
      <w:shd w:val="clear" w:color="auto" w:fill="e1dfdd"/>
    </w:rPr>
  </w:style>
  <w:style w:type="paragraph" w:styleId="1120" w:customStyle="1">
    <w:name w:val="nqtitle"/>
    <w:basedOn w:val="1012"/>
    <w:pPr>
      <w:pBdr/>
      <w:spacing w:after="100" w:afterAutospacing="1" w:before="100" w:beforeAutospacing="1"/>
      <w:ind/>
    </w:pPr>
    <w:rPr>
      <w:lang w:val="vi-VN" w:eastAsia="vi-VN"/>
    </w:rPr>
  </w:style>
  <w:style w:type="character" w:styleId="1121" w:customStyle="1">
    <w:name w:val="List Paragraph Char"/>
    <w:link w:val="1034"/>
    <w:uiPriority w:val="34"/>
    <w:qFormat/>
    <w:pPr>
      <w:pBdr/>
      <w:spacing/>
      <w:ind/>
    </w:pPr>
    <w:rPr>
      <w:rFonts w:ascii="Times New Roman" w:hAnsi="Times New Roman" w:eastAsia="Times New Roman" w:cs="Times New Roman"/>
      <w:sz w:val="24"/>
      <w:szCs w:val="24"/>
    </w:rPr>
  </w:style>
  <w:style w:type="character" w:styleId="1122" w:customStyle="1">
    <w:name w:val="Đề cập Chưa giải quyết2"/>
    <w:basedOn w:val="1017"/>
    <w:uiPriority w:val="99"/>
    <w:semiHidden/>
    <w:unhideWhenUsed/>
    <w:pPr>
      <w:pBdr/>
      <w:spacing/>
      <w:ind/>
    </w:pPr>
    <w:rPr>
      <w:color w:val="605e5c"/>
      <w:shd w:val="clear" w:color="auto" w:fill="e1dfdd"/>
    </w:rPr>
  </w:style>
  <w:style w:type="character" w:styleId="1123" w:customStyle="1">
    <w:name w:val="Unresolved Mention3"/>
    <w:basedOn w:val="1017"/>
    <w:uiPriority w:val="99"/>
    <w:semiHidden/>
    <w:unhideWhenUsed/>
    <w:pPr>
      <w:pBdr/>
      <w:spacing/>
      <w:ind/>
    </w:pPr>
    <w:rPr>
      <w:color w:val="605e5c"/>
      <w:shd w:val="clear" w:color="auto" w:fill="e1dfdd"/>
    </w:rPr>
  </w:style>
  <w:style w:type="character" w:styleId="1124" w:customStyle="1">
    <w:name w:val="copy"/>
    <w:basedOn w:val="1017"/>
    <w:pPr>
      <w:pBdr/>
      <w:spacing/>
      <w:ind/>
    </w:pPr>
  </w:style>
  <w:style w:type="paragraph" w:styleId="1125" w:customStyle="1">
    <w:name w:val="align-justify"/>
    <w:basedOn w:val="1012"/>
    <w:pPr>
      <w:pBdr/>
      <w:spacing w:after="100" w:afterAutospacing="1" w:before="100" w:beforeAutospacing="1"/>
      <w:ind/>
    </w:pPr>
  </w:style>
  <w:style w:type="character" w:styleId="1126" w:customStyle="1">
    <w:name w:val="btn"/>
    <w:basedOn w:val="1017"/>
    <w:pPr>
      <w:pBdr/>
      <w:spacing/>
      <w:ind/>
    </w:pPr>
  </w:style>
  <w:style w:type="character" w:styleId="1127" w:customStyle="1">
    <w:name w:val="hide_mobile"/>
    <w:basedOn w:val="1017"/>
    <w:pPr>
      <w:pBdr/>
      <w:spacing/>
      <w:ind/>
    </w:pPr>
  </w:style>
  <w:style w:type="character" w:styleId="1128">
    <w:name w:val="Emphasis"/>
    <w:basedOn w:val="1017"/>
    <w:uiPriority w:val="20"/>
    <w:qFormat/>
    <w:pPr>
      <w:pBdr/>
      <w:spacing/>
      <w:ind/>
    </w:pPr>
    <w:rPr>
      <w:i/>
      <w:iCs/>
    </w:rPr>
  </w:style>
  <w:style w:type="character" w:styleId="1129" w:customStyle="1">
    <w:name w:val="t1"/>
    <w:basedOn w:val="1017"/>
    <w:pPr>
      <w:pBdr/>
      <w:spacing/>
      <w:ind/>
    </w:pPr>
  </w:style>
  <w:style w:type="character" w:styleId="1130" w:customStyle="1">
    <w:name w:val="Unresolved Mention4"/>
    <w:basedOn w:val="1017"/>
    <w:uiPriority w:val="99"/>
    <w:semiHidden/>
    <w:unhideWhenUsed/>
    <w:pPr>
      <w:pBdr/>
      <w:spacing/>
      <w:ind/>
    </w:pPr>
    <w:rPr>
      <w:color w:val="605e5c"/>
      <w:shd w:val="clear" w:color="auto" w:fill="e1dfdd"/>
    </w:rPr>
  </w:style>
  <w:style w:type="character" w:styleId="1131">
    <w:name w:val="Unresolved Mention"/>
    <w:basedOn w:val="101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jp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511</cp:revision>
  <dcterms:created xsi:type="dcterms:W3CDTF">2025-09-15T02:01:00Z</dcterms:created>
  <dcterms:modified xsi:type="dcterms:W3CDTF">2026-06-13T04:35:03Z</dcterms:modified>
</cp:coreProperties>
</file>