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846105"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46104"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275/2026/0889/VFI-CT.17.A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ĐỖ VĂN QUÝ</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và tài sản gắn liền với đất tại địa chỉ: Số 44 phố Bảo Linh, phường Phúc Tân, quận Hoàn Kiếm, thành phố Hà Nội (nay là phường Hồng Hà, thành phố Hà Nội) theo </w:t>
                            </w:r>
                            <w:r>
                              <w:rPr>
                                <w:color w:val="000000" w:themeColor="text1"/>
                              </w:rPr>
                              <w:t xml:space="preserve">Giấy chứng nhận quyền sử dụ</w:t>
                            </w:r>
                            <w:r>
                              <w:rPr>
                                <w:color w:val="000000"/>
                              </w:rPr>
                              <w:t xml:space="preserve">ng đất, Quyền sở hữu nhà ở và tài sản khác gắn liền với đất số: CS 900223, số vào sổ cấp GCN: CS – HK 02411 do Sở Tài nguyên và Môi trường thành phố Hà Nội cấp ngày 01/10/2019; Chủ sử dụng đất là ông Đỗ Văn Quý và bà Lưu Thị Làn.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60.32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275/2026/0889/VFI-CT.17.A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ĐỖ VĂN QUÝ</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và tài sản gắn liền với đất tại địa chỉ: Số 44 phố Bảo Linh, phường Phúc Tân, quận Hoàn Kiếm, thành phố Hà Nội (nay là phường Hồng Hà, thành phố Hà Nội) theo </w:t>
                      </w:r>
                      <w:r>
                        <w:rPr>
                          <w:color w:val="000000" w:themeColor="text1"/>
                        </w:rPr>
                        <w:t xml:space="preserve">Giấy chứng nhận quyền sử dụ</w:t>
                      </w:r>
                      <w:r>
                        <w:rPr>
                          <w:color w:val="000000"/>
                        </w:rPr>
                        <w:t xml:space="preserve">ng đất, Quyền sở hữu nhà ở và tài sản khác gắn liền với đất số: CS 900223, số vào sổ cấp GCN: CS – HK 02411 do Sở Tài nguyên và Môi trường thành phố Hà Nội cấp ngày 01/10/2019; Chủ sử dụng đất là ông Đỗ Văn Quý và bà Lưu Thị Làn.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42"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1701" w:type="dxa"/>
            <w:textDirection w:val="lrTb"/>
            <w:noWrap w:val="false"/>
          </w:tcPr>
          <w:p>
            <w:pPr>
              <w:pBdr/>
              <w:spacing w:line="360" w:lineRule="auto"/>
              <w:ind w:hanging="108"/>
              <w:jc w:val="center"/>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5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07"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275/2026/0889/VFI-CT.17.A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18"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12 tháng 06 năm 2026</w:t>
            </w:r>
            <w:r>
              <w:rPr>
                <w:color w:val="000000" w:themeColor="text1"/>
                <w:sz w:val="24"/>
                <w:szCs w:val="24"/>
                <w:lang w:val="vi-VN"/>
              </w:rPr>
            </w:r>
            <w:r>
              <w:rPr>
                <w:color w:val="000000" w:themeColor="text1"/>
                <w:sz w:val="24"/>
                <w:szCs w:val="24"/>
                <w:lang w:val="vi-VN"/>
              </w:rPr>
            </w:r>
          </w:p>
        </w:tc>
      </w:tr>
    </w:tbl>
    <w:p>
      <w:pPr>
        <w:pStyle w:val="1042"/>
        <w:pBdr/>
        <w:spacing w:after="120" w:before="200" w:line="288" w:lineRule="auto"/>
        <w:ind/>
        <w:jc w:val="center"/>
        <w:rPr>
          <w:rStyle w:val="1041"/>
          <w:rFonts w:ascii="Times New Roman" w:hAnsi="Times New Roman"/>
          <w:b/>
          <w:bCs/>
          <w:color w:val="auto"/>
          <w:sz w:val="30"/>
          <w:szCs w:val="30"/>
          <w:lang w:val="vi-VN"/>
        </w:rPr>
      </w:pP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ĐỖ VĂN QUÝ</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275/2026/0889/VFI-HĐTĐ.17.A</w:t>
      </w:r>
      <w:r>
        <w:rPr>
          <w:spacing w:val="-4"/>
          <w:lang w:val="vi-VN"/>
        </w:rPr>
        <w:t xml:space="preserve"> ký ngày 0</w:t>
      </w:r>
      <w:r>
        <w:rPr>
          <w:color w:val="000000" w:themeColor="text1"/>
          <w:spacing w:val="-4"/>
        </w:rPr>
        <w:t xml:space="preserve">8 tháng 06 năm 2026</w:t>
      </w:r>
      <w:r>
        <w:rPr>
          <w:spacing w:val="-4"/>
          <w:lang w:val="vi-VN"/>
        </w:rPr>
        <w:t xml:space="preserve"> </w:t>
      </w:r>
      <w:r>
        <w:rPr>
          <w:spacing w:val="-4"/>
          <w:lang w:val="vi-VN"/>
        </w:rPr>
        <w:t xml:space="preserve">giữa </w:t>
      </w:r>
      <w:r>
        <w:rPr>
          <w:bCs/>
        </w:rPr>
        <w:t xml:space="preserve">ông Đỗ Văn Quý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275/2026/0889/VFI-BC.17.A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06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9" w:type="pct"/>
        <w:tblBorders/>
        <w:tblLayout w:type="fixed"/>
        <w:tblLook w:val="04A0" w:firstRow="1" w:lastRow="0" w:firstColumn="1" w:lastColumn="0" w:noHBand="0" w:noVBand="1"/>
      </w:tblPr>
      <w:tblGrid>
        <w:gridCol w:w="1818"/>
        <w:gridCol w:w="491"/>
        <w:gridCol w:w="7609"/>
      </w:tblGrid>
      <w:tr>
        <w:trPr>
          <w:trHeight w:val="20"/>
        </w:trPr>
        <w:tc>
          <w:tcPr>
            <w:shd w:val="clear" w:color="auto" w:fill="auto"/>
            <w:tcBorders/>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b/>
                <w:color w:val="000000"/>
                <w:sz w:val="24"/>
              </w:rPr>
              <w:t xml:space="preserve">ÔNG ĐỖ VĂN QUÝ</w:t>
            </w:r>
            <w:r/>
          </w:p>
        </w:tc>
      </w:tr>
      <w:tr>
        <w:trPr>
          <w:trHeight w:val="20"/>
        </w:trPr>
        <w:tc>
          <w:tcPr>
            <w:shd w:val="clear" w:color="auto" w:fill="auto"/>
            <w:tcBorders/>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033079006573</w:t>
            </w:r>
            <w:r/>
          </w:p>
        </w:tc>
      </w:tr>
      <w:tr>
        <w:trPr>
          <w:trHeight w:val="20"/>
        </w:trPr>
        <w:tc>
          <w:tcPr>
            <w:shd w:val="clear" w:color="auto" w:fill="auto"/>
            <w:tcBorders/>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1979</w:t>
            </w:r>
            <w:r/>
          </w:p>
        </w:tc>
      </w:tr>
      <w:tr>
        <w:trPr>
          <w:trHeight w:val="20"/>
        </w:trPr>
        <w:tc>
          <w:tcPr>
            <w:shd w:val="clear" w:color="auto" w:fill="auto"/>
            <w:tcBorders/>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4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Mai Xuyên, xã Ân Thi, tỉnh Hưng Yên, Việt Nam</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918" w:type="dxa"/>
        <w:tblBorders/>
        <w:tblLayout w:type="fixed"/>
        <w:tblLook w:val="04A0" w:firstRow="1" w:lastRow="0" w:firstColumn="1" w:lastColumn="0" w:noHBand="0" w:noVBand="1"/>
      </w:tblPr>
      <w:tblGrid>
        <w:gridCol w:w="1998"/>
        <w:gridCol w:w="289"/>
        <w:gridCol w:w="763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3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31"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31" w:type="dxa"/>
            <w:vAlign w:val="center"/>
            <w:textDirection w:val="lrTb"/>
            <w:noWrap w:val="false"/>
          </w:tcPr>
          <w:p>
            <w:pPr>
              <w:pBdr/>
              <w:spacing w:after="40" w:before="40" w:line="276" w:lineRule="auto"/>
              <w:ind/>
              <w:jc w:val="both"/>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và tài sản gắn liền với đất tại địa chỉ: Số 44 phố Bảo Linh, phường Phúc Tân, quận Hoàn Kiếm, thành phố Hà Nội (nay là phường Hồng Hà, thành phố Hà Nội) theo </w:t>
      </w:r>
      <w:r>
        <w:rPr>
          <w:color w:val="000000"/>
        </w:rPr>
        <w:t xml:space="preserve">Giấy chứng nhận quyền sử dụng đất, Quyền sở hữu nhà ở và tài sản khác gắn liền với đất số: CS 900223, số vào sổ cấp GCN: CS – HK 02411 do Sở Tài nguyên và Môi trường thành phố Hà Nội cấp ngày 01/10/2019; Chủ sử dụng đất là ông Đỗ Văn Quý và bà Lưu Thị Làn</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rPr>
      </w:r>
      <w:r>
        <w:rPr>
          <w:highlight w:val="none"/>
        </w:rPr>
      </w:r>
    </w:p>
    <w:tbl>
      <w:tblPr>
        <w:tblW w:w="496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9"/>
        <w:gridCol w:w="2509"/>
        <w:gridCol w:w="1530"/>
        <w:gridCol w:w="1797"/>
        <w:gridCol w:w="1456"/>
        <w:gridCol w:w="1797"/>
      </w:tblGrid>
      <w:tr>
        <w:trPr>
          <w:trHeight w:val="20"/>
        </w:trPr>
        <w:tc>
          <w:tcPr>
            <w:shd w:val="clear" w:color="000000" w:fill="ffffff"/>
            <w:tcBorders/>
            <w:tcW w:w="74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3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p>
            <w:pPr>
              <w:pBdr/>
              <w:spacing/>
              <w:ind/>
              <w:jc w:val="center"/>
              <w:rPr/>
            </w:pPr>
            <w:r/>
            <w:r/>
          </w:p>
        </w:tc>
        <w:tc>
          <w:tcPr>
            <w:shd w:val="clear" w:color="000000" w:fill="ffffff"/>
            <w:tcBorders/>
            <w:tcW w:w="1548"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1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473" w:type="dxa"/>
            <w:vAlign w:val="center"/>
            <w:textDirection w:val="lrTb"/>
            <w:noWrap w:val="false"/>
          </w:tcPr>
          <w:p>
            <w:pPr>
              <w:pBdr/>
              <w:spacing/>
              <w:ind/>
              <w:jc w:val="center"/>
              <w:rPr>
                <w:b/>
                <w:bCs/>
              </w:rPr>
            </w:pPr>
            <w:r>
              <w:rPr>
                <w:b/>
                <w:bCs/>
              </w:rPr>
              <w:t xml:space="preserve">Tỷ lệ CLCL (%)</w:t>
            </w:r>
            <w:r>
              <w:rPr>
                <w:b/>
                <w:bCs/>
              </w:rPr>
            </w:r>
            <w:r>
              <w:rPr>
                <w:b/>
                <w:bCs/>
              </w:rPr>
            </w:r>
          </w:p>
        </w:tc>
        <w:tc>
          <w:tcPr>
            <w:shd w:val="clear" w:color="000000" w:fill="ffffff"/>
            <w:tcBorders/>
            <w:tcW w:w="181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4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302"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và tài sản gắn liền với đất tại địa chỉ: Số 44 phố Bảo Linh, phường Phúc Tân, quận Hoàn Kiếm, thành phố Hà Nội (nay là phường Hồng Hà, thành phố Hà Nội) theo </w:t>
            </w:r>
            <w:r>
              <w:rPr>
                <w:b/>
                <w:bCs/>
                <w:color w:val="000000"/>
              </w:rPr>
              <w:t xml:space="preserve">Giấy chứng nhận quyền sử dụng đất, Quyền sở hữu nhà ở và tài sản khác gắn liền với đất số: CS 900223, số vào sổ cấp GCN: CS – HK 02411 do Sở Tài nguyên và Môi trường thành phố Hà Nội cấp ngày 01/10/2019; Chủ sử dụng đất là ông Đỗ Văn Quý và bà Lưu Thị Làn</w:t>
            </w:r>
            <w:r>
              <w:rPr>
                <w:b/>
                <w:bCs/>
              </w:rPr>
              <w:t xml:space="preserve">.</w:t>
            </w:r>
            <w:r>
              <w:rPr>
                <w:b/>
                <w:bCs/>
              </w:rPr>
            </w:r>
            <w:r>
              <w:rPr>
                <w:b/>
                <w:bCs/>
              </w:rPr>
            </w:r>
          </w:p>
        </w:tc>
        <w:tc>
          <w:tcPr>
            <w:shd w:val="clear" w:color="000000" w:fill="ffffff"/>
            <w:tcBorders/>
            <w:tcW w:w="181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49"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3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548" w:type="dxa"/>
            <w:vAlign w:val="center"/>
            <w:textDirection w:val="lrTb"/>
            <w:noWrap/>
          </w:tcPr>
          <w:p>
            <w:pPr>
              <w:pBdr/>
              <w:spacing w:after="40" w:before="40" w:line="288" w:lineRule="auto"/>
              <w:ind/>
              <w:jc w:val="center"/>
              <w:rPr>
                <w:color w:val="000000"/>
              </w:rPr>
            </w:pPr>
            <w:r>
              <w:rPr>
                <w:color w:val="000000" w:themeColor="text1"/>
              </w:rPr>
              <w:t xml:space="preserve">43,3</w:t>
            </w:r>
            <w:r>
              <w:rPr>
                <w:color w:val="000000"/>
              </w:rPr>
            </w:r>
            <w:r>
              <w:rPr>
                <w:color w:val="000000"/>
              </w:rPr>
            </w:r>
          </w:p>
        </w:tc>
        <w:tc>
          <w:tcPr>
            <w:shd w:val="clear" w:color="000000" w:fill="ffffff"/>
            <w:tcBorders/>
            <w:tcW w:w="1818" w:type="dxa"/>
            <w:vAlign w:val="center"/>
            <w:textDirection w:val="lrTb"/>
            <w:noWrap w:val="false"/>
          </w:tcPr>
          <w:p>
            <w:pPr>
              <w:pBdr/>
              <w:spacing w:after="40" w:before="40" w:line="288" w:lineRule="auto"/>
              <w:ind/>
              <w:jc w:val="center"/>
              <w:rPr/>
            </w:pPr>
            <w:r>
              <w:rPr>
                <w:color w:val="000000" w:themeColor="text1"/>
              </w:rPr>
              <w:t xml:space="preserve">135.000.000</w:t>
            </w:r>
            <w:r/>
          </w:p>
        </w:tc>
        <w:tc>
          <w:tcPr>
            <w:shd w:val="clear" w:color="000000" w:fill="ffffff"/>
            <w:tcBorders/>
            <w:tcW w:w="1473"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818" w:type="dxa"/>
            <w:vAlign w:val="center"/>
            <w:textDirection w:val="lrTb"/>
            <w:noWrap w:val="false"/>
          </w:tcPr>
          <w:p>
            <w:pPr>
              <w:pBdr/>
              <w:spacing w:after="40" w:before="40" w:line="288" w:lineRule="auto"/>
              <w:ind/>
              <w:jc w:val="right"/>
              <w:rPr/>
            </w:pPr>
            <w:r>
              <w:rPr>
                <w:color w:val="000000" w:themeColor="text1"/>
              </w:rPr>
              <w:t xml:space="preserve">5.845.500.000</w:t>
            </w:r>
            <w:r/>
          </w:p>
        </w:tc>
      </w:tr>
      <w:tr>
        <w:trPr>
          <w:trHeight w:val="20"/>
        </w:trPr>
        <w:tc>
          <w:tcPr>
            <w:shd w:val="clear" w:color="000000" w:fill="ffffff"/>
            <w:tcBorders/>
            <w:tcW w:w="749"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538" w:type="dxa"/>
            <w:vAlign w:val="center"/>
            <w:textDirection w:val="lrTb"/>
            <w:noWrap w:val="false"/>
          </w:tcPr>
          <w:p>
            <w:pPr>
              <w:pBdr/>
              <w:spacing w:after="40" w:before="40" w:line="288" w:lineRule="auto"/>
              <w:ind/>
              <w:rPr>
                <w:b w:val="0"/>
                <w:bCs w:val="0"/>
              </w:rPr>
            </w:pPr>
            <w:r>
              <w:rPr>
                <w:b w:val="0"/>
                <w:bCs w:val="0"/>
              </w:rPr>
              <w:t xml:space="preserve">Nhà 2 tầng cũ</w:t>
            </w:r>
            <w:r>
              <w:rPr>
                <w:b w:val="0"/>
                <w:bCs w:val="0"/>
              </w:rPr>
            </w:r>
            <w:r>
              <w:rPr>
                <w:b w:val="0"/>
                <w:bCs w:val="0"/>
              </w:rPr>
            </w:r>
          </w:p>
        </w:tc>
        <w:tc>
          <w:tcPr>
            <w:tcBorders/>
            <w:tcW w:w="1548" w:type="dxa"/>
            <w:vAlign w:val="center"/>
            <w:textDirection w:val="lrTb"/>
            <w:noWrap/>
          </w:tcPr>
          <w:p>
            <w:pPr>
              <w:pBdr/>
              <w:spacing w:after="40" w:before="40" w:line="288" w:lineRule="auto"/>
              <w:ind/>
              <w:jc w:val="center"/>
              <w:rPr>
                <w:color w:val="000000"/>
              </w:rPr>
            </w:pPr>
            <w:r>
              <w:rPr>
                <w:color w:val="000000" w:themeColor="text1"/>
              </w:rPr>
              <w:t xml:space="preserve">62</w:t>
            </w:r>
            <w:r>
              <w:rPr>
                <w:color w:val="000000"/>
              </w:rPr>
            </w:r>
            <w:r>
              <w:rPr>
                <w:color w:val="000000"/>
              </w:rPr>
            </w:r>
          </w:p>
        </w:tc>
        <w:tc>
          <w:tcPr>
            <w:shd w:val="clear" w:color="000000" w:fill="ffffff"/>
            <w:tcBorders/>
            <w:tcW w:w="1818" w:type="dxa"/>
            <w:vAlign w:val="center"/>
            <w:textDirection w:val="lrTb"/>
            <w:noWrap w:val="false"/>
          </w:tcPr>
          <w:p>
            <w:pPr>
              <w:pBdr/>
              <w:spacing w:after="40" w:before="40" w:line="288" w:lineRule="auto"/>
              <w:ind/>
              <w:jc w:val="center"/>
              <w:rPr/>
            </w:pPr>
            <w:r>
              <w:rPr>
                <w:color w:val="000000" w:themeColor="text1"/>
              </w:rPr>
              <w:t xml:space="preserve">7.249.913</w:t>
            </w:r>
            <w:r/>
          </w:p>
        </w:tc>
        <w:tc>
          <w:tcPr>
            <w:shd w:val="clear" w:color="000000" w:fill="ffffff"/>
            <w:tcBorders/>
            <w:tcW w:w="1473" w:type="dxa"/>
            <w:vAlign w:val="center"/>
            <w:textDirection w:val="lrTb"/>
            <w:noWrap w:val="false"/>
          </w:tcPr>
          <w:p>
            <w:pPr>
              <w:pBdr/>
              <w:spacing/>
              <w:ind/>
              <w:jc w:val="center"/>
              <w:rPr>
                <w:color w:val="000000" w:themeColor="text1"/>
              </w:rPr>
            </w:pPr>
            <w:r>
              <w:rPr>
                <w:color w:val="000000" w:themeColor="text1"/>
              </w:rPr>
              <w:t xml:space="preserve">60%</w:t>
            </w:r>
            <w:r>
              <w:rPr>
                <w:color w:val="000000" w:themeColor="text1"/>
              </w:rPr>
            </w:r>
            <w:r>
              <w:rPr>
                <w:color w:val="000000" w:themeColor="text1"/>
              </w:rPr>
            </w:r>
          </w:p>
        </w:tc>
        <w:tc>
          <w:tcPr>
            <w:shd w:val="clear" w:color="000000" w:fill="ffffff"/>
            <w:tcBorders/>
            <w:tcW w:w="1818" w:type="dxa"/>
            <w:vAlign w:val="center"/>
            <w:textDirection w:val="lrTb"/>
            <w:noWrap w:val="false"/>
          </w:tcPr>
          <w:p>
            <w:pPr>
              <w:pBdr/>
              <w:spacing w:after="40" w:before="40" w:line="288" w:lineRule="auto"/>
              <w:ind/>
              <w:jc w:val="right"/>
              <w:rPr/>
            </w:pPr>
            <w:r>
              <w:rPr>
                <w:color w:val="000000" w:themeColor="text1"/>
              </w:rPr>
              <w:t xml:space="preserve">269.696.764</w:t>
            </w:r>
            <w:r/>
          </w:p>
        </w:tc>
      </w:tr>
      <w:tr>
        <w:trPr>
          <w:trHeight w:val="20"/>
        </w:trPr>
        <w:tc>
          <w:tcPr>
            <w:gridSpan w:val="4"/>
            <w:tcBorders/>
            <w:tcW w:w="658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473" w:type="dxa"/>
            <w:vAlign w:val="center"/>
            <w:textDirection w:val="lrTb"/>
            <w:noWrap/>
          </w:tcPr>
          <w:p>
            <w:pPr>
              <w:pBdr/>
              <w:spacing/>
              <w:ind/>
              <w:rPr/>
            </w:pPr>
            <w:r/>
            <w:r/>
          </w:p>
        </w:tc>
        <w:tc>
          <w:tcPr>
            <w:tcBorders/>
            <w:tcW w:w="1818" w:type="dxa"/>
            <w:vAlign w:val="center"/>
            <w:textDirection w:val="lrTb"/>
            <w:noWrap/>
          </w:tcPr>
          <w:p>
            <w:pPr>
              <w:pBdr/>
              <w:spacing w:after="40" w:before="40" w:line="288" w:lineRule="auto"/>
              <w:ind/>
              <w:jc w:val="right"/>
              <w:rPr>
                <w:b/>
                <w:bCs/>
                <w:color w:val="000000"/>
              </w:rPr>
            </w:pPr>
            <w:r>
              <w:t xml:space="preserve">6.115.196.764</w:t>
            </w:r>
            <w:r>
              <w:rPr>
                <w:b/>
                <w:bCs/>
                <w:color w:val="000000"/>
              </w:rPr>
            </w:r>
            <w:r>
              <w:rPr>
                <w:b/>
                <w:bCs/>
                <w:color w:val="000000"/>
              </w:rPr>
            </w:r>
          </w:p>
        </w:tc>
      </w:tr>
      <w:tr>
        <w:trPr>
          <w:trHeight w:val="20"/>
        </w:trPr>
        <w:tc>
          <w:tcPr>
            <w:gridSpan w:val="4"/>
            <w:tcBorders/>
            <w:tcW w:w="658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473"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818" w:type="dxa"/>
            <w:vAlign w:val="center"/>
            <w:textDirection w:val="lrTb"/>
            <w:noWrap/>
          </w:tcPr>
          <w:p>
            <w:pPr>
              <w:pBdr/>
              <w:spacing w:after="40" w:before="40" w:line="288" w:lineRule="auto"/>
              <w:ind/>
              <w:jc w:val="right"/>
              <w:rPr>
                <w:b/>
                <w:bCs/>
                <w:color w:val="000000"/>
              </w:rPr>
            </w:pPr>
            <w:r>
              <w:rPr>
                <w:b/>
                <w:bCs/>
                <w:color w:val="000000"/>
              </w:rPr>
              <w:t xml:space="preserve">6.115.000.000</w:t>
            </w:r>
            <w:r>
              <w:rPr>
                <w:b/>
                <w:bCs/>
                <w:color w:val="000000"/>
              </w:rPr>
            </w:r>
            <w:r>
              <w:rPr>
                <w:b/>
                <w:bCs/>
                <w:color w:val="000000"/>
              </w:rPr>
            </w:r>
          </w:p>
        </w:tc>
      </w:tr>
      <w:tr>
        <w:trPr>
          <w:trHeight w:val="20"/>
        </w:trPr>
        <w:tc>
          <w:tcPr>
            <w:gridSpan w:val="6"/>
            <w:tcBorders/>
            <w:tcW w:w="9838" w:type="dxa"/>
            <w:vAlign w:val="center"/>
            <w:vMerge w:val="restart"/>
            <w:textDirection w:val="lrTb"/>
            <w:noWrap/>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một trăm mười lăm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highlight w:val="none"/>
          <w:lang w:val="vi-VN"/>
        </w:rPr>
      </w:r>
      <w:r>
        <w:rPr>
          <w:lang w:val="pt-BR"/>
        </w:rPr>
      </w:r>
      <w:r>
        <w:rPr>
          <w:lang w:val="pt-BR"/>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252" w:type="dxa"/>
        <w:tblW w:w="5100" w:type="pct"/>
        <w:tblBorders/>
        <w:tblLayout w:type="fixed"/>
        <w:tblLook w:val="01E0" w:firstRow="1" w:lastRow="1" w:firstColumn="1" w:lastColumn="1" w:noHBand="0" w:noVBand="0"/>
      </w:tblPr>
      <w:tblGrid>
        <w:gridCol w:w="4968"/>
        <w:gridCol w:w="5130"/>
      </w:tblGrid>
      <w:tr>
        <w:trPr>
          <w:trHeight w:val="20"/>
        </w:trPr>
        <w:tc>
          <w:tcPr>
            <w:tcBorders/>
            <w:tcW w:w="496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3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96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13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968"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w:t>
            </w:r>
            <w:r>
              <w:rPr>
                <w:rFonts w:eastAsia="Calibri"/>
                <w:color w:val="000000" w:themeColor="text1"/>
                <w:lang w:val="pt-BR"/>
              </w:rPr>
              <w:t xml:space="preserve">5TS</w:t>
            </w:r>
            <w:r>
              <w:rPr>
                <w:rFonts w:eastAsia="Calibri"/>
                <w:color w:val="000000" w:themeColor="text1"/>
                <w:lang w:val="pt-BR"/>
              </w:rPr>
              <w:t xml:space="preserve">.2576</w:t>
            </w:r>
            <w:r>
              <w:rPr>
                <w:rFonts w:eastAsia="Calibri"/>
                <w:bCs/>
                <w:lang w:val="pt-BR"/>
              </w:rPr>
            </w:r>
            <w:r>
              <w:rPr>
                <w:rFonts w:eastAsia="Calibri"/>
                <w:bCs/>
                <w:lang w:val="pt-BR"/>
              </w:rPr>
            </w:r>
          </w:p>
        </w:tc>
        <w:tc>
          <w:tcPr>
            <w:tcBorders/>
            <w:tcW w:w="513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76" w:type="dxa"/>
        <w:tblBorders/>
        <w:tblLayout w:type="fixed"/>
        <w:tblLook w:val="04A0" w:firstRow="1" w:lastRow="0" w:firstColumn="1" w:lastColumn="0" w:noHBand="0" w:noVBand="1"/>
      </w:tblPr>
      <w:tblGrid>
        <w:gridCol w:w="29"/>
        <w:gridCol w:w="1668"/>
        <w:gridCol w:w="2074"/>
        <w:gridCol w:w="6377"/>
        <w:gridCol w:w="28"/>
      </w:tblGrid>
      <w:tr>
        <w:trPr>
          <w:trHeight w:val="1687"/>
        </w:trPr>
        <w:tc>
          <w:tcPr>
            <w:gridSpan w:val="2"/>
            <w:tcBorders/>
            <w:tcW w:w="1730" w:type="dxa"/>
            <w:textDirection w:val="lrTb"/>
            <w:noWrap w:val="false"/>
          </w:tcPr>
          <w:p>
            <w:pPr>
              <w:pBdr/>
              <w:spacing w:line="360" w:lineRule="auto"/>
              <w:ind w:hanging="108"/>
              <w:jc w:val="center"/>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4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813"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275/2026/0889/VFI-BC.17.A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98"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12 tháng 6 năm 2026</w:t>
            </w:r>
            <w:r>
              <w:rPr>
                <w:color w:val="000000" w:themeColor="text1"/>
                <w:sz w:val="24"/>
                <w:szCs w:val="24"/>
                <w:lang w:val="vi-VN"/>
              </w:rPr>
            </w:r>
            <w:r>
              <w:rPr>
                <w:color w:val="000000" w:themeColor="text1"/>
                <w:sz w:val="24"/>
                <w:szCs w:val="24"/>
                <w:lang w:val="vi-VN"/>
              </w:rPr>
            </w:r>
          </w:p>
        </w:tc>
      </w:tr>
    </w:tbl>
    <w:p>
      <w:pPr>
        <w:pStyle w:val="1042"/>
        <w:pBdr/>
        <w:tabs>
          <w:tab w:val="left" w:leader="none" w:pos="5103"/>
        </w:tabs>
        <w:spacing w:before="200" w:line="340" w:lineRule="atLeast"/>
        <w:ind/>
        <w:jc w:val="center"/>
        <w:rPr>
          <w:i/>
          <w:iCs/>
          <w:sz w:val="30"/>
          <w:szCs w:val="30"/>
          <w:lang w:val="pt-BR"/>
        </w:rPr>
      </w:pPr>
      <w:r>
        <w:rPr>
          <w:b/>
          <w:sz w:val="30"/>
          <w:szCs w:val="30"/>
          <w:lang w:val="pt-BR"/>
        </w:rPr>
        <w:t xml:space="preserve">BÁO CÁO K</w:t>
      </w:r>
      <w:r>
        <w:rPr>
          <w:b/>
          <w:sz w:val="30"/>
          <w:szCs w:val="30"/>
          <w:lang w:val="pt-BR"/>
        </w:rPr>
        <w:t xml:space="preserve">ẾT QUẢ THẨM</w:t>
      </w:r>
      <w:r>
        <w:rPr>
          <w:b/>
          <w:sz w:val="30"/>
          <w:szCs w:val="30"/>
          <w:lang w:val="pt-BR"/>
        </w:rPr>
        <w:t xml:space="preserve"> ĐỊNH GIÁ</w:t>
      </w:r>
      <w:r>
        <w:rPr>
          <w:i/>
          <w:iCs/>
          <w:sz w:val="30"/>
          <w:szCs w:val="30"/>
          <w:lang w:val="pt-BR"/>
        </w:rPr>
      </w:r>
      <w:r>
        <w:rPr>
          <w:i/>
          <w:iCs/>
          <w:sz w:val="30"/>
          <w:szCs w:val="30"/>
          <w:lang w:val="pt-BR"/>
        </w:rPr>
      </w:r>
    </w:p>
    <w:p>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275/2026/0889/VFI-CT.17.A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55" w:type="dxa"/>
        <w:tblBorders/>
        <w:tblLayout w:type="fixed"/>
        <w:tblLook w:val="04A0" w:firstRow="1" w:lastRow="0" w:firstColumn="1" w:lastColumn="0" w:noHBand="0" w:noVBand="1"/>
      </w:tblPr>
      <w:tblGrid>
        <w:gridCol w:w="2088"/>
        <w:gridCol w:w="289"/>
        <w:gridCol w:w="7578"/>
      </w:tblGrid>
      <w:tr>
        <w:trPr>
          <w:trHeight w:val="20"/>
        </w:trPr>
        <w:tc>
          <w:tcPr>
            <w:tcBorders/>
            <w:tcW w:w="2088"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88"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78"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088"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088"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78"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78"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088"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78" w:type="dxa"/>
            <w:vAlign w:val="center"/>
            <w:textDirection w:val="lrTb"/>
            <w:noWrap w:val="false"/>
          </w:tcPr>
          <w:p>
            <w:pPr>
              <w:pBdr/>
              <w:spacing w:after="60" w:before="60" w:line="276" w:lineRule="auto"/>
              <w:ind/>
              <w:jc w:val="both"/>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b/>
                <w:color w:val="000000"/>
                <w:sz w:val="24"/>
              </w:rPr>
              <w:t xml:space="preserve">ÔNG ĐỖ VĂN QUÝ</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033079006573</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1979</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Mai Xuyên, xã Ân Thi, tỉnh Hưng Yên, Việt Nam</w:t>
            </w:r>
            <w:r/>
          </w:p>
        </w:tc>
      </w:tr>
      <w:tr>
        <w:trPr>
          <w:trHeight w:val="20"/>
        </w:trPr>
        <w:tc>
          <w:tcPr>
            <w:tcBorders/>
            <w:tcW w:w="2518" w:type="dxa"/>
            <w:vAlign w:val="center"/>
            <w:textDirection w:val="lrTb"/>
            <w:noWrap w:val="false"/>
          </w:tcPr>
          <w:p>
            <w:pPr>
              <w:pBdr/>
              <w:spacing w:after="60" w:before="60" w:line="276" w:lineRule="auto"/>
              <w:ind/>
              <w:rPr>
                <w:b w:val="0"/>
                <w:bCs w:val="0"/>
              </w:rPr>
            </w:pPr>
            <w:r>
              <w:rPr>
                <w:b w:val="0"/>
                <w:bCs w:val="0"/>
                <w:lang w:val="pt-BR"/>
              </w:rPr>
              <w:t xml:space="preserve">Tài sản thẩm định giá</w:t>
            </w:r>
            <w:r>
              <w:rPr>
                <w:b w:val="0"/>
                <w:bCs w:val="0"/>
              </w:rPr>
            </w:r>
            <w:r>
              <w:rPr>
                <w:b w:val="0"/>
                <w:bCs w:val="0"/>
              </w:rPr>
            </w:r>
          </w:p>
        </w:tc>
        <w:tc>
          <w:tcPr>
            <w:tcBorders/>
            <w:tcW w:w="284" w:type="dxa"/>
            <w:vAlign w:val="center"/>
            <w:textDirection w:val="lrTb"/>
            <w:noWrap w:val="false"/>
          </w:tcPr>
          <w:p>
            <w:pPr>
              <w:pStyle w:val="1043"/>
              <w:pBdr/>
              <w:spacing w:after="60" w:before="60" w:line="276" w:lineRule="auto"/>
              <w:ind w:left="0"/>
              <w:rPr>
                <w:b w:val="0"/>
                <w:bCs w:val="0"/>
              </w:rPr>
            </w:pPr>
            <w:r>
              <w:rPr>
                <w:b w:val="0"/>
                <w:bCs w:val="0"/>
                <w:lang w:val="pt-BR"/>
              </w:rPr>
              <w:t xml:space="preserve">:</w:t>
            </w:r>
            <w:r>
              <w:rPr>
                <w:b w:val="0"/>
                <w:bCs w:val="0"/>
              </w:rPr>
            </w:r>
            <w:r>
              <w:rPr>
                <w:b w:val="0"/>
                <w:bCs w:val="0"/>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b w:val="0"/>
                <w:bCs w:val="0"/>
                <w:color w:val="000000"/>
              </w:rPr>
              <w:t xml:space="preserve">Quyền sử dụng đất và tài sản gắn liền với đất tại địa chỉ: Số 44 phố Bảo Linh, phường Phúc Tân, quận Hoàn Kiếm, thành phố Hà Nội (nay là phường Hồng Hà, thành phố Hà Nội) theo </w:t>
            </w:r>
            <w:r>
              <w:rPr>
                <w:b w:val="0"/>
                <w:bCs w:val="0"/>
                <w:color w:val="000000"/>
              </w:rPr>
              <w:t xml:space="preserve">Giấy chứng nhận quyền sử dụng đất, Quyền sở hữu nhà ở và tài sản khác gắn liền với đất số: CS 900223, số vào sổ cấp GCN: CS – HK 02411 do Sở Tài nguyên và Môi trường thành phố Hà Nội cấp ngày 01/10/2019; Chủ sử dụng đất là ông Đỗ Văn Quý và bà Lưu Thị Làn</w:t>
            </w:r>
            <w:r>
              <w:rPr>
                <w:b w:val="0"/>
                <w:bCs w:val="0"/>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Phường Hồng Hà, thành phố Hà Nội</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(21.03749640288, 105.8553516250591)</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43"/>
        <w:numPr>
          <w:ilvl w:val="0"/>
          <w:numId w:val="1"/>
        </w:numPr>
        <w:pBdr/>
        <w:spacing w:after="120" w:before="120" w:line="276" w:lineRule="auto"/>
        <w:ind/>
        <w:jc w:val="both"/>
        <w:rPr>
          <w:spacing w:val="-4"/>
          <w:lang w:val="pt-BR"/>
        </w:rPr>
      </w:pPr>
      <w:r>
        <w:rPr>
          <w:bCs/>
          <w:spacing w:val="-4"/>
          <w:highlight w:val="none"/>
          <w:lang w:val="pt-BR" w:bidi="pt-BR"/>
        </w:rPr>
      </w: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spacing w:val="-4"/>
          <w:lang w:val="pt-BR"/>
        </w:rPr>
      </w:r>
      <w:r>
        <w:rPr>
          <w:spacing w:val="-4"/>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color w:val="000000"/>
        </w:rPr>
        <w:t xml:space="preserve">Giấy chứng nhận quyền sử dụng đất, Quyền sở hữu nhà ở và tài sản khác gắn liền với đất số: CS 900223, số vào sổ cấp GCN: CS – HK 02411 do Sở Tài nguyên và Môi trường thành phố Hà Nội cấp ngày 01/10/2019; Chủ sử dụng đất là ông Đỗ Văn Quý và bà Lưu Thị Làn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3"/>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275/2026/0889/VFI-HĐTĐ.17.A</w:t>
      </w:r>
      <w:r>
        <w:rPr>
          <w:spacing w:val="-4"/>
          <w:lang w:val="vi-VN"/>
        </w:rPr>
        <w:t xml:space="preserve"> ký ngày 0</w:t>
      </w:r>
      <w:r>
        <w:rPr>
          <w:color w:val="000000" w:themeColor="text1"/>
          <w:spacing w:val="-4"/>
        </w:rPr>
        <w:t xml:space="preserve">8 tháng 06 năm 2026</w:t>
      </w:r>
      <w:r>
        <w:rPr>
          <w:spacing w:val="-4"/>
          <w:lang w:val="vi-VN"/>
        </w:rPr>
        <w:t xml:space="preserve"> </w:t>
      </w:r>
      <w:r>
        <w:rPr>
          <w:spacing w:val="-4"/>
          <w:lang w:val="vi-VN"/>
        </w:rPr>
        <w:t xml:space="preserve">giữa </w:t>
      </w:r>
      <w:r>
        <w:rPr>
          <w:bCs/>
        </w:rPr>
        <w:t xml:space="preserve">ông Đỗ Văn Quý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4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Bức tranh thị trường bất động sản Hà Nộ</w:t>
      </w:r>
      <w:r>
        <w:rPr>
          <w:shd w:val="clear" w:color="auto" w:fill="ffffff"/>
        </w:rPr>
        <w:t xml:space="preserve">i năm 2026: Hạ tầng dẫn dắt, thị trường bước vào chu kỳ tăng trưởng mới.</w:t>
        <w:br/>
        <w:t xml:space="preserve">Bước sang năm 2026, thị trường bất động sản Hà Nội được kỳ vọng bước vào chu kỳ tăng trưởng mới với nền tảng hạ tầng, pháp lý và chính sách ngày càng rõ nét. Thay vì những cơn “sốt nó</w:t>
      </w:r>
      <w:r>
        <w:rPr>
          <w:shd w:val="clear" w:color="auto" w:fill="ffffff"/>
        </w:rPr>
        <w:t xml:space="preserve">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tục </w:t>
      </w:r>
      <w:r>
        <w:rPr>
          <w:shd w:val="clear" w:color="auto" w:fill="ffffff"/>
        </w:rPr>
        <w:t xml:space="preserve">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Đến </w:t>
      </w:r>
      <w:r>
        <w:rPr>
          <w:shd w:val="clear" w:color="auto" w:fill="ffffff"/>
        </w:rPr>
        <w:t xml:space="preserve">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rộng</w:t>
      </w:r>
      <w:r>
        <w:rPr>
          <w:shd w:val="clear" w:color="auto" w:fill="ffffff"/>
        </w:rPr>
        <w:t xml:space="preserve">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t xml:space="preserve">C</w:t>
      </w:r>
      <w:r>
        <w:rPr>
          <w:shd w:val="clear" w:color="auto" w:fill="ffffff"/>
        </w:rPr>
        <w:t xml:space="preserve">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w:t>
      </w:r>
      <w:r>
        <w:rPr>
          <w:shd w:val="clear" w:color="auto" w:fill="ffffff"/>
        </w:rPr>
        <w:t xml:space="preserve">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w:t>
      </w:r>
      <w:r>
        <w:rPr>
          <w:shd w:val="clear" w:color="auto" w:fill="ffffff"/>
        </w:rPr>
        <w:t xml:space="preserve">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tăng </w:t>
      </w:r>
      <w:r>
        <w:rPr>
          <w:shd w:val="clear" w:color="auto" w:fill="ffffff"/>
        </w:rPr>
        <w:t xml:space="preserve">trưởng chọn lọc</w:t>
        <w:b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w:t>
      </w:r>
      <w:r>
        <w:rPr>
          <w:shd w:val="clear" w:color="auto" w:fill="ffffff"/>
        </w:rPr>
        <w:t xml:space="preserve">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n</w:t>
      </w:r>
      <w:r>
        <w:rPr>
          <w:shd w:val="clear" w:color="auto" w:fill="ffffff"/>
        </w:rPr>
        <w:t xml:space="preserve">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nhữn</w:t>
      </w:r>
      <w:r>
        <w:rPr>
          <w:shd w:val="clear" w:color="auto" w:fill="ffffff"/>
        </w:rPr>
        <w:t xml:space="preserve">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 </w:t>
      </w:r>
      <w:r>
        <w:rPr>
          <w:shd w:val="clear" w:color="auto" w:fill="ffffff"/>
        </w:rPr>
        <w:t xml:space="preserve">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w:t>
      </w:r>
      <w:r>
        <w:rPr>
          <w:shd w:val="clear" w:color="auto" w:fill="ffffff"/>
        </w:rPr>
        <w:t xml:space="preserve">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tr</w:t>
      </w:r>
      <w:r>
        <w:rPr>
          <w:shd w:val="clear" w:color="auto" w:fill="ffffff"/>
        </w:rPr>
        <w:t xml:space="preserve">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w:t>
      </w:r>
      <w:r>
        <w:rPr>
          <w:shd w:val="clear" w:color="auto" w:fill="ffffff"/>
        </w:rPr>
        <w:t xml:space="preserve">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w:t>
      </w:r>
      <w:r>
        <w:rPr>
          <w:shd w:val="clear" w:color="auto" w:fill="ffffff"/>
        </w:rPr>
        <w:t xml:space="preserve">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r>
        <w:rPr>
          <w:i/>
          <w:iCs/>
          <w:lang w:val="pt-BR"/>
        </w:rPr>
      </w:r>
    </w:p>
    <w:p>
      <w:pPr>
        <w:pStyle w:val="104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424"/>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9198"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và tài sản gắn liền với đất tại địa chỉ: Số 44 phố Bảo Linh, phường Phúc Tân, quận Hoàn Kiếm, thành phố Hà Nội (nay là phường Hồng Hà, thành phố Hà Nội) theo </w:t>
            </w:r>
            <w:r>
              <w:rPr>
                <w:b/>
                <w:bCs/>
                <w:color w:val="000000"/>
              </w:rPr>
              <w:t xml:space="preserve">Giấy chứng nhận quyền sử dụng đất, Quyền sở hữu nhà ở và tài sản khác gắn liền với đất số: CS 900223, số vào sổ cấp GCN: CS – HK 02411 do Sở Tài nguyên và Môi trường thành phố Hà Nội cấp ngày 01/10/2019; Chủ sử dụng đất là ông Đỗ Văn Quý và bà Lưu Thị Làn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8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424" w:type="dxa"/>
            <w:vAlign w:val="center"/>
            <w:textDirection w:val="lrTb"/>
            <w:noWrap w:val="false"/>
          </w:tcPr>
          <w:p>
            <w:pPr>
              <w:pBdr/>
              <w:spacing/>
              <w:ind/>
              <w:jc w:val="center"/>
              <w:rPr>
                <w:color w:val="ee0000"/>
              </w:rPr>
            </w:pPr>
            <w:r>
              <w:rPr>
                <w:color w:val="000000" w:themeColor="text1"/>
              </w:rPr>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676" w:type="dxa"/>
            <w:vAlign w:val="center"/>
            <w:textDirection w:val="lrTb"/>
            <w:noWrap w:val="false"/>
          </w:tcPr>
          <w:p>
            <w:pPr>
              <w:pBdr/>
              <w:spacing/>
              <w:ind/>
              <w:jc w:val="both"/>
              <w:rPr>
                <w:b w:val="0"/>
                <w:bCs w:val="0"/>
                <w:color w:val="000000"/>
              </w:rPr>
            </w:pPr>
            <w:r>
              <w:rPr>
                <w:color w:val="000000"/>
              </w:rPr>
              <w:t xml:space="preserve">số 44 phố Bảo Linh phường Phúc Tân quận Hoàn Kiếm thành phố Hà Nội </w:t>
            </w:r>
            <w:r>
              <w:rPr>
                <w:b w:val="0"/>
                <w:bCs w:val="0"/>
                <w:color w:val="000000"/>
              </w:rPr>
              <w:t xml:space="preserve">(nay là phường Hồng Hà,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43,3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6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Xử lý nợ thế chấp đất được Công nhận QSDĐ như giao đất có thu tiền sử dụng đất</w:t>
            </w: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676"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9198"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5304095" cy="255971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28712" name=""/>
                              <pic:cNvPicPr>
                                <a:picLocks noChangeAspect="1"/>
                              </pic:cNvPicPr>
                              <pic:nvPr/>
                            </pic:nvPicPr>
                            <pic:blipFill rotWithShape="1">
                              <a:blip r:embed="rId18"/>
                              <a:stretch/>
                            </pic:blipFill>
                            <pic:spPr bwMode="auto">
                              <a:xfrm flipH="0" flipV="0">
                                <a:off x="0" y="0"/>
                                <a:ext cx="5304095" cy="25597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7.65pt;height:201.55pt;mso-wrap-distance-left:0.00pt;mso-wrap-distance-top:0.00pt;mso-wrap-distance-right:0.00pt;mso-wrap-distance-bottom:0.00pt;z-index:1;" stroked="false">
                      <v:imagedata r:id="rId18"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BTXM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676" w:type="dxa"/>
            <w:vAlign w:val="center"/>
            <w:textDirection w:val="lrTb"/>
            <w:noWrap w:val="false"/>
          </w:tcPr>
          <w:p>
            <w:pPr>
              <w:pBdr/>
              <w:spacing/>
              <w:ind/>
              <w:jc w:val="both"/>
              <w:rPr>
                <w:color w:val="000000"/>
              </w:rPr>
            </w:pPr>
            <w:r>
              <w:rPr>
                <w:color w:val="000000" w:themeColor="text1"/>
              </w:rPr>
              <w:t xml:space="preserve">Cách mặt phố Bảo Linh khoảng 30m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6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Bắc: </w:t>
            </w:r>
            <w:r>
              <w:rPr>
                <w:rFonts w:ascii="Times New Roman" w:hAnsi="Times New Roman" w:eastAsia="Times New Roman" w:cs="Times New Roman"/>
                <w:color w:val="000000"/>
                <w:sz w:val="24"/>
              </w:rPr>
              <w:t xml:space="preserve">Tiếp giáp ngõ đi chung rộng 1,2m;</w: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98"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(21.03749640288, 105.8553516250591)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98"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87215" cy="3013951"/>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5387215" cy="30139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4.19pt;height:237.32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424" w:type="dxa"/>
            <w:vAlign w:val="center"/>
            <w:textDirection w:val="lrTb"/>
            <w:noWrap w:val="false"/>
          </w:tcPr>
          <w:p>
            <w:pPr>
              <w:pBdr/>
              <w:spacing/>
              <w:ind/>
              <w:jc w:val="center"/>
              <w:rPr>
                <w:color w:val="000000" w:themeColor="text1"/>
              </w:rPr>
            </w:pPr>
            <w:r>
              <w:rPr>
                <w:color w:val="000000" w:themeColor="text1"/>
              </w:rPr>
              <w:t xml:space="preserve">11,7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676"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676"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424"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98"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198"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CS 900223, trên đất có 01 công trình xây dựng là có </w:t>
            </w:r>
            <w:r>
              <w:rPr>
                <w:rFonts w:ascii="Times New Roman" w:hAnsi="Times New Roman" w:eastAsia="Times New Roman" w:cs="Times New Roman"/>
                <w:color w:val="000000"/>
                <w:sz w:val="24"/>
              </w:rPr>
              <w:t xml:space="preserve">diện tích sàn là: 62m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BTCT chịu lực. Công trình cũ theo thời gian sử dụng. Hiện đang sử dụng bình thường.</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7"/>
        <w:tblInd w:w="54" w:type="dxa"/>
        <w:tblW w:w="0" w:type="auto"/>
        <w:tblBorders/>
        <w:tblLayout w:type="fixed"/>
        <w:tblLook w:val="04A0" w:firstRow="1" w:lastRow="0" w:firstColumn="1" w:lastColumn="0" w:noHBand="0" w:noVBand="1"/>
      </w:tblPr>
      <w:tblGrid>
        <w:gridCol w:w="738"/>
        <w:gridCol w:w="1890"/>
        <w:gridCol w:w="2027"/>
        <w:gridCol w:w="2160"/>
        <w:gridCol w:w="1371"/>
        <w:gridCol w:w="1631"/>
      </w:tblGrid>
      <w:tr>
        <w:trPr>
          <w:jc w:val="center"/>
        </w:trPr>
        <w:tc>
          <w:tcPr>
            <w:tcBorders/>
            <w:tcW w:w="738" w:type="dxa"/>
            <w:vAlign w:val="center"/>
            <w:textDirection w:val="lrTb"/>
            <w:noWrap w:val="false"/>
          </w:tcPr>
          <w:p>
            <w:pPr>
              <w:pBdr/>
              <w:spacing/>
              <w:ind/>
              <w:jc w:val="center"/>
              <w:rPr>
                <w:b/>
                <w:bCs/>
              </w:rPr>
            </w:pPr>
            <w:r>
              <w:rPr>
                <w:b/>
                <w:bCs/>
              </w:rPr>
              <w:t xml:space="preserve">TT</w:t>
            </w:r>
            <w:r>
              <w:rPr>
                <w:b/>
                <w:bCs/>
              </w:rPr>
            </w:r>
            <w:r>
              <w:rPr>
                <w:b/>
                <w:bCs/>
              </w:rPr>
            </w:r>
          </w:p>
        </w:tc>
        <w:tc>
          <w:tcPr>
            <w:tcBorders/>
            <w:tcW w:w="1890"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27"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160"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631"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8" w:type="dxa"/>
            <w:vAlign w:val="center"/>
            <w:textDirection w:val="lrTb"/>
            <w:noWrap w:val="false"/>
          </w:tcPr>
          <w:p>
            <w:pPr>
              <w:pBdr/>
              <w:spacing/>
              <w:ind/>
              <w:jc w:val="center"/>
              <w:rPr/>
            </w:pPr>
            <w:r>
              <w:t xml:space="preserve">1</w:t>
            </w:r>
            <w:r/>
          </w:p>
        </w:tc>
        <w:tc>
          <w:tcPr>
            <w:tcBorders/>
            <w:tcW w:w="1890" w:type="dxa"/>
            <w:vAlign w:val="center"/>
            <w:textDirection w:val="lrTb"/>
            <w:noWrap w:val="false"/>
          </w:tcPr>
          <w:p>
            <w:pPr>
              <w:pBdr/>
              <w:spacing/>
              <w:ind/>
              <w:jc w:val="both"/>
              <w:rPr/>
            </w:pPr>
            <w:r>
              <w:t xml:space="preserve">Địa chỉ</w:t>
            </w:r>
            <w:r/>
          </w:p>
        </w:tc>
        <w:tc>
          <w:tcPr>
            <w:tcBorders/>
            <w:tcW w:w="2027" w:type="dxa"/>
            <w:vAlign w:val="center"/>
            <w:textDirection w:val="lrTb"/>
            <w:noWrap w:val="false"/>
          </w:tcPr>
          <w:p>
            <w:pPr>
              <w:pBdr/>
              <w:spacing/>
              <w:ind/>
              <w:jc w:val="center"/>
              <w:rPr/>
            </w:pPr>
            <w:r>
              <w:t xml:space="preserve">Số 44 phố Bảo Linh, phường Phúc Tân, quận Hoàn Kiếm, thành phố Hà Nội</w:t>
            </w:r>
            <w:r/>
          </w:p>
        </w:tc>
        <w:tc>
          <w:tcPr>
            <w:tcBorders/>
            <w:tcW w:w="2160" w:type="dxa"/>
            <w:vAlign w:val="center"/>
            <w:textDirection w:val="lrTb"/>
            <w:noWrap w:val="false"/>
          </w:tcPr>
          <w:p>
            <w:pPr>
              <w:pBdr/>
              <w:spacing/>
              <w:ind/>
              <w:jc w:val="center"/>
              <w:rPr/>
            </w:pPr>
            <w:r>
              <w:t xml:space="preserve">Số 44 phố Bảo Linh, Phường Hồng Hà, Thành phố Hà Nội</w:t>
            </w:r>
            <w:r>
              <w:t xml:space="preserve"> ✔</w:t>
            </w:r>
            <w:r/>
          </w:p>
        </w:tc>
        <w:tc>
          <w:tcPr>
            <w:tcBorders/>
            <w:tcW w:w="1371" w:type="dxa"/>
            <w:vAlign w:val="center"/>
            <w:textDirection w:val="lrTb"/>
            <w:noWrap w:val="false"/>
          </w:tcPr>
          <w:p>
            <w:pPr>
              <w:pBdr/>
              <w:spacing/>
              <w:ind/>
              <w:jc w:val="center"/>
              <w:rPr/>
            </w:pPr>
            <w:r>
              <w:t xml:space="preserve">Có</w:t>
            </w:r>
            <w:r/>
          </w:p>
        </w:tc>
        <w:tc>
          <w:tcPr>
            <w:tcBorders/>
            <w:tcW w:w="1631" w:type="dxa"/>
            <w:vAlign w:val="center"/>
            <w:textDirection w:val="lrTb"/>
            <w:noWrap w:val="false"/>
          </w:tcPr>
          <w:p>
            <w:pPr>
              <w:pBdr/>
              <w:spacing/>
              <w:ind/>
              <w:jc w:val="center"/>
              <w:rPr/>
            </w:pPr>
            <w:r>
              <w:t xml:space="preserve">Địa chỉ thay đổi sau sáp nhập </w:t>
            </w:r>
            <w:r/>
          </w:p>
        </w:tc>
      </w:tr>
      <w:tr>
        <w:trPr>
          <w:jc w:val="center"/>
        </w:trPr>
        <w:tc>
          <w:tcPr>
            <w:tcBorders/>
            <w:tcW w:w="738" w:type="dxa"/>
            <w:vAlign w:val="center"/>
            <w:textDirection w:val="lrTb"/>
            <w:noWrap w:val="false"/>
          </w:tcPr>
          <w:p>
            <w:pPr>
              <w:pBdr/>
              <w:spacing/>
              <w:ind/>
              <w:jc w:val="center"/>
              <w:rPr/>
            </w:pPr>
            <w:r>
              <w:t xml:space="preserve">2</w:t>
            </w:r>
            <w:r/>
          </w:p>
        </w:tc>
        <w:tc>
          <w:tcPr>
            <w:tcBorders/>
            <w:tcW w:w="1890" w:type="dxa"/>
            <w:vAlign w:val="center"/>
            <w:textDirection w:val="lrTb"/>
            <w:noWrap w:val="false"/>
          </w:tcPr>
          <w:p>
            <w:pPr>
              <w:pBdr/>
              <w:spacing/>
              <w:ind/>
              <w:jc w:val="both"/>
              <w:rPr/>
            </w:pPr>
            <w:r>
              <w:t xml:space="preserve">Pháp lý</w:t>
            </w:r>
            <w:r/>
          </w:p>
        </w:tc>
        <w:tc>
          <w:tcPr>
            <w:tcBorders/>
            <w:tcW w:w="202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3</w:t>
            </w:r>
            <w:r/>
          </w:p>
        </w:tc>
        <w:tc>
          <w:tcPr>
            <w:tcBorders/>
            <w:tcW w:w="1890" w:type="dxa"/>
            <w:vAlign w:val="center"/>
            <w:textDirection w:val="lrTb"/>
            <w:noWrap w:val="false"/>
          </w:tcPr>
          <w:p>
            <w:pPr>
              <w:pBdr/>
              <w:spacing/>
              <w:ind/>
              <w:jc w:val="both"/>
              <w:rPr/>
            </w:pPr>
            <w:r>
              <w:t xml:space="preserve">Loại đất</w:t>
            </w:r>
            <w:r/>
          </w:p>
        </w:tc>
        <w:tc>
          <w:tcPr>
            <w:tcBorders/>
            <w:tcW w:w="2027" w:type="dxa"/>
            <w:vAlign w:val="center"/>
            <w:textDirection w:val="lrTb"/>
            <w:noWrap w:val="false"/>
          </w:tcPr>
          <w:p>
            <w:pPr>
              <w:pBdr/>
              <w:spacing/>
              <w:ind/>
              <w:jc w:val="center"/>
              <w:rPr/>
            </w:pPr>
            <w:r>
              <w:t xml:space="preserve">Đất ở tại đô thị</w:t>
            </w:r>
            <w:r/>
          </w:p>
        </w:tc>
        <w:tc>
          <w:tcPr>
            <w:tcBorders/>
            <w:tcW w:w="2160"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4</w:t>
            </w:r>
            <w:r/>
          </w:p>
        </w:tc>
        <w:tc>
          <w:tcPr>
            <w:tcBorders/>
            <w:tcW w:w="1890" w:type="dxa"/>
            <w:vAlign w:val="center"/>
            <w:textDirection w:val="lrTb"/>
            <w:noWrap w:val="false"/>
          </w:tcPr>
          <w:p>
            <w:pPr>
              <w:pBdr/>
              <w:spacing/>
              <w:ind/>
              <w:jc w:val="both"/>
              <w:rPr/>
            </w:pPr>
            <w:r>
              <w:t xml:space="preserve">Thời hạn sử dụng</w:t>
            </w:r>
            <w:r/>
          </w:p>
        </w:tc>
        <w:tc>
          <w:tcPr>
            <w:tcBorders/>
            <w:tcW w:w="2027" w:type="dxa"/>
            <w:vAlign w:val="center"/>
            <w:textDirection w:val="lrTb"/>
            <w:noWrap w:val="false"/>
          </w:tcPr>
          <w:p>
            <w:pPr>
              <w:pBdr/>
              <w:spacing/>
              <w:ind/>
              <w:jc w:val="center"/>
              <w:rPr/>
            </w:pPr>
            <w:r>
              <w:t xml:space="preserve">Lâu dài</w:t>
            </w:r>
            <w:r/>
          </w:p>
        </w:tc>
        <w:tc>
          <w:tcPr>
            <w:tcBorders/>
            <w:tcW w:w="2160"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5</w:t>
            </w:r>
            <w:r/>
          </w:p>
        </w:tc>
        <w:tc>
          <w:tcPr>
            <w:tcBorders/>
            <w:tcW w:w="1890" w:type="dxa"/>
            <w:vAlign w:val="center"/>
            <w:textDirection w:val="lrTb"/>
            <w:noWrap w:val="false"/>
          </w:tcPr>
          <w:p>
            <w:pPr>
              <w:pBdr/>
              <w:spacing/>
              <w:ind/>
              <w:jc w:val="both"/>
              <w:rPr/>
            </w:pPr>
            <w:r>
              <w:t xml:space="preserve">Mặt cắt đường trước nhà</w:t>
            </w:r>
            <w:r/>
          </w:p>
        </w:tc>
        <w:tc>
          <w:tcPr>
            <w:tcBorders/>
            <w:tcW w:w="2027" w:type="dxa"/>
            <w:vAlign w:val="center"/>
            <w:textDirection w:val="lrTb"/>
            <w:noWrap w:val="false"/>
          </w:tcPr>
          <w:p>
            <w:pPr>
              <w:pBdr/>
              <w:spacing/>
              <w:ind/>
              <w:jc w:val="center"/>
              <w:rPr/>
            </w:pPr>
            <w:r>
              <w:t xml:space="preserve">1,2</w:t>
            </w:r>
            <w:r/>
          </w:p>
        </w:tc>
        <w:tc>
          <w:tcPr>
            <w:tcBorders/>
            <w:tcW w:w="2160" w:type="dxa"/>
            <w:vAlign w:val="center"/>
            <w:textDirection w:val="lrTb"/>
            <w:noWrap w:val="false"/>
          </w:tcPr>
          <w:p>
            <w:pPr>
              <w:pBdr/>
              <w:spacing/>
              <w:ind/>
              <w:jc w:val="center"/>
              <w:rPr/>
            </w:pPr>
            <w:r>
              <w:t xml:space="preserve">1,2 </w:t>
            </w:r>
            <w:r>
              <w:t xml:space="preserve">✔</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6</w:t>
            </w:r>
            <w:r/>
          </w:p>
        </w:tc>
        <w:tc>
          <w:tcPr>
            <w:tcBorders/>
            <w:tcW w:w="1890" w:type="dxa"/>
            <w:vAlign w:val="center"/>
            <w:textDirection w:val="lrTb"/>
            <w:noWrap w:val="false"/>
          </w:tcPr>
          <w:p>
            <w:pPr>
              <w:pBdr/>
              <w:spacing/>
              <w:ind/>
              <w:jc w:val="both"/>
              <w:rPr/>
            </w:pPr>
            <w:r>
              <w:t xml:space="preserve">Diện tích</w:t>
            </w:r>
            <w:r/>
          </w:p>
        </w:tc>
        <w:tc>
          <w:tcPr>
            <w:tcBorders/>
            <w:tcW w:w="2027" w:type="dxa"/>
            <w:vAlign w:val="center"/>
            <w:textDirection w:val="lrTb"/>
            <w:noWrap w:val="false"/>
          </w:tcPr>
          <w:p>
            <w:pPr>
              <w:pBdr/>
              <w:spacing/>
              <w:ind/>
              <w:jc w:val="center"/>
              <w:rPr/>
            </w:pPr>
            <w:r>
              <w:t xml:space="preserve">37,6 </w:t>
            </w:r>
            <w:r/>
          </w:p>
        </w:tc>
        <w:tc>
          <w:tcPr>
            <w:tcBorders/>
            <w:tcW w:w="2160" w:type="dxa"/>
            <w:vAlign w:val="center"/>
            <w:textDirection w:val="lrTb"/>
            <w:noWrap w:val="false"/>
          </w:tcPr>
          <w:p>
            <w:pPr>
              <w:pBdr/>
              <w:spacing/>
              <w:ind/>
              <w:jc w:val="center"/>
              <w:rPr/>
            </w:pPr>
            <w:r>
              <w:t xml:space="preserve">37,6 </w:t>
            </w:r>
            <w:r>
              <w:t xml:space="preserve">✔</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7</w:t>
            </w:r>
            <w:r/>
          </w:p>
        </w:tc>
        <w:tc>
          <w:tcPr>
            <w:tcBorders/>
            <w:tcW w:w="1890" w:type="dxa"/>
            <w:vAlign w:val="center"/>
            <w:textDirection w:val="lrTb"/>
            <w:noWrap w:val="false"/>
          </w:tcPr>
          <w:p>
            <w:pPr>
              <w:pBdr/>
              <w:spacing/>
              <w:ind/>
              <w:jc w:val="both"/>
              <w:rPr/>
            </w:pPr>
            <w:r>
              <w:t xml:space="preserve">Mặt tiền</w:t>
            </w:r>
            <w:r/>
          </w:p>
        </w:tc>
        <w:tc>
          <w:tcPr>
            <w:tcBorders/>
            <w:tcW w:w="2027" w:type="dxa"/>
            <w:vAlign w:val="center"/>
            <w:textDirection w:val="lrTb"/>
            <w:noWrap w:val="false"/>
          </w:tcPr>
          <w:p>
            <w:pPr>
              <w:pBdr/>
              <w:spacing/>
              <w:ind/>
              <w:jc w:val="center"/>
              <w:rPr/>
            </w:pPr>
            <w:r>
              <w:t xml:space="preserve">1,2</w:t>
            </w:r>
            <w:r/>
          </w:p>
        </w:tc>
        <w:tc>
          <w:tcPr>
            <w:tcBorders/>
            <w:tcW w:w="2160" w:type="dxa"/>
            <w:vAlign w:val="center"/>
            <w:textDirection w:val="lrTb"/>
            <w:noWrap w:val="false"/>
          </w:tcPr>
          <w:p>
            <w:pPr>
              <w:pBdr/>
              <w:spacing/>
              <w:ind/>
              <w:jc w:val="center"/>
              <w:rPr/>
            </w:pPr>
            <w:r>
              <w:t xml:space="preserve">1,2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8</w:t>
            </w:r>
            <w:r/>
          </w:p>
        </w:tc>
        <w:tc>
          <w:tcPr>
            <w:tcBorders/>
            <w:tcW w:w="1890" w:type="dxa"/>
            <w:vAlign w:val="center"/>
            <w:textDirection w:val="lrTb"/>
            <w:noWrap w:val="false"/>
          </w:tcPr>
          <w:p>
            <w:pPr>
              <w:pBdr/>
              <w:spacing/>
              <w:ind/>
              <w:jc w:val="both"/>
              <w:rPr/>
            </w:pPr>
            <w:r>
              <w:t xml:space="preserve">Mặt tiếp giáp</w:t>
            </w:r>
            <w:r/>
          </w:p>
        </w:tc>
        <w:tc>
          <w:tcPr>
            <w:tcBorders/>
            <w:tcW w:w="2027" w:type="dxa"/>
            <w:vAlign w:val="center"/>
            <w:textDirection w:val="lrTb"/>
            <w:noWrap w:val="false"/>
          </w:tcPr>
          <w:p>
            <w:pPr>
              <w:pBdr/>
              <w:spacing/>
              <w:ind/>
              <w:jc w:val="center"/>
              <w:rPr/>
            </w:pPr>
            <w:r>
              <w:t xml:space="preserve">Tiếp giáp 1 mặt tiền</w:t>
            </w:r>
            <w:r/>
          </w:p>
        </w:tc>
        <w:tc>
          <w:tcPr>
            <w:tcBorders/>
            <w:tcW w:w="2160"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9</w:t>
            </w:r>
            <w:r/>
          </w:p>
        </w:tc>
        <w:tc>
          <w:tcPr>
            <w:tcBorders/>
            <w:tcW w:w="1890" w:type="dxa"/>
            <w:vAlign w:val="center"/>
            <w:textDirection w:val="lrTb"/>
            <w:noWrap w:val="false"/>
          </w:tcPr>
          <w:p>
            <w:pPr>
              <w:pBdr/>
              <w:spacing/>
              <w:ind/>
              <w:jc w:val="both"/>
              <w:rPr/>
            </w:pPr>
            <w:r>
              <w:t xml:space="preserve">Hình dạng thửa đất</w:t>
            </w:r>
            <w:r/>
          </w:p>
        </w:tc>
        <w:tc>
          <w:tcPr>
            <w:tcBorders/>
            <w:tcW w:w="2027" w:type="dxa"/>
            <w:vAlign w:val="center"/>
            <w:textDirection w:val="lrTb"/>
            <w:noWrap w:val="false"/>
          </w:tcPr>
          <w:p>
            <w:pPr>
              <w:pBdr/>
              <w:spacing/>
              <w:ind/>
              <w:jc w:val="center"/>
              <w:rPr/>
            </w:pPr>
            <w:r>
              <w:t xml:space="preserve">Đa giác khác </w:t>
            </w:r>
            <w:r/>
          </w:p>
        </w:tc>
        <w:tc>
          <w:tcPr>
            <w:tcBorders/>
            <w:tcW w:w="2160"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738" w:type="dxa"/>
            <w:vAlign w:val="center"/>
            <w:textDirection w:val="lrTb"/>
            <w:noWrap w:val="false"/>
          </w:tcPr>
          <w:p>
            <w:pPr>
              <w:pBdr/>
              <w:spacing/>
              <w:ind/>
              <w:jc w:val="center"/>
              <w:rPr/>
            </w:pPr>
            <w:r>
              <w:t xml:space="preserve">10</w:t>
            </w:r>
            <w:r/>
          </w:p>
        </w:tc>
        <w:tc>
          <w:tcPr>
            <w:tcBorders/>
            <w:tcW w:w="1890" w:type="dxa"/>
            <w:vAlign w:val="center"/>
            <w:textDirection w:val="lrTb"/>
            <w:noWrap w:val="false"/>
          </w:tcPr>
          <w:p>
            <w:pPr>
              <w:pBdr/>
              <w:spacing/>
              <w:ind/>
              <w:jc w:val="both"/>
              <w:rPr/>
            </w:pPr>
            <w:r>
              <w:t xml:space="preserve">Bất lợi thương mại</w:t>
            </w:r>
            <w:r/>
          </w:p>
        </w:tc>
        <w:tc>
          <w:tcPr>
            <w:tcBorders/>
            <w:tcW w:w="2027" w:type="dxa"/>
            <w:vAlign w:val="center"/>
            <w:textDirection w:val="lrTb"/>
            <w:noWrap w:val="false"/>
          </w:tcPr>
          <w:p>
            <w:pPr>
              <w:pBdr/>
              <w:spacing/>
              <w:ind/>
              <w:jc w:val="center"/>
              <w:rPr/>
            </w:pPr>
            <w:r>
              <w:t xml:space="preserve">Giao lộ Chữ 'T', bị đường đâm thẳng vào 'Thế tiền đao sát', Ngõ cụt </w:t>
            </w:r>
            <w:r/>
          </w:p>
        </w:tc>
        <w:tc>
          <w:tcPr>
            <w:tcBorders/>
            <w:tcW w:w="2160" w:type="dxa"/>
            <w:vAlign w:val="center"/>
            <w:textDirection w:val="lrTb"/>
            <w:noWrap w:val="false"/>
          </w:tcPr>
          <w:p>
            <w:pPr>
              <w:pBdr/>
              <w:spacing/>
              <w:ind/>
              <w:jc w:val="center"/>
              <w:rPr/>
            </w:pPr>
            <w:r>
              <w:t xml:space="preserve">Giao lộ Chữ 'T', bị đường đâm thẳng vào 'Thế tiền đao sát', Ngõ cụt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492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7017"/>
        <w:gridCol w:w="968"/>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68"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S=0.5ha)&lt;5ha</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017"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968"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sz w:val="12"/>
          <w:szCs w:val="12"/>
          <w:u w:val="single"/>
        </w:rPr>
      </w:pPr>
      <w:r>
        <w:rPr>
          <w:sz w:val="12"/>
          <w:szCs w:val="12"/>
          <w:u w:val="single"/>
        </w:rPr>
      </w:r>
      <w:r>
        <w:rPr>
          <w:sz w:val="12"/>
          <w:szCs w:val="12"/>
          <w:u w:val="single"/>
        </w:rPr>
      </w:r>
      <w:r>
        <w:rPr>
          <w:sz w:val="12"/>
          <w:szCs w:val="12"/>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sz w:val="20"/>
          <w:szCs w:val="20"/>
          <w:u w:val="single"/>
        </w:rPr>
      </w:pPr>
      <w:r>
        <w:rPr>
          <w:b/>
          <w:bCs/>
          <w:sz w:val="20"/>
          <w:szCs w:val="20"/>
          <w:u w:val="single"/>
        </w:rPr>
      </w:r>
      <w:r>
        <w:rPr>
          <w:b/>
          <w:bCs/>
          <w:sz w:val="20"/>
          <w:szCs w:val="20"/>
          <w:u w:val="single"/>
        </w:rPr>
      </w:r>
      <w:r>
        <w:rPr>
          <w:b/>
          <w:bCs/>
          <w:sz w:val="20"/>
          <w:szCs w:val="20"/>
          <w:u w:val="single"/>
        </w:rPr>
      </w:r>
    </w:p>
    <w:tbl>
      <w:tblPr>
        <w:tblW w:w="489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8"/>
        <w:gridCol w:w="6949"/>
        <w:gridCol w:w="990"/>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Không</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949"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990" w:type="dxa"/>
            <w:vAlign w:val="center"/>
            <w:textDirection w:val="lrTb"/>
            <w:noWrap w:val="false"/>
          </w:tcPr>
          <w:p>
            <w:pPr>
              <w:widowControl w:val="false"/>
              <w:pBdr/>
              <w:spacing w:line="235" w:lineRule="auto"/>
              <w:ind w:left="144"/>
              <w:jc w:val="center"/>
              <w:rPr/>
            </w:pPr>
            <w:r>
              <w:t xml:space="preserve">Có</w:t>
            </w: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2088"/>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44 phố Bảo Linh, Phường Hồng Hà,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Phúc Tân, Quận Hoàn Kiếm,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Phúc Tân, Quận Hoàn Kiếm,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Phúc Tân, Quận Hoàn Kiếm,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0904263656</w:t>
            </w:r>
            <w:r>
              <w:rPr>
                <w:sz w:val="22"/>
                <w:szCs w:val="22"/>
              </w:rPr>
              <w:t xml:space="preserve"> </w:t>
            </w:r>
            <w:r>
              <w:rPr>
                <w:sz w:val="22"/>
                <w:szCs w:val="22"/>
              </w:rPr>
              <w:br/>
              <w:t xml:space="preserve">(</w:t>
            </w:r>
            <w:r>
              <w:rPr>
                <w:sz w:val="22"/>
                <w:szCs w:val="22"/>
              </w:rPr>
              <w:t xml:space="preserve">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0966093333</w:t>
            </w:r>
            <w:r>
              <w:rPr>
                <w:sz w:val="22"/>
                <w:szCs w:val="22"/>
              </w:rPr>
              <w:br/>
            </w:r>
            <w:r>
              <w:rPr>
                <w:sz w:val="22"/>
                <w:szCs w:val="22"/>
              </w:rPr>
              <w:t xml:space="preserve">(</w:t>
            </w:r>
            <w:r>
              <w:rPr>
                <w:sz w:val="22"/>
                <w:szCs w:val="22"/>
              </w:rPr>
              <w:t xml:space="preserve">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0966093333</w:t>
            </w:r>
            <w:r>
              <w:rPr>
                <w:sz w:val="22"/>
                <w:szCs w:val="22"/>
              </w:rPr>
              <w:br/>
            </w:r>
            <w:r>
              <w:rPr>
                <w:sz w:val="22"/>
                <w:szCs w:val="22"/>
              </w:rPr>
              <w:t xml:space="preserve">(</w:t>
            </w:r>
            <w:r>
              <w:rPr>
                <w:sz w:val="22"/>
                <w:szCs w:val="22"/>
              </w:rPr>
              <w:t xml:space="preserve">Dũng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Số 44 phố Bảo Linh, Phường Hồng Hà, Thành phố Hà Nội. Cách trục chính phố Bảo Linh khoảng 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Phúc Tân, Quận Hoàn Kiếm, Thành phố Hà Nội. Cách trục chính phố Thanh Yên khoảng 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Phúc Tân, Quận Hoàn Kiếm, Thành phố Hà Nội. Cách mặt phố Nguyên Khiết khoảng 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Phúc Tân, Quận Hoàn Kiếm, Thành phố Hà Nội. Cách mặt phố Phúc Tân khoảng 500m.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hướng thửa đất, 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2088" w:type="dxa"/>
            <w:vAlign w:val="center"/>
            <w:vMerge w:val="restart"/>
            <w:textDirection w:val="lrTb"/>
            <w:noWrap w:val="false"/>
          </w:tcPr>
          <w:p>
            <w:pPr>
              <w:pBdr/>
              <w:spacing/>
              <w:ind/>
              <w:jc w:val="both"/>
              <w:rPr>
                <w:color w:val="000000" w:themeColor="text1"/>
                <w:sz w:val="22"/>
                <w:szCs w:val="22"/>
                <w:highlight w:val="none"/>
              </w:rPr>
            </w:pPr>
            <w:r>
              <w:rPr>
                <w:color w:val="000000" w:themeColor="text1"/>
                <w:sz w:val="22"/>
                <w:szCs w:val="22"/>
                <w:highlight w:val="none"/>
              </w:rPr>
              <w:t xml:space="preserve">Tài sản trên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Nhà 4 tầng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Nhà 5 tầng</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Nhà 4 tầng 1 tum</w:t>
            </w:r>
            <w:r>
              <w:rPr>
                <w:color w:val="000000" w:themeColor="text1"/>
                <w:sz w:val="22"/>
                <w:szCs w:val="22"/>
                <w:highlight w:val="yellow"/>
              </w:rPr>
            </w:r>
            <w:r>
              <w:rPr>
                <w:color w:val="000000" w:themeColor="text1"/>
                <w:sz w:val="22"/>
                <w:szCs w:val="22"/>
                <w:highlight w:val="yellow"/>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2088" w:type="dxa"/>
            <w:vAlign w:val="center"/>
            <w:vMerge w:val="restart"/>
            <w:textDirection w:val="lrTb"/>
            <w:noWrap w:val="false"/>
          </w:tcPr>
          <w:p>
            <w:pPr>
              <w:pBdr/>
              <w:spacing/>
              <w:ind/>
              <w:jc w:val="both"/>
              <w:rPr>
                <w:color w:val="000000" w:themeColor="text1"/>
                <w:sz w:val="22"/>
                <w:szCs w:val="22"/>
              </w:rPr>
            </w:pPr>
            <w:r>
              <w:rPr>
                <w:color w:val="000000" w:themeColor="text1"/>
                <w:sz w:val="22"/>
                <w:szCs w:val="22"/>
              </w:rPr>
              <w:t xml:space="preserve">Diện tích sàn sử dụng (m2)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156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202,5</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8.010.000.000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862.287.644</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1.125.237.997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1.119.315.693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Đơn giá xây dựng theo </w:t>
            </w:r>
            <w:r>
              <w:rPr>
                <w:rFonts w:ascii="Times New Roman" w:hAnsi="Times New Roman" w:eastAsia="Times New Roman" w:cs="Times New Roman"/>
                <w:color w:val="000000"/>
                <w:sz w:val="22"/>
                <w:szCs w:val="22"/>
              </w:rPr>
              <w:t xml:space="preserve">Quyết định số 425/QĐ-BXD ngày 30/03/2026 của Bộ Xây dựng </w:t>
            </w:r>
            <w:r>
              <w:rPr>
                <w:rFonts w:ascii="Times New Roman" w:hAnsi="Times New Roman" w:eastAsia="Times New Roman" w:cs="Times New Roman"/>
                <w:color w:val="000000"/>
                <w:sz w:val="22"/>
                <w:szCs w:val="22"/>
              </w:rPr>
              <w:t xml:space="preserve"> (đồng/m²)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7.896.407</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tcPr>
          <w:p>
            <w:pPr>
              <w:pBdr/>
              <w:spacing/>
              <w:ind/>
              <w:jc w:val="both"/>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9.697.712.356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5.894.762.003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6.890.684.307</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248.659.291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235.790.480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153.126.318</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88" w:type="dxa"/>
            <w:vAlign w:val="center"/>
            <w:textDirection w:val="lrTb"/>
            <w:noWrap w:val="false"/>
          </w:tcPr>
          <w:p>
            <w:pPr>
              <w:pBdr/>
              <w:spacing/>
              <w:ind/>
              <w:jc w:val="both"/>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6"/>
        <w:gridCol w:w="1030"/>
        <w:gridCol w:w="1584"/>
        <w:gridCol w:w="1584"/>
        <w:gridCol w:w="1584"/>
        <w:gridCol w:w="1584"/>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9.697.712.356</w:t>
            </w:r>
            <w:r>
              <w:rPr>
                <w:b/>
                <w:bCs/>
                <w:color w:val="000000"/>
                <w:sz w:val="20"/>
                <w:szCs w:val="20"/>
              </w:rPr>
            </w:r>
            <w:r>
              <w:rPr>
                <w:b/>
                <w:bCs/>
                <w:color w:val="000000"/>
                <w:sz w:val="20"/>
                <w:szCs w:val="20"/>
              </w:rPr>
            </w:r>
          </w:p>
        </w:tc>
        <w:tc>
          <w:tcPr>
            <w:shd w:val="clear" w:color="000000" w:fill="ffffff"/>
            <w:tcBorders/>
            <w:tcW w:w="1584"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5.894.762.003</w:t>
            </w:r>
            <w:r>
              <w:rPr>
                <w:b/>
                <w:bCs/>
                <w:color w:val="000000"/>
                <w:sz w:val="20"/>
                <w:szCs w:val="20"/>
              </w:rPr>
            </w:r>
            <w:r>
              <w:rPr>
                <w:b/>
                <w:bCs/>
                <w:color w:val="000000"/>
                <w:sz w:val="20"/>
                <w:szCs w:val="20"/>
              </w:rPr>
            </w:r>
          </w:p>
        </w:tc>
        <w:tc>
          <w:tcPr>
            <w:shd w:val="clear" w:color="000000" w:fill="ffffff"/>
            <w:tcBorders/>
            <w:tcW w:w="1584"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6.890.684.307</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248.659.291</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235.790.480</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153.126.318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84"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84"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239.428.522</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220.190.480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153.126.318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Số 44 phố Bảo Linh, Phường Hồng Hà, Thành phố Hà Nội. Cách trục chính phố Bảo Linh khoảng 30m</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Phúc Tân, Quận Hoàn Kiếm, Thành phố Hà Nội. Cách trục chính phố Thanh Yên khoảng 30m.</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Phúc Tân, Quận Hoàn Kiếm, Thành phố Hà Nội. Cách mặt phố Nguyên Khiết khoảng 30m.</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Phúc Tân, Quận Hoàn Kiếm, Thành phố Hà Nội. Cách mặt phố Phúc Tân khoảng 500m.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7.656.316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248.659.291</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220.190.480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160.782.634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248.659.291</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220.190.480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160.782.634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-14.919.557</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-14.147.429</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233.739.734</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221.643.051</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160.782.634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43,3</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39</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-15.413.334</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233.739.734</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206.229.717</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160.782.634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-12.432.965</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-11.789.524</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-9.187.579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221.306.769</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194.440.193</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151.595.055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-11.971.426</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-11.009.524</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209.335.343</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183.430.669</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151.595.055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-23.942.852</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-22.019.048</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-15.312.632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185.392.491</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161.411.621</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136.282.423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Đường hướng thửa đất, Ngõ cụt</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-37.298.894</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-33.028.572</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-7.656.316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148.093.597</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128.383.049</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themeColor="text1"/>
                <w:sz w:val="22"/>
                <w:szCs w:val="22"/>
              </w:rPr>
              <w:t xml:space="preserve">128.626.107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6" w:type="dxa"/>
            <w:vAlign w:val="center"/>
            <w:textDirection w:val="lrTb"/>
            <w:noWrap/>
          </w:tcPr>
          <w:p>
            <w:pPr>
              <w:pBdr/>
              <w:spacing/>
              <w:ind/>
              <w:jc w:val="both"/>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8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148.093.597</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128.383.049</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128.626.107</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135.034.251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9,67%</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-4,93%</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272" w:type="dxa"/>
            <w:vAlign w:val="center"/>
            <w:textDirection w:val="lrTb"/>
            <w:noWrap w:val="false"/>
          </w:tcPr>
          <w:p>
            <w:pPr>
              <w:pBdr/>
              <w:spacing/>
              <w:ind/>
              <w:jc w:val="both"/>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100.565.694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107.407.431</w:t>
            </w:r>
            <w:r>
              <w:rPr>
                <w:b/>
                <w:bCs/>
                <w:color w:val="000000"/>
                <w:sz w:val="22"/>
                <w:szCs w:val="22"/>
              </w:rPr>
            </w:r>
            <w:r>
              <w:rPr>
                <w:b/>
                <w:bCs/>
                <w:color w:val="000000"/>
                <w:sz w:val="22"/>
                <w:szCs w:val="22"/>
              </w:rPr>
            </w:r>
          </w:p>
        </w:tc>
        <w:tc>
          <w:tcPr>
            <w:shd w:val="clear" w:color="000000" w:fill="ffffff"/>
            <w:tcBorders/>
            <w:tcW w:w="1584" w:type="dxa"/>
            <w:vAlign w:val="center"/>
            <w:textDirection w:val="lrTb"/>
            <w:noWrap w:val="false"/>
          </w:tcPr>
          <w:p>
            <w:pPr>
              <w:pBdr/>
              <w:spacing/>
              <w:ind/>
              <w:jc w:val="center"/>
              <w:rPr>
                <w:b/>
                <w:bCs/>
                <w:color w:val="000000"/>
                <w:sz w:val="22"/>
                <w:szCs w:val="22"/>
              </w:rPr>
            </w:pPr>
            <w:r>
              <w:rPr>
                <w:color w:val="000000" w:themeColor="text1"/>
                <w:sz w:val="22"/>
                <w:szCs w:val="22"/>
              </w:rPr>
              <w:t xml:space="preserve">39.812.843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8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6"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100.565.694</w:t>
            </w:r>
            <w:r>
              <w:rPr>
                <w:sz w:val="22"/>
                <w:szCs w:val="22"/>
              </w:rPr>
            </w:r>
            <w:r>
              <w:rPr>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107.407.431</w:t>
            </w:r>
            <w:r>
              <w:rPr>
                <w:sz w:val="22"/>
                <w:szCs w:val="22"/>
              </w:rPr>
            </w:r>
            <w:r>
              <w:rPr>
                <w:sz w:val="22"/>
                <w:szCs w:val="22"/>
              </w:rPr>
            </w:r>
          </w:p>
        </w:tc>
        <w:tc>
          <w:tcPr>
            <w:shd w:val="clear" w:color="000000" w:fill="ffffff"/>
            <w:tcBorders/>
            <w:tcW w:w="1584" w:type="dxa"/>
            <w:vAlign w:val="center"/>
            <w:textDirection w:val="lrTb"/>
            <w:noWrap/>
          </w:tcPr>
          <w:p>
            <w:pPr>
              <w:pBdr/>
              <w:spacing/>
              <w:ind/>
              <w:jc w:val="center"/>
              <w:rPr>
                <w:sz w:val="22"/>
                <w:szCs w:val="22"/>
              </w:rPr>
            </w:pPr>
            <w:r>
              <w:rPr>
                <w:color w:val="000000" w:themeColor="text1"/>
                <w:sz w:val="22"/>
                <w:szCs w:val="22"/>
              </w:rPr>
              <w:t xml:space="preserve">24.500.211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-4,93</w:t>
      </w:r>
      <w:r>
        <w:t xml:space="preserve">% đến </w:t>
      </w:r>
      <w:r>
        <w:t xml:space="preserve">9,67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9" w:type="pct"/>
        <w:tblBorders/>
        <w:tblLayout w:type="fixed"/>
        <w:tblLook w:val="04A0" w:firstRow="1" w:lastRow="0" w:firstColumn="1" w:lastColumn="0" w:noHBand="0" w:noVBand="1"/>
      </w:tblPr>
      <w:tblGrid>
        <w:gridCol w:w="648"/>
        <w:gridCol w:w="1890"/>
        <w:gridCol w:w="1890"/>
        <w:gridCol w:w="2430"/>
        <w:gridCol w:w="306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148.093.597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49.374.405</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128.383.049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42.790.070</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color w:val="000000"/>
              </w:rPr>
            </w:pPr>
            <w:r>
              <w:rPr>
                <w:color w:val="000000"/>
              </w:rPr>
              <w:t xml:space="preserve">128.626.107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color w:val="000000"/>
              </w:rPr>
            </w:pPr>
            <w:r>
              <w:rPr>
                <w:color w:val="000000"/>
              </w:rPr>
              <w:t xml:space="preserve">42.871.081</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858" w:type="dxa"/>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themeColor="text1"/>
                <w:lang w:val="vi-VN"/>
              </w:rPr>
              <w:t xml:space="preserve">135.035.556</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858" w:type="dxa"/>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pPr>
              <w:pBdr/>
              <w:spacing/>
              <w:ind/>
              <w:jc w:val="center"/>
              <w:rPr>
                <w:b/>
                <w:bCs/>
                <w:color w:val="000000"/>
              </w:rPr>
            </w:pPr>
            <w:r>
              <w:rPr>
                <w:b/>
                <w:bCs/>
                <w:color w:val="000000" w:themeColor="text1"/>
                <w:lang w:val="vi-VN"/>
              </w:rPr>
              <w:t xml:space="preserve">135.000.000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135.000.000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 Xác định giá trị tài sản gắn liền với đất</w:t>
      </w:r>
      <w:r/>
    </w:p>
    <w:p>
      <w:pPr>
        <w:numPr>
          <w:ilvl w:val="0"/>
          <w:numId w:val="40"/>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đơn giá xây mới của công trình xây dựng:</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từ 2 đến 3 tầng, kết cấu khung chịu lực BTCT; tường bao xây gạch; sàn, mái BTCT đổ tại chỗ không có tầng hầm, cân nhắc và xem xét với kết cấu của công trình xây dựng hiện có, tổ thẩm đ</w:t>
      </w:r>
      <w:r>
        <w:rPr>
          <w:rFonts w:ascii="Times New Roman" w:hAnsi="Times New Roman" w:eastAsia="Times New Roman" w:cs="Times New Roman"/>
          <w:color w:val="000000"/>
          <w:sz w:val="24"/>
        </w:rPr>
        <w:t xml:space="preserve">ịnh nhận thấy đơn giá vận dụng theo Quyết định số 425/QĐ-BXD ngày 30/03/2026 của Bộ Xây dựng về việc Công bố suất vốn đầu tư xây dựng công trình và giá xây dựng tổng hợp bộ phận kết cấu công trình năm 2025 là khá phù hợp với thị trường, theo đó:</w:t>
      </w:r>
      <w:r>
        <w:rPr>
          <w:rFonts w:ascii="Times New Roman" w:hAnsi="Times New Roman" w:eastAsia="Times New Roman" w:cs="Times New Roman"/>
          <w:color w:val="000000"/>
          <w:spacing w:val="3"/>
          <w:sz w:val="24"/>
          <w:highlight w:val="white"/>
        </w:rPr>
        <w:t xml:space="preserve"> </w:t>
      </w:r>
      <w:r/>
    </w:p>
    <w:p>
      <w:pPr>
        <w:numPr>
          <w:ilvl w:val="0"/>
          <w:numId w:val="41"/>
        </w:numPr>
        <w:pBdr>
          <w:top w:val="none" w:color="000000" w:sz="4" w:space="0"/>
          <w:left w:val="none" w:color="000000" w:sz="4" w:space="0"/>
          <w:bottom w:val="none" w:color="000000" w:sz="4" w:space="0"/>
          <w:right w:val="none" w:color="000000" w:sz="4" w:space="0"/>
        </w:pBdr>
        <w:spacing w:after="120" w:before="120" w:line="288" w:lineRule="auto"/>
        <w:ind w:right="0" w:hanging="360" w:left="720"/>
        <w:jc w:val="both"/>
        <w:rPr/>
      </w:pPr>
      <w:r>
        <w:rPr>
          <w:rFonts w:ascii="Times New Roman" w:hAnsi="Times New Roman" w:eastAsia="Times New Roman" w:cs="Times New Roman"/>
          <w:i/>
          <w:color w:val="000000"/>
          <w:spacing w:val="-4"/>
          <w:sz w:val="24"/>
        </w:rPr>
        <w:t xml:space="preserve">Suất vốn đầu tư của công trình </w:t>
      </w:r>
      <w:r>
        <w:rPr>
          <w:rFonts w:ascii="Times New Roman" w:hAnsi="Times New Roman" w:eastAsia="Times New Roman" w:cs="Times New Roman"/>
          <w:i/>
          <w:color w:val="000000"/>
          <w:sz w:val="24"/>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color w:val="000000"/>
          <w:spacing w:val="-4"/>
          <w:sz w:val="24"/>
        </w:rPr>
        <w:t xml:space="preserve"> là 8.370.000 đồng/m², có kết cấu tương tự tài sản thẩm định. (Đơn giá bao gồm thuế GTGT)</w:t>
      </w:r>
      <w:r/>
    </w:p>
    <w:p>
      <w:pPr>
        <w:numPr>
          <w:ilvl w:val="0"/>
          <w:numId w:val="41"/>
        </w:numPr>
        <w:pBdr>
          <w:top w:val="none" w:color="000000" w:sz="4" w:space="0"/>
          <w:left w:val="none" w:color="000000" w:sz="4" w:space="0"/>
          <w:bottom w:val="none" w:color="000000" w:sz="4" w:space="0"/>
          <w:right w:val="none" w:color="000000" w:sz="4" w:space="0"/>
        </w:pBdr>
        <w:spacing w:after="120" w:before="120" w:line="288" w:lineRule="auto"/>
        <w:ind w:right="0" w:hanging="360" w:left="720"/>
        <w:jc w:val="both"/>
        <w:rPr/>
      </w:pPr>
      <w:r>
        <w:rPr>
          <w:rFonts w:ascii="Times New Roman" w:hAnsi="Times New Roman" w:eastAsia="Times New Roman" w:cs="Times New Roman"/>
          <w:i/>
          <w:iCs/>
          <w:color w:val="000000"/>
          <w:spacing w:val="-4"/>
          <w:sz w:val="24"/>
          <w:szCs w:val="24"/>
        </w:rPr>
      </w:r>
      <w:r>
        <w:rPr>
          <w:rFonts w:ascii="Times New Roman" w:hAnsi="Times New Roman" w:eastAsia="Times New Roman" w:cs="Times New Roman"/>
          <w:i/>
          <w:color w:val="000000"/>
          <w:sz w:val="24"/>
        </w:rPr>
        <w:t xml:space="preserve">Hệ số điều chỉnh vùng cho suất vốn đầu tư Vùng 7 – Thành phố Hà Nội là: 0,952.</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pacing w:val="3"/>
          <w:sz w:val="24"/>
          <w:highlight w:val="white"/>
        </w:rPr>
        <w:t xml:space="preserve">Do đó, Tổ thẩm định xác định đơn giá xây mới của công trình là:</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b/>
          <w:color w:val="000000"/>
          <w:sz w:val="24"/>
        </w:rPr>
        <w:t xml:space="preserve"> (8.370.000 đồng/m² x 0,952)/1,1</w:t>
      </w:r>
      <w:r>
        <w:rPr>
          <w:rFonts w:ascii="Times New Roman" w:hAnsi="Times New Roman" w:eastAsia="Times New Roman" w:cs="Times New Roman"/>
          <w:b/>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color w:val="000000"/>
          <w:sz w:val="24"/>
        </w:rPr>
        <w:t xml:space="preserve">7.243.855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i/>
          <w:color w:val="000000"/>
          <w:spacing w:val="3"/>
          <w:sz w:val="24"/>
          <w:highlight w:val="white"/>
        </w:rPr>
        <w:t xml:space="preserve">(đơn giá không bao gồm VAT).</w:t>
      </w:r>
      <w:r>
        <w:rPr>
          <w:rFonts w:ascii="Times New Roman" w:hAnsi="Times New Roman" w:eastAsia="Times New Roman" w:cs="Times New Roman"/>
          <w:sz w:val="24"/>
        </w:rPr>
      </w:r>
      <w:r/>
    </w:p>
    <w:p>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tỷ lệ hao mòn của công trình:</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Trong quá trình khảo sát và thực hiện thẩm định giá, chúng tôi không được cung cấp thời điểm chính xác hoàn thành công trình xây dựng. Do không có đủ cơ sở để xác định tỷ lệ hao mòn công trình theo phương pháp kỹ thuật tuổi đời, tổ thẩm định vận dụng phươn</w:t>
      </w:r>
      <w:r>
        <w:rPr>
          <w:rFonts w:ascii="Times New Roman" w:hAnsi="Times New Roman" w:eastAsia="Times New Roman" w:cs="Times New Roman"/>
          <w:color w:val="000000"/>
          <w:sz w:val="24"/>
        </w:rPr>
        <w:t xml:space="preserve">g pháp tổng cộng để xác định tỷ lệ hao mòn như sau:</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Tổng giá trị hao mòn của tài sản được xác định thông qua tổng giá trị các loại hao mòn vật lý, chức năng và ngoại biên của tài sản:</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 Hao mòn vật lý: Xác định tỷ lệ hao mòn vật lý căn cứ vào đánh giá mức độ hao mòn các kết cấu chính của tài sản. Được đánh giá dựa trên hiện trạng thực tế của công trình xây dựng bằng cách vận dụng Công văn số: 1326/BXD-QLN ngày 08/08/2011 của Bộ Xây dựng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 như sau:</w:t>
      </w:r>
      <w:r/>
    </w:p>
    <w:tbl>
      <w:tblPr>
        <w:tblStyle w:val="1047"/>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236"/>
        <w:gridCol w:w="2581"/>
        <w:gridCol w:w="525"/>
        <w:gridCol w:w="367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nhà/tỷ lệ hao mòn,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lại/tỷ lệ hao mòn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6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7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2"/>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2"/>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2"/>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2340"/>
        <w:gridCol w:w="2084"/>
        <w:gridCol w:w="2610"/>
        <w:gridCol w:w="2250"/>
      </w:tblGrid>
      <w:tr>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0" w:type="dxa"/>
              <w:top w:w="0" w:type="dxa"/>
              <w:right w:w="0"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0" w:type="dxa"/>
              <w:top w:w="0" w:type="dxa"/>
              <w:right w:w="0" w:type="dxa"/>
              <w:bottom w:w="0" w:type="dxa"/>
            </w:tcMar>
            <w:tcW w:w="20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các kết cấu chính (%)</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hao mòn</w:t>
            </w:r>
            <w:r/>
          </w:p>
        </w:tc>
        <w:tc>
          <w:tcPr>
            <w:tcBorders>
              <w:bottom w:val="single" w:color="000000" w:sz="8" w:space="0"/>
              <w:right w:val="single" w:color="000000" w:sz="8" w:space="0"/>
            </w:tcBorders>
            <w:tcMar>
              <w:left w:w="0" w:type="dxa"/>
              <w:top w:w="0" w:type="dxa"/>
              <w:right w:w="0" w:type="dxa"/>
              <w:bottom w:w="0" w:type="dxa"/>
            </w:tcMar>
            <w:tcW w:w="20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2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40%</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40</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60%</w:t>
      </w:r>
      <w:r/>
    </w:p>
    <w:p>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giá trị công trình xây dựng: </w:t>
      </w:r>
      <w:r>
        <w:rPr>
          <w:rFonts w:ascii="Times New Roman" w:hAnsi="Times New Roman" w:eastAsia="Times New Roman" w:cs="Times New Roman"/>
          <w:color w:val="000000"/>
          <w:sz w:val="24"/>
        </w:rPr>
        <w:t xml:space="preserve">Theo phương pháp chi phí thay thế đã được đề cập ở trên, giá trị tài sản được tính theo công thức:</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i/>
          <w:color w:val="000000"/>
          <w:sz w:val="24"/>
        </w:rPr>
        <w:t xml:space="preserve">Chi phí thay thế = (Diện tích sàn x Đơn giá xây dựng x Hệ số vùng)/ Thuế suất thuế GTGT</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b/>
          <w:i/>
          <w:color w:val="000000"/>
          <w:sz w:val="24"/>
        </w:rPr>
        <w:t xml:space="preserve">Giá trị hao mòn = Chi phí thay thế x Tỷ lệ hao mòn</w:t>
      </w:r>
      <w:r>
        <w:rPr>
          <w:rFonts w:ascii="Times New Roman" w:hAnsi="Times New Roman" w:eastAsia="Times New Roman" w:cs="Times New Roman"/>
          <w:b/>
          <w:bCs/>
          <w:i/>
          <w:color w:val="000000"/>
          <w:sz w:val="24"/>
          <w:szCs w:val="24"/>
          <w:highlight w:val="none"/>
        </w:rP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i/>
          <w:color w:val="000000"/>
          <w:sz w:val="24"/>
          <w:highlight w:val="none"/>
        </w:rPr>
      </w:r>
      <w:r>
        <w:rPr>
          <w:rFonts w:ascii="Times New Roman" w:hAnsi="Times New Roman" w:eastAsia="Times New Roman" w:cs="Times New Roman"/>
          <w:b/>
          <w:i/>
          <w:color w:val="000000"/>
          <w:sz w:val="24"/>
          <w:highlight w:val="none"/>
        </w:rPr>
      </w:r>
      <w:r/>
    </w:p>
    <w:tbl>
      <w:tblPr>
        <w:tblStyle w:val="1047"/>
        <w:tblInd w:w="-16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58"/>
        <w:gridCol w:w="1053"/>
        <w:gridCol w:w="2232"/>
        <w:gridCol w:w="1656"/>
        <w:gridCol w:w="1548"/>
        <w:gridCol w:w="151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Đơn giá XD mới x hệ số vùng cho suất vốn/ Thuế GTGT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công trình xây mới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2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 = (1)x(2)</w:t>
            </w:r>
            <w:r/>
          </w:p>
        </w:tc>
        <w:tc>
          <w:tcPr>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 = (3) – (4)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Công trình nhà ở </w:t>
            </w:r>
            <w:r/>
          </w:p>
        </w:tc>
        <w:tc>
          <w:tcPr>
            <w:tcBorders>
              <w:bottom w:val="single" w:color="000000" w:sz="8" w:space="0"/>
              <w:right w:val="single" w:color="000000" w:sz="8" w:space="0"/>
            </w:tcBorders>
            <w:tcMar>
              <w:left w:w="108" w:type="dxa"/>
              <w:top w:w="0" w:type="dxa"/>
              <w:right w:w="108" w:type="dxa"/>
              <w:bottom w:w="0" w:type="dxa"/>
            </w:tcMar>
            <w:tcW w:w="105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w:t>
            </w:r>
            <w:r/>
          </w:p>
        </w:tc>
        <w:tc>
          <w:tcPr>
            <w:tcBorders>
              <w:bottom w:val="single" w:color="000000" w:sz="8" w:space="0"/>
              <w:right w:val="single" w:color="000000" w:sz="8" w:space="0"/>
            </w:tcBorders>
            <w:tcMar>
              <w:left w:w="108" w:type="dxa"/>
              <w:top w:w="0" w:type="dxa"/>
              <w:right w:w="108" w:type="dxa"/>
              <w:bottom w:w="0" w:type="dxa"/>
            </w:tcMar>
            <w:tcW w:w="22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7.243.855</w:t>
            </w:r>
            <w:r/>
          </w:p>
        </w:tc>
        <w:tc>
          <w:tcPr>
            <w:tcBorders>
              <w:bottom w:val="single" w:color="000000" w:sz="8" w:space="0"/>
              <w:right w:val="single" w:color="000000" w:sz="8" w:space="0"/>
            </w:tcBorders>
            <w:tcMar>
              <w:left w:w="108" w:type="dxa"/>
              <w:top w:w="0" w:type="dxa"/>
              <w:right w:w="108" w:type="dxa"/>
              <w:bottom w:w="0" w:type="dxa"/>
            </w:tcMar>
            <w:tcW w:w="1656"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449.118.982 </w:t>
            </w:r>
            <w:r/>
          </w:p>
        </w:tc>
        <w:tc>
          <w:tcPr>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179.647.593 </w:t>
            </w:r>
            <w:r/>
          </w:p>
        </w:tc>
        <w:tc>
          <w:tcPr>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spacing/>
              <w:ind/>
              <w:rPr/>
            </w:pPr>
            <w:r>
              <w:rPr>
                <w:color w:val="000000" w:themeColor="text1"/>
              </w:rPr>
              <w:t xml:space="preserve">269.696.764</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834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Cộng: </w:t>
            </w:r>
            <w:r/>
          </w:p>
        </w:tc>
        <w:tc>
          <w:tcPr>
            <w:tcBorders>
              <w:bottom w:val="single" w:color="000000" w:sz="8" w:space="0"/>
              <w:right w:val="single" w:color="000000" w:sz="8" w:space="0"/>
            </w:tcBorders>
            <w:tcMar>
              <w:left w:w="108" w:type="dxa"/>
              <w:top w:w="0" w:type="dxa"/>
              <w:right w:w="108" w:type="dxa"/>
              <w:bottom w:w="0" w:type="dxa"/>
            </w:tcMar>
            <w:tcW w:w="1512" w:type="dxa"/>
            <w:vAlign w:val="center"/>
            <w:textDirection w:val="lrTb"/>
            <w:noWrap w:val="false"/>
          </w:tcPr>
          <w:p>
            <w:pPr>
              <w:pBdr/>
              <w:spacing/>
              <w:ind/>
              <w:rPr>
                <w:b/>
                <w:bCs/>
              </w:rPr>
            </w:pPr>
            <w:r>
              <w:rPr>
                <w:b/>
                <w:bCs/>
              </w:rPr>
            </w:r>
            <w:r>
              <w:rPr>
                <w:b/>
                <w:bCs/>
                <w:color w:val="000000" w:themeColor="text1"/>
              </w:rPr>
              <w:t xml:space="preserve">269.696.764</w:t>
            </w:r>
            <w:r>
              <w:rPr>
                <w:b/>
                <w:bCs/>
              </w:rPr>
            </w:r>
            <w:r>
              <w:rPr>
                <w:b/>
                <w:bCs/>
              </w:rPr>
            </w:r>
          </w:p>
        </w:tc>
      </w:tr>
    </w:tbl>
    <w:p>
      <w:pPr>
        <w:pStyle w:val="104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06/2026</w:t>
      </w:r>
      <w:r>
        <w:t xml:space="preserve"> </w:t>
      </w:r>
      <w:r>
        <w:t xml:space="preserve">ước tính </w:t>
      </w:r>
      <w:r>
        <w:t xml:space="preserve">như sau</w:t>
      </w:r>
      <w:r>
        <w:t xml:space="preserve">:</w:t>
      </w:r>
      <w:r>
        <w:rPr>
          <w:highlight w:val="none"/>
        </w:rPr>
      </w:r>
      <w:r>
        <w:rPr>
          <w:highlight w:val="none"/>
        </w:rPr>
      </w:r>
    </w:p>
    <w:tbl>
      <w:tblPr>
        <w:tblW w:w="496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49"/>
        <w:gridCol w:w="2509"/>
        <w:gridCol w:w="1530"/>
        <w:gridCol w:w="1797"/>
        <w:gridCol w:w="1456"/>
        <w:gridCol w:w="1797"/>
      </w:tblGrid>
      <w:tr>
        <w:trPr>
          <w:trHeight w:val="20"/>
        </w:trPr>
        <w:tc>
          <w:tcPr>
            <w:shd w:val="clear" w:color="000000" w:fill="ffffff"/>
            <w:tcBorders/>
            <w:tcW w:w="74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3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p>
            <w:pPr>
              <w:pBdr/>
              <w:spacing/>
              <w:ind/>
              <w:jc w:val="center"/>
              <w:rPr/>
            </w:pPr>
            <w:r/>
            <w:r/>
          </w:p>
        </w:tc>
        <w:tc>
          <w:tcPr>
            <w:shd w:val="clear" w:color="000000" w:fill="ffffff"/>
            <w:tcBorders/>
            <w:tcW w:w="1548"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1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473" w:type="dxa"/>
            <w:vAlign w:val="center"/>
            <w:textDirection w:val="lrTb"/>
            <w:noWrap w:val="false"/>
          </w:tcPr>
          <w:p>
            <w:pPr>
              <w:pBdr/>
              <w:spacing/>
              <w:ind/>
              <w:jc w:val="center"/>
              <w:rPr>
                <w:b/>
                <w:bCs/>
              </w:rPr>
            </w:pPr>
            <w:r>
              <w:rPr>
                <w:b/>
                <w:bCs/>
              </w:rPr>
              <w:t xml:space="preserve">Tỷ lệ CLCL (%)</w:t>
            </w:r>
            <w:r>
              <w:rPr>
                <w:b/>
                <w:bCs/>
              </w:rPr>
            </w:r>
            <w:r>
              <w:rPr>
                <w:b/>
                <w:bCs/>
              </w:rPr>
            </w:r>
          </w:p>
        </w:tc>
        <w:tc>
          <w:tcPr>
            <w:shd w:val="clear" w:color="000000" w:fill="ffffff"/>
            <w:tcBorders/>
            <w:tcW w:w="181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4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302"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và tài sản gắn liền với đất tại địa chỉ: Số 44 phố Bảo Linh, phường Phúc Tân, quận Hoàn Kiếm, thành phố Hà Nội (nay là phường Hồng Hà, thành phố Hà Nội) theo </w:t>
            </w:r>
            <w:r>
              <w:rPr>
                <w:b/>
                <w:bCs/>
                <w:color w:val="000000"/>
              </w:rPr>
              <w:t xml:space="preserve">Giấy chứng nhận quyền sử dụng đất, Quyền sở hữu nhà ở và tài sản khác gắn liền với đất số: CS 900223, số vào sổ cấp GCN: CS – HK 02411 do Sở Tài nguyên và Môi trường thành phố Hà Nội cấp ngày 01/10/2019; Chủ sử dụng đất là ông Đỗ Văn Quý và bà Lưu Thị Làn</w:t>
            </w:r>
            <w:r>
              <w:rPr>
                <w:b/>
                <w:bCs/>
              </w:rPr>
              <w:t xml:space="preserve">.</w:t>
            </w:r>
            <w:r>
              <w:rPr>
                <w:b/>
                <w:bCs/>
              </w:rPr>
            </w:r>
            <w:r>
              <w:rPr>
                <w:b/>
                <w:bCs/>
              </w:rPr>
            </w:r>
          </w:p>
        </w:tc>
        <w:tc>
          <w:tcPr>
            <w:shd w:val="clear" w:color="000000" w:fill="ffffff"/>
            <w:tcBorders/>
            <w:tcW w:w="181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49"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53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548" w:type="dxa"/>
            <w:vAlign w:val="center"/>
            <w:textDirection w:val="lrTb"/>
            <w:noWrap/>
          </w:tcPr>
          <w:p>
            <w:pPr>
              <w:pBdr/>
              <w:spacing w:after="40" w:before="40" w:line="288" w:lineRule="auto"/>
              <w:ind/>
              <w:jc w:val="center"/>
              <w:rPr>
                <w:color w:val="000000"/>
              </w:rPr>
            </w:pPr>
            <w:r>
              <w:rPr>
                <w:color w:val="000000" w:themeColor="text1"/>
              </w:rPr>
              <w:t xml:space="preserve">43,3</w:t>
            </w:r>
            <w:r>
              <w:rPr>
                <w:color w:val="000000"/>
              </w:rPr>
            </w:r>
            <w:r>
              <w:rPr>
                <w:color w:val="000000"/>
              </w:rPr>
            </w:r>
          </w:p>
        </w:tc>
        <w:tc>
          <w:tcPr>
            <w:shd w:val="clear" w:color="000000" w:fill="ffffff"/>
            <w:tcBorders/>
            <w:tcW w:w="1818" w:type="dxa"/>
            <w:vAlign w:val="center"/>
            <w:textDirection w:val="lrTb"/>
            <w:noWrap w:val="false"/>
          </w:tcPr>
          <w:p>
            <w:pPr>
              <w:pBdr/>
              <w:spacing w:after="40" w:before="40" w:line="288" w:lineRule="auto"/>
              <w:ind/>
              <w:jc w:val="center"/>
              <w:rPr/>
            </w:pPr>
            <w:r>
              <w:rPr>
                <w:color w:val="000000" w:themeColor="text1"/>
              </w:rPr>
              <w:t xml:space="preserve">135.000.000</w:t>
            </w:r>
            <w:r/>
          </w:p>
        </w:tc>
        <w:tc>
          <w:tcPr>
            <w:shd w:val="clear" w:color="000000" w:fill="ffffff"/>
            <w:tcBorders/>
            <w:tcW w:w="1473"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818" w:type="dxa"/>
            <w:vAlign w:val="center"/>
            <w:textDirection w:val="lrTb"/>
            <w:noWrap w:val="false"/>
          </w:tcPr>
          <w:p>
            <w:pPr>
              <w:pBdr/>
              <w:spacing w:after="40" w:before="40" w:line="288" w:lineRule="auto"/>
              <w:ind/>
              <w:jc w:val="right"/>
              <w:rPr/>
            </w:pPr>
            <w:r>
              <w:rPr>
                <w:color w:val="000000" w:themeColor="text1"/>
              </w:rPr>
              <w:t xml:space="preserve">5.845.500.000</w:t>
            </w:r>
            <w:r/>
          </w:p>
        </w:tc>
      </w:tr>
      <w:tr>
        <w:trPr>
          <w:trHeight w:val="20"/>
        </w:trPr>
        <w:tc>
          <w:tcPr>
            <w:shd w:val="clear" w:color="000000" w:fill="ffffff"/>
            <w:tcBorders/>
            <w:tcW w:w="749"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538" w:type="dxa"/>
            <w:vAlign w:val="center"/>
            <w:textDirection w:val="lrTb"/>
            <w:noWrap w:val="false"/>
          </w:tcPr>
          <w:p>
            <w:pPr>
              <w:pBdr/>
              <w:spacing w:after="40" w:before="40" w:line="288" w:lineRule="auto"/>
              <w:ind/>
              <w:rPr>
                <w:b w:val="0"/>
                <w:bCs w:val="0"/>
              </w:rPr>
            </w:pPr>
            <w:r>
              <w:rPr>
                <w:b w:val="0"/>
                <w:bCs w:val="0"/>
              </w:rPr>
              <w:t xml:space="preserve">Nhà 2 tầng cũ</w:t>
            </w:r>
            <w:r>
              <w:rPr>
                <w:b w:val="0"/>
                <w:bCs w:val="0"/>
              </w:rPr>
            </w:r>
            <w:r>
              <w:rPr>
                <w:b w:val="0"/>
                <w:bCs w:val="0"/>
              </w:rPr>
            </w:r>
          </w:p>
        </w:tc>
        <w:tc>
          <w:tcPr>
            <w:tcBorders/>
            <w:tcW w:w="1548" w:type="dxa"/>
            <w:vAlign w:val="center"/>
            <w:textDirection w:val="lrTb"/>
            <w:noWrap/>
          </w:tcPr>
          <w:p>
            <w:pPr>
              <w:pBdr/>
              <w:spacing w:after="40" w:before="40" w:line="288" w:lineRule="auto"/>
              <w:ind/>
              <w:jc w:val="center"/>
              <w:rPr>
                <w:color w:val="000000"/>
              </w:rPr>
            </w:pPr>
            <w:r>
              <w:rPr>
                <w:color w:val="000000" w:themeColor="text1"/>
              </w:rPr>
              <w:t xml:space="preserve">62</w:t>
            </w:r>
            <w:r>
              <w:rPr>
                <w:color w:val="000000"/>
              </w:rPr>
            </w:r>
            <w:r>
              <w:rPr>
                <w:color w:val="000000"/>
              </w:rPr>
            </w:r>
          </w:p>
        </w:tc>
        <w:tc>
          <w:tcPr>
            <w:shd w:val="clear" w:color="000000" w:fill="ffffff"/>
            <w:tcBorders/>
            <w:tcW w:w="1818" w:type="dxa"/>
            <w:vAlign w:val="center"/>
            <w:textDirection w:val="lrTb"/>
            <w:noWrap w:val="false"/>
          </w:tcPr>
          <w:p>
            <w:pPr>
              <w:pBdr/>
              <w:spacing w:after="40" w:before="40" w:line="288" w:lineRule="auto"/>
              <w:ind/>
              <w:jc w:val="center"/>
              <w:rPr/>
            </w:pPr>
            <w:r>
              <w:rPr>
                <w:color w:val="000000" w:themeColor="text1"/>
              </w:rPr>
              <w:t xml:space="preserve">7.249.913</w:t>
            </w:r>
            <w:r/>
          </w:p>
        </w:tc>
        <w:tc>
          <w:tcPr>
            <w:shd w:val="clear" w:color="000000" w:fill="ffffff"/>
            <w:tcBorders/>
            <w:tcW w:w="1473" w:type="dxa"/>
            <w:vAlign w:val="center"/>
            <w:textDirection w:val="lrTb"/>
            <w:noWrap w:val="false"/>
          </w:tcPr>
          <w:p>
            <w:pPr>
              <w:pBdr/>
              <w:spacing/>
              <w:ind/>
              <w:jc w:val="center"/>
              <w:rPr>
                <w:color w:val="000000" w:themeColor="text1"/>
              </w:rPr>
            </w:pPr>
            <w:r>
              <w:rPr>
                <w:color w:val="000000" w:themeColor="text1"/>
              </w:rPr>
              <w:t xml:space="preserve">60%</w:t>
            </w:r>
            <w:r>
              <w:rPr>
                <w:color w:val="000000" w:themeColor="text1"/>
              </w:rPr>
            </w:r>
            <w:r>
              <w:rPr>
                <w:color w:val="000000" w:themeColor="text1"/>
              </w:rPr>
            </w:r>
          </w:p>
        </w:tc>
        <w:tc>
          <w:tcPr>
            <w:shd w:val="clear" w:color="000000" w:fill="ffffff"/>
            <w:tcBorders/>
            <w:tcW w:w="1818" w:type="dxa"/>
            <w:vAlign w:val="center"/>
            <w:textDirection w:val="lrTb"/>
            <w:noWrap w:val="false"/>
          </w:tcPr>
          <w:p>
            <w:pPr>
              <w:pBdr/>
              <w:spacing w:after="40" w:before="40" w:line="288" w:lineRule="auto"/>
              <w:ind/>
              <w:jc w:val="right"/>
              <w:rPr/>
            </w:pPr>
            <w:r>
              <w:rPr>
                <w:color w:val="000000" w:themeColor="text1"/>
              </w:rPr>
              <w:t xml:space="preserve">269.696.764</w:t>
            </w:r>
            <w:r/>
          </w:p>
        </w:tc>
      </w:tr>
      <w:tr>
        <w:trPr>
          <w:trHeight w:val="20"/>
        </w:trPr>
        <w:tc>
          <w:tcPr>
            <w:gridSpan w:val="4"/>
            <w:tcBorders/>
            <w:tcW w:w="658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473" w:type="dxa"/>
            <w:vAlign w:val="center"/>
            <w:textDirection w:val="lrTb"/>
            <w:noWrap/>
          </w:tcPr>
          <w:p>
            <w:pPr>
              <w:pBdr/>
              <w:spacing/>
              <w:ind/>
              <w:rPr/>
            </w:pPr>
            <w:r/>
            <w:r/>
          </w:p>
        </w:tc>
        <w:tc>
          <w:tcPr>
            <w:tcBorders/>
            <w:tcW w:w="1818" w:type="dxa"/>
            <w:vAlign w:val="center"/>
            <w:textDirection w:val="lrTb"/>
            <w:noWrap/>
          </w:tcPr>
          <w:p>
            <w:pPr>
              <w:pBdr/>
              <w:spacing w:after="40" w:before="40" w:line="288" w:lineRule="auto"/>
              <w:ind/>
              <w:jc w:val="right"/>
              <w:rPr>
                <w:b/>
                <w:bCs/>
                <w:color w:val="000000"/>
              </w:rPr>
            </w:pPr>
            <w:r>
              <w:t xml:space="preserve">6.115.196.764</w:t>
            </w:r>
            <w:r>
              <w:rPr>
                <w:b/>
                <w:bCs/>
                <w:color w:val="000000"/>
              </w:rPr>
            </w:r>
            <w:r>
              <w:rPr>
                <w:b/>
                <w:bCs/>
                <w:color w:val="000000"/>
              </w:rPr>
            </w:r>
          </w:p>
        </w:tc>
      </w:tr>
      <w:tr>
        <w:trPr>
          <w:trHeight w:val="20"/>
        </w:trPr>
        <w:tc>
          <w:tcPr>
            <w:gridSpan w:val="4"/>
            <w:tcBorders/>
            <w:tcW w:w="658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473"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818" w:type="dxa"/>
            <w:vAlign w:val="center"/>
            <w:textDirection w:val="lrTb"/>
            <w:noWrap/>
          </w:tcPr>
          <w:p>
            <w:pPr>
              <w:pBdr/>
              <w:spacing w:after="40" w:before="40" w:line="288" w:lineRule="auto"/>
              <w:ind/>
              <w:jc w:val="right"/>
              <w:rPr>
                <w:b/>
                <w:bCs/>
                <w:color w:val="000000"/>
              </w:rPr>
            </w:pPr>
            <w:r>
              <w:rPr>
                <w:b/>
                <w:bCs/>
                <w:color w:val="000000"/>
              </w:rPr>
              <w:t xml:space="preserve">6.115.000.000</w:t>
            </w:r>
            <w:r>
              <w:rPr>
                <w:b/>
                <w:bCs/>
                <w:color w:val="000000"/>
              </w:rPr>
            </w:r>
            <w:r>
              <w:rPr>
                <w:b/>
                <w:bCs/>
                <w:color w:val="000000"/>
              </w:rPr>
            </w:r>
          </w:p>
        </w:tc>
      </w:tr>
      <w:tr>
        <w:trPr>
          <w:trHeight w:val="20"/>
        </w:trPr>
        <w:tc>
          <w:tcPr>
            <w:gridSpan w:val="6"/>
            <w:tcBorders/>
            <w:tcW w:w="9838" w:type="dxa"/>
            <w:vAlign w:val="center"/>
            <w:vMerge w:val="restart"/>
            <w:textDirection w:val="lrTb"/>
            <w:noWrap/>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một trăm mười lăm triệu đồng chẵn</w:t>
            </w:r>
            <w:r>
              <w:rPr>
                <w:b/>
                <w:bCs/>
                <w:i/>
                <w:iCs/>
                <w:color w:val="000000"/>
              </w:rPr>
              <w:t xml:space="preserve">./.)</w:t>
            </w:r>
            <w:r>
              <w:rPr>
                <w:b/>
                <w:bCs/>
                <w:i/>
                <w:iCs/>
                <w:color w:val="000000"/>
              </w:rPr>
            </w:r>
            <w:r>
              <w:rPr>
                <w:b/>
                <w:bCs/>
                <w:i/>
                <w:iCs/>
                <w:color w:val="000000"/>
              </w:rPr>
            </w:r>
          </w:p>
        </w:tc>
      </w:tr>
    </w:tbl>
    <w:p>
      <w:pPr>
        <w:pStyle w:val="104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275/2026/0889/VFI-CT.17.A</w:t>
      </w:r>
      <w:r>
        <w:rPr>
          <w:color w:val="ff0000"/>
          <w:lang w:val="vi-VN"/>
        </w:rPr>
        <w:t xml:space="preserve"> </w:t>
      </w:r>
      <w:r>
        <w:rPr>
          <w:color w:val="000000" w:themeColor="text1"/>
        </w:rPr>
        <w:t xml:space="preserve">ngày 12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5015" w:type="pct"/>
        <w:tblBorders/>
        <w:tblLayout w:type="fixed"/>
        <w:tblLook w:val="01E0" w:firstRow="1" w:lastRow="1" w:firstColumn="1" w:lastColumn="1" w:noHBand="0" w:noVBand="0"/>
      </w:tblPr>
      <w:tblGrid>
        <w:gridCol w:w="4871"/>
        <w:gridCol w:w="5058"/>
      </w:tblGrid>
      <w:tr>
        <w:trPr>
          <w:trHeight w:val="20"/>
        </w:trPr>
        <w:tc>
          <w:tcPr>
            <w:tcBorders/>
            <w:tcW w:w="48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058"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8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71"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058"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09" w:type="pct"/>
        <w:tblBorders/>
        <w:tblLayout w:type="fixed"/>
        <w:tblLook w:val="01E0" w:firstRow="1" w:lastRow="1" w:firstColumn="1" w:lastColumn="1" w:noHBand="0" w:noVBand="0"/>
      </w:tblPr>
      <w:tblGrid>
        <w:gridCol w:w="4861"/>
        <w:gridCol w:w="5058"/>
      </w:tblGrid>
      <w:tr>
        <w:trPr>
          <w:trHeight w:val="20"/>
        </w:trPr>
        <w:tc>
          <w:tcPr>
            <w:tcBorders/>
            <w:tcW w:w="4861"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5058"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86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61"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5058"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275/2026/0889/VFI-BC.17.A</w:t>
      </w:r>
      <w:r>
        <w:rPr>
          <w:i/>
        </w:rPr>
        <w:t xml:space="preserve"> ngày</w:t>
      </w:r>
      <w:r>
        <w:rPr>
          <w:i/>
          <w:lang w:val="pt-BR"/>
        </w:rPr>
        <w:t xml:space="preserve"> </w:t>
      </w:r>
      <w:r>
        <w:rPr>
          <w:i/>
          <w:lang w:val="pt-BR"/>
        </w:rPr>
        <w:t xml:space="preserve">12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33413" cy="35457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00971" name=""/>
                              <pic:cNvPicPr>
                                <a:picLocks noChangeAspect="1"/>
                              </pic:cNvPicPr>
                              <pic:nvPr/>
                            </pic:nvPicPr>
                            <pic:blipFill rotWithShape="1">
                              <a:blip r:embed="rId20"/>
                              <a:stretch/>
                            </pic:blipFill>
                            <pic:spPr bwMode="auto">
                              <a:xfrm flipH="0" flipV="0">
                                <a:off x="0" y="0"/>
                                <a:ext cx="2133413" cy="35457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7.99pt;height:279.19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44904" cy="353316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33868" name=""/>
                              <pic:cNvPicPr>
                                <a:picLocks noChangeAspect="1"/>
                              </pic:cNvPicPr>
                              <pic:nvPr/>
                            </pic:nvPicPr>
                            <pic:blipFill rotWithShape="1">
                              <a:blip r:embed="rId21"/>
                              <a:stretch/>
                            </pic:blipFill>
                            <pic:spPr bwMode="auto">
                              <a:xfrm flipH="0" flipV="0">
                                <a:off x="0" y="0"/>
                                <a:ext cx="2244904" cy="35331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6.76pt;height:278.2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6247" cy="19471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04013" name=""/>
                              <pic:cNvPicPr>
                                <a:picLocks noChangeAspect="1"/>
                              </pic:cNvPicPr>
                              <pic:nvPr/>
                            </pic:nvPicPr>
                            <pic:blipFill rotWithShape="1">
                              <a:blip r:embed="rId23"/>
                              <a:stretch/>
                            </pic:blipFill>
                            <pic:spPr bwMode="auto">
                              <a:xfrm flipH="0" flipV="0">
                                <a:off x="0" y="0"/>
                                <a:ext cx="2596246" cy="1947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4.43pt;height:153.3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17772" cy="20383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22054" name=""/>
                              <pic:cNvPicPr>
                                <a:picLocks noChangeAspect="1"/>
                              </pic:cNvPicPr>
                              <pic:nvPr/>
                            </pic:nvPicPr>
                            <pic:blipFill rotWithShape="1">
                              <a:blip r:embed="rId24"/>
                              <a:stretch/>
                            </pic:blipFill>
                            <pic:spPr bwMode="auto">
                              <a:xfrm rot="10799989" flipH="0" flipV="1">
                                <a:off x="0" y="0"/>
                                <a:ext cx="2717772" cy="2038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4.00pt;height:160.50pt;mso-wrap-distance-left:0.00pt;mso-wrap-distance-top:0.00pt;mso-wrap-distance-right:0.00pt;mso-wrap-distance-bottom:0.00pt;rotation:179;flip:y;z-index:1;" stroked="false">
                      <v:imagedata r:id="rId24"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10822" cy="195811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81242" name=""/>
                              <pic:cNvPicPr>
                                <a:picLocks noChangeAspect="1"/>
                              </pic:cNvPicPr>
                              <pic:nvPr/>
                            </pic:nvPicPr>
                            <pic:blipFill rotWithShape="1">
                              <a:blip r:embed="rId25"/>
                              <a:stretch/>
                            </pic:blipFill>
                            <pic:spPr bwMode="auto">
                              <a:xfrm flipH="0" flipV="0">
                                <a:off x="0" y="0"/>
                                <a:ext cx="2610822" cy="19581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5.58pt;height:154.18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mc:AlternateContent>
          <mc:Choice Requires="wpg">
            <w:drawing>
              <wp:inline xmlns:wp="http://schemas.openxmlformats.org/drawingml/2006/wordprocessingDrawing" distT="0" distB="0" distL="0" distR="0">
                <wp:extent cx="5791200" cy="92482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63452" name=""/>
                        <pic:cNvPicPr>
                          <a:picLocks noChangeAspect="1"/>
                        </pic:cNvPicPr>
                        <pic:nvPr/>
                      </pic:nvPicPr>
                      <pic:blipFill rotWithShape="1">
                        <a:blip r:embed="rId26"/>
                        <a:stretch/>
                      </pic:blipFill>
                      <pic:spPr bwMode="auto">
                        <a:xfrm flipH="0" flipV="0">
                          <a:off x="0" y="0"/>
                          <a:ext cx="5791199" cy="9248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6.00pt;height:728.21pt;mso-wrap-distance-left:0.00pt;mso-wrap-distance-top:0.00pt;mso-wrap-distance-right:0.00pt;mso-wrap-distance-bottom:0.00pt;z-index:1;" stroked="false">
                <v:imagedata r:id="rId26"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6063003" cy="93149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09689" name=""/>
                        <pic:cNvPicPr>
                          <a:picLocks noChangeAspect="1"/>
                        </pic:cNvPicPr>
                        <pic:nvPr/>
                      </pic:nvPicPr>
                      <pic:blipFill rotWithShape="1">
                        <a:blip r:embed="rId27"/>
                        <a:stretch/>
                      </pic:blipFill>
                      <pic:spPr bwMode="auto">
                        <a:xfrm flipH="0" flipV="0">
                          <a:off x="0" y="0"/>
                          <a:ext cx="6063002" cy="93149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7.40pt;height:733.46pt;mso-wrap-distance-left:0.00pt;mso-wrap-distance-top:0.00pt;mso-wrap-distance-right:0.00pt;mso-wrap-distance-bottom:0.00pt;z-index:1;" stroked="false">
                <v:imagedata r:id="rId27"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5991225" cy="93530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62715" name=""/>
                        <pic:cNvPicPr>
                          <a:picLocks noChangeAspect="1"/>
                        </pic:cNvPicPr>
                        <pic:nvPr/>
                      </pic:nvPicPr>
                      <pic:blipFill rotWithShape="1">
                        <a:blip r:embed="rId28"/>
                        <a:stretch/>
                      </pic:blipFill>
                      <pic:spPr bwMode="auto">
                        <a:xfrm flipH="0" flipV="0">
                          <a:off x="0" y="0"/>
                          <a:ext cx="5991224" cy="9353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1.75pt;height:736.46pt;mso-wrap-distance-left:0.00pt;mso-wrap-distance-top:0.00pt;mso-wrap-distance-right:0.00pt;mso-wrap-distance-bottom:0.00pt;z-index:1;" stroked="false">
                <v:imagedata r:id="rId28"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6048375" cy="939111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25486" name=""/>
                        <pic:cNvPicPr>
                          <a:picLocks noChangeAspect="1"/>
                        </pic:cNvPicPr>
                        <pic:nvPr/>
                      </pic:nvPicPr>
                      <pic:blipFill rotWithShape="1">
                        <a:blip r:embed="rId29"/>
                        <a:stretch/>
                      </pic:blipFill>
                      <pic:spPr bwMode="auto">
                        <a:xfrm flipH="0" flipV="0">
                          <a:off x="0" y="0"/>
                          <a:ext cx="6048374" cy="9391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739.46pt;mso-wrap-distance-left:0.00pt;mso-wrap-distance-top:0.00pt;mso-wrap-distance-right:0.00pt;mso-wrap-distance-bottom:0.00pt;z-index:1;" stroked="false">
                <v:imagedata r:id="rId29" o:title=""/>
                <o:lock v:ext="edit" rotation="t"/>
              </v:shape>
            </w:pict>
          </mc:Fallback>
        </mc:AlternateContent>
      </w:r>
      <w:r/>
    </w:p>
    <w:p>
      <w:pPr>
        <w:pBdr/>
        <w:spacing w:after="200" w:line="276" w:lineRule="auto"/>
        <w:ind/>
        <w:jc w:val="center"/>
        <w:rPr/>
      </w:pPr>
      <w:r>
        <mc:AlternateContent>
          <mc:Choice Requires="wpg">
            <w:drawing>
              <wp:inline xmlns:wp="http://schemas.openxmlformats.org/drawingml/2006/wordprocessingDrawing" distT="0" distB="0" distL="0" distR="0">
                <wp:extent cx="5743575" cy="934348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29775" name=""/>
                        <pic:cNvPicPr>
                          <a:picLocks noChangeAspect="1"/>
                        </pic:cNvPicPr>
                        <pic:nvPr/>
                      </pic:nvPicPr>
                      <pic:blipFill rotWithShape="1">
                        <a:blip r:embed="rId30"/>
                        <a:stretch/>
                      </pic:blipFill>
                      <pic:spPr bwMode="auto">
                        <a:xfrm flipH="0" flipV="0">
                          <a:off x="0" y="0"/>
                          <a:ext cx="5743574" cy="9343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52.25pt;height:735.71pt;mso-wrap-distance-left:0.00pt;mso-wrap-distance-top:0.00pt;mso-wrap-distance-right:0.00pt;mso-wrap-distance-bottom:0.00pt;z-index:1;" stroked="false">
                <v:imagedata r:id="rId30"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275/2026/0889/VFI-BC.17.A</w:t>
      </w:r>
      <w:r>
        <w:rPr>
          <w:i/>
        </w:rPr>
        <w:t xml:space="preserve"> ngày</w:t>
      </w:r>
      <w:r>
        <w:rPr>
          <w:i/>
          <w:lang w:val="pt-BR"/>
        </w:rPr>
        <w:t xml:space="preserve"> </w:t>
      </w:r>
      <w:r>
        <w:rPr>
          <w:i/>
          <w:lang w:val="pt-BR"/>
        </w:rPr>
        <w:t xml:space="preserve">12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0904263656</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Phúc Tân, Quận Hoàn Kiếm, Thành phố Hà Nội. Cách trục chính phố Thanh Yên khoảng 30m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35078" cy="3830643"/>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4935077" cy="38306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88.59pt;height:301.63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4676"/>
      </w:tblGrid>
      <w:tr>
        <w:trPr>
          <w:jc w:val="center"/>
          <w:trHeight w:val="283"/>
        </w:trPr>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0966093333</w:t>
            </w:r>
            <w:r>
              <w:rPr>
                <w:sz w:val="22"/>
                <w:szCs w:val="22"/>
              </w:rPr>
              <w:t xml:space="preserve"> </w:t>
            </w:r>
            <w:r>
              <w:rPr>
                <w:sz w:val="22"/>
                <w:szCs w:val="22"/>
              </w:rPr>
              <w:br/>
              <w:t xml:space="preserve">(Dũng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Phúc Tân, Quận Hoàn Kiếm, Thành phố Hà Nội. Cách mặt phố Nguyên Khiết khoảng 30m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31920" cy="4642128"/>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331920" cy="46421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3.62pt;height:365.52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38339" cy="4642128"/>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2238338" cy="46421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76.25pt;height:365.52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4503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450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4.65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468" w:type="dxa"/>
        <w:tblBorders/>
        <w:tblLayout w:type="fixed"/>
        <w:tblLook w:val="04A0" w:firstRow="1" w:lastRow="0" w:firstColumn="1" w:lastColumn="0" w:noHBand="0" w:noVBand="1"/>
      </w:tblPr>
      <w:tblGrid>
        <w:gridCol w:w="9468"/>
      </w:tblGrid>
      <w:tr>
        <w:trPr>
          <w:trHeight w:val="298"/>
        </w:trPr>
        <w:tc>
          <w:tcPr>
            <w:tcBorders/>
            <w:tcW w:w="9468"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9468"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0966093333</w:t>
            </w:r>
            <w:r>
              <w:rPr>
                <w:sz w:val="22"/>
                <w:szCs w:val="22"/>
              </w:rPr>
              <w:t xml:space="preserve"> </w:t>
            </w:r>
            <w:r>
              <w:rPr>
                <w:sz w:val="22"/>
                <w:szCs w:val="22"/>
              </w:rPr>
              <w:br/>
              <w:t xml:space="preserve">(Dũng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Phúc Tân, Quận Hoàn Kiếm, Thành phố Hà Nội. Cách mặt phố Phúc Tân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67065" cy="4384953"/>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2267065" cy="43849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78.51pt;height:345.27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65933" cy="4384953"/>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2365933" cy="43849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86.29pt;height:345.27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5938"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40.63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0068"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142006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11.82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44.44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58" w:type="dxa"/>
        <w:tblBorders/>
        <w:tblLayout w:type="fixed"/>
        <w:tblLook w:val="04A0" w:firstRow="1" w:lastRow="0" w:firstColumn="1" w:lastColumn="0" w:noHBand="0" w:noVBand="1"/>
      </w:tblPr>
      <w:tblGrid>
        <w:gridCol w:w="9558"/>
      </w:tblGrid>
      <w:tr>
        <w:trPr>
          <w:trHeight w:val="312"/>
        </w:trPr>
        <w:tc>
          <w:tcPr>
            <w:tcBorders/>
            <w:tcW w:w="9558"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9558"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864" w:right="476" w:bottom="58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49EBC5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44A93C9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0D575BE5"/>
    <w:lvl w:ilvl="0">
      <w:isLgl w:val="false"/>
      <w:lvlJc w:val="left"/>
      <w:lvlText w:val=""/>
      <w:numFmt w:val="bullet"/>
      <w:pPr>
        <w:pBdr/>
        <w:spacing/>
        <w:ind w:hanging="360" w:left="1440"/>
      </w:pPr>
      <w:rPr>
        <w:rFonts w:hint="default" w:ascii="Wingdings" w:hAnsi="Wingdings" w:eastAsia="Wingdings" w:cs="Wingdings"/>
      </w:rPr>
      <w:start w:val="1"/>
      <w:suff w:val="tab"/>
    </w:lvl>
    <w:lvl w:ilvl="1">
      <w:isLgl w:val="false"/>
      <w:lvlJc w:val="left"/>
      <w:lvlText w:val="o"/>
      <w:numFmt w:val="bullet"/>
      <w:pPr>
        <w:pBdr/>
        <w:spacing/>
        <w:ind w:hanging="360" w:left="2160"/>
      </w:pPr>
      <w:rPr>
        <w:rFonts w:hint="default" w:ascii="Courier New" w:hAnsi="Courier New" w:eastAsia="Courier New" w:cs="Courier New"/>
      </w:rPr>
      <w:start w:val="1"/>
      <w:suff w:val="tab"/>
    </w:lvl>
    <w:lvl w:ilvl="2">
      <w:isLgl w:val="false"/>
      <w:lvlJc w:val="left"/>
      <w:lvlText w:val=""/>
      <w:numFmt w:val="bullet"/>
      <w:pPr>
        <w:pBdr/>
        <w:spacing/>
        <w:ind w:hanging="360" w:left="2880"/>
      </w:pPr>
      <w:rPr>
        <w:rFonts w:hint="default" w:ascii="Wingdings" w:hAnsi="Wingdings" w:eastAsia="Wingdings" w:cs="Wingdings"/>
      </w:rPr>
      <w:start w:val="1"/>
      <w:suff w:val="tab"/>
    </w:lvl>
    <w:lvl w:ilvl="3">
      <w:isLgl w:val="false"/>
      <w:lvlJc w:val="left"/>
      <w:lvlText w:val=""/>
      <w:numFmt w:val="bullet"/>
      <w:pPr>
        <w:pBdr/>
        <w:spacing/>
        <w:ind w:hanging="360" w:left="3600"/>
      </w:pPr>
      <w:rPr>
        <w:rFonts w:hint="default" w:ascii="Symbol" w:hAnsi="Symbol" w:eastAsia="Symbol" w:cs="Symbol"/>
      </w:rPr>
      <w:start w:val="1"/>
      <w:suff w:val="tab"/>
    </w:lvl>
    <w:lvl w:ilvl="4">
      <w:isLgl w:val="false"/>
      <w:lvlJc w:val="left"/>
      <w:lvlText w:val="o"/>
      <w:numFmt w:val="bullet"/>
      <w:pPr>
        <w:pBdr/>
        <w:spacing/>
        <w:ind w:hanging="360" w:left="4320"/>
      </w:pPr>
      <w:rPr>
        <w:rFonts w:hint="default" w:ascii="Courier New" w:hAnsi="Courier New" w:eastAsia="Courier New" w:cs="Courier New"/>
      </w:rPr>
      <w:start w:val="1"/>
      <w:suff w:val="tab"/>
    </w:lvl>
    <w:lvl w:ilvl="5">
      <w:isLgl w:val="false"/>
      <w:lvlJc w:val="left"/>
      <w:lvlText w:val=""/>
      <w:numFmt w:val="bullet"/>
      <w:pPr>
        <w:pBdr/>
        <w:spacing/>
        <w:ind w:hanging="360" w:left="5040"/>
      </w:pPr>
      <w:rPr>
        <w:rFonts w:hint="default" w:ascii="Wingdings" w:hAnsi="Wingdings" w:eastAsia="Wingdings" w:cs="Wingdings"/>
      </w:rPr>
      <w:start w:val="1"/>
      <w:suff w:val="tab"/>
    </w:lvl>
    <w:lvl w:ilvl="6">
      <w:isLgl w:val="false"/>
      <w:lvlJc w:val="left"/>
      <w:lvlText w:val=""/>
      <w:numFmt w:val="bullet"/>
      <w:pPr>
        <w:pBdr/>
        <w:spacing/>
        <w:ind w:hanging="360" w:left="5760"/>
      </w:pPr>
      <w:rPr>
        <w:rFonts w:hint="default" w:ascii="Symbol" w:hAnsi="Symbol" w:eastAsia="Symbol" w:cs="Symbol"/>
      </w:rPr>
      <w:start w:val="1"/>
      <w:suff w:val="tab"/>
    </w:lvl>
    <w:lvl w:ilvl="7">
      <w:isLgl w:val="false"/>
      <w:lvlJc w:val="left"/>
      <w:lvlText w:val="o"/>
      <w:numFmt w:val="bullet"/>
      <w:pPr>
        <w:pBdr/>
        <w:spacing/>
        <w:ind w:hanging="360" w:left="6480"/>
      </w:pPr>
      <w:rPr>
        <w:rFonts w:hint="default" w:ascii="Courier New" w:hAnsi="Courier New" w:eastAsia="Courier New" w:cs="Courier New"/>
      </w:rPr>
      <w:start w:val="1"/>
      <w:suff w:val="tab"/>
    </w:lvl>
    <w:lvl w:ilvl="8">
      <w:isLgl w:val="false"/>
      <w:lvlJc w:val="left"/>
      <w:lvlText w:val=""/>
      <w:numFmt w:val="bullet"/>
      <w:pPr>
        <w:pBdr/>
        <w:spacing/>
        <w:ind w:hanging="360" w:left="7200"/>
      </w:pPr>
      <w:rPr>
        <w:rFonts w:hint="default" w:ascii="Wingdings" w:hAnsi="Wingdings" w:eastAsia="Wingdings" w:cs="Wingdings"/>
      </w:rPr>
      <w:start w:val="1"/>
      <w:suff w:val="tab"/>
    </w:lvl>
  </w:abstractNum>
  <w:abstractNum w:abstractNumId="40">
    <w:nsid w:val="396A1FE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name w:val="Unresolved Mention"/>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jpg"/><Relationship Id="rId38" Type="http://schemas.openxmlformats.org/officeDocument/2006/relationships/image" Target="media/image23.jpg"/><Relationship Id="rId39" Type="http://schemas.openxmlformats.org/officeDocument/2006/relationships/image" Target="media/image24.jpg"/><Relationship Id="rId40" Type="http://schemas.openxmlformats.org/officeDocument/2006/relationships/image" Target="media/image25.jpg"/><Relationship Id="rId41" Type="http://schemas.openxmlformats.org/officeDocument/2006/relationships/image" Target="media/image26.jpg"/><Relationship Id="rId42" Type="http://schemas.openxmlformats.org/officeDocument/2006/relationships/image" Target="media/image27.jpg"/><Relationship Id="rId43" Type="http://schemas.openxmlformats.org/officeDocument/2006/relationships/image" Target="media/image28.jpg"/><Relationship Id="rId44" Type="http://schemas.openxmlformats.org/officeDocument/2006/relationships/image" Target="media/image29.jpg"/><Relationship Id="rId45" Type="http://schemas.openxmlformats.org/officeDocument/2006/relationships/image" Target="media/image3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514</cp:revision>
  <dcterms:created xsi:type="dcterms:W3CDTF">2025-09-15T02:01:00Z</dcterms:created>
  <dcterms:modified xsi:type="dcterms:W3CDTF">2026-06-16T01:51:04Z</dcterms:modified>
</cp:coreProperties>
</file>