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7121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7120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275/2026/0944/VFI-CT.44.A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CÔNG HOÀNG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có địa chỉ: 22 phố Trần Nhật Duật, phường Đồng Xuân, quận Hoàn Kiếm, thành phố Hà Nội (nay là phường Hoàn Kiếm, thà</w:t>
                            </w:r>
                            <w:r>
                              <w:rPr>
                                <w:color w:val="000000"/>
                              </w:rPr>
                              <w:t xml:space="preserve">nh phố Hà Nội) theo Giấy chứng nhận quyền sử dụng đất, quyền sở hữu nhà ở và tài sản khác gắn liền với đất số: CC 263730, số vào sổ cấp GCN: CSHK 00083 d</w:t>
                            </w:r>
                            <w:r>
                              <w:rPr>
                                <w:color w:val="000000"/>
                              </w:rPr>
                              <w:t xml:space="preserve">o Sở tài nguyên và môi trường thành phố Hà N</w:t>
                            </w:r>
                            <w:r>
                              <w:rPr>
                                <w:color w:val="000000"/>
                              </w:rPr>
                              <w:t xml:space="preserve">ội cấp ngày 17/12/2015 cho Ông Lê Công Hoàng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w:t>
                            </w:r>
                            <w:r>
                              <w:rPr>
                                <w:b/>
                                <w:bCs/>
                                <w:lang w:val="pt-BR"/>
                              </w:rPr>
                              <w:t xml:space="preserve"> thẩm định: </w:t>
                            </w:r>
                            <w:r>
                              <w:rPr>
                                <w:color w:val="000000" w:themeColor="text1"/>
                                <w:lang w:val="pt-BR"/>
                              </w:rPr>
                              <w:t xml:space="preserve">Tháng 06/</w:t>
                            </w:r>
                            <w:r>
                              <w:rPr>
                                <w:color w:val="000000" w:themeColor="text1"/>
                                <w:lang w:val="pt-BR"/>
                              </w:rPr>
                              <w:t xml:space="preserve">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5.4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275/2026/0944/VFI-CT.44.A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CÔNG HOÀNG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có địa chỉ: 22 phố Trần Nhật Duật, phường Đồng Xuân, quận Hoàn Kiếm, thành phố Hà Nội (nay là phường Hoàn Kiếm, thà</w:t>
                      </w:r>
                      <w:r>
                        <w:rPr>
                          <w:color w:val="000000"/>
                        </w:rPr>
                        <w:t xml:space="preserve">nh phố Hà Nội) theo Giấy chứng nhận quyền sử dụng đất, quyền sở hữu nhà ở và tài sản khác gắn liền với đất số: CC 263730, số vào sổ cấp GCN: CSHK 00083 d</w:t>
                      </w:r>
                      <w:r>
                        <w:rPr>
                          <w:color w:val="000000"/>
                        </w:rPr>
                        <w:t xml:space="preserve">o Sở tài nguyên và môi trường thành phố Hà N</w:t>
                      </w:r>
                      <w:r>
                        <w:rPr>
                          <w:color w:val="000000"/>
                        </w:rPr>
                        <w:t xml:space="preserve">ội cấp ngày 17/12/2015 cho Ông Lê Công Hoàng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w:t>
                      </w:r>
                      <w:r>
                        <w:rPr>
                          <w:b/>
                          <w:bCs/>
                          <w:lang w:val="pt-BR"/>
                        </w:rPr>
                        <w:t xml:space="preserve"> thẩm định: </w:t>
                      </w:r>
                      <w:r>
                        <w:rPr>
                          <w:color w:val="000000" w:themeColor="text1"/>
                          <w:lang w:val="pt-BR"/>
                        </w:rPr>
                        <w:t xml:space="preserve">Tháng 06/</w:t>
                      </w:r>
                      <w:r>
                        <w:rPr>
                          <w:color w:val="000000" w:themeColor="text1"/>
                          <w:lang w:val="pt-BR"/>
                        </w:rPr>
                        <w:t xml:space="preserve">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4-20</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21</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22</w:t>
            </w:r>
            <w:r>
              <w:rPr>
                <w:b/>
                <w:bCs/>
                <w:highlight w:val="white"/>
              </w:rPr>
              <w:t xml:space="preserve">-28</w:t>
            </w:r>
            <w:r>
              <w:rPr>
                <w:b/>
                <w:bCs/>
                <w:highlight w:val="white"/>
              </w:rPr>
            </w:r>
            <w:r>
              <w:rPr>
                <w:b/>
                <w:bCs/>
                <w:highlight w:val="white"/>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275/2026/0944/VFI-CT.44.A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24 tháng 6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CÔNG HOÀNG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275/2026/0944/VFI-HĐTĐ.44.A</w:t>
      </w:r>
      <w:r>
        <w:rPr>
          <w:spacing w:val="-4"/>
          <w:lang w:val="vi-VN"/>
        </w:rPr>
        <w:t xml:space="preserve"> ký ngày </w:t>
      </w:r>
      <w:r>
        <w:rPr>
          <w:color w:val="000000" w:themeColor="text1"/>
          <w:spacing w:val="-4"/>
        </w:rPr>
        <w:t xml:space="preserve">18 tháng 6 năm 2026</w:t>
      </w:r>
      <w:r>
        <w:rPr>
          <w:spacing w:val="-4"/>
          <w:lang w:val="vi-VN"/>
        </w:rPr>
        <w:t xml:space="preserve"> </w:t>
      </w:r>
      <w:r>
        <w:rPr>
          <w:spacing w:val="-4"/>
          <w:lang w:val="vi-VN"/>
        </w:rPr>
        <w:t xml:space="preserve">giữa </w:t>
      </w:r>
      <w:r>
        <w:rPr>
          <w:color w:val="000000" w:themeColor="text1"/>
          <w:spacing w:val="-4"/>
        </w:rPr>
        <w:t xml:space="preserve">Ông Lê Công Hoàng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275/2026/0944/VFI-BC.44.A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ÔNG LÊ CÔNG HOÀNG</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có địa chỉ: 22 phố Trần Nhật Duật, phường Đồng Xuân, quận Hoàn Kiếm, thành phố Hà Nội (nay là phường</w:t>
      </w:r>
      <w:r>
        <w:rPr>
          <w:color w:val="000000" w:themeColor="text1"/>
        </w:rPr>
        <w:t xml:space="preserve"> Hoàn Kiếm, thành phố Hà Nội) theo Giấy chứng nhận quyền sử dụng đất, quyền sở hữu nhà ở và tài sản khác gắn liền với đất số: CC 263730, số vào sổ cấp GCN: CSHK 00083 do Sở tài nguyên và môi trường thành phố Hà Nội cấp ngày 17/12/2015 cho Ông Lê Công Hoàng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62"/>
        <w:gridCol w:w="1614"/>
        <w:gridCol w:w="1808"/>
        <w:gridCol w:w="1622"/>
        <w:gridCol w:w="1271"/>
        <w:gridCol w:w="2154"/>
      </w:tblGrid>
      <w:tr>
        <w:trPr>
          <w:trHeight w:val="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66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TT</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14"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Tài sản</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808"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Diện tích (m²)</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Đơn giá (đồng/m²)</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271"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Hệ số/</w:t>
              <w:br/>
              <w:t xml:space="preserve">CLCL (%)</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Thành tiền (đồng)</w:t>
            </w:r>
            <w:r>
              <w:rPr>
                <w:sz w:val="24"/>
                <w:szCs w:val="24"/>
              </w:rPr>
            </w:r>
            <w:r>
              <w:rPr>
                <w:sz w:val="24"/>
                <w:szCs w:val="24"/>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6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1</w:t>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6315" w:type="dxa"/>
            <w:vAlign w:val="center"/>
            <w:textDirection w:val="lrTb"/>
            <w:noWrap w:val="false"/>
          </w:tcPr>
          <w:p>
            <w:pPr>
              <w:suppressLineNumbers w:val="false"/>
              <w:pBdr/>
              <w:spacing w:after="14" w:afterAutospacing="0" w:before="14" w:beforeAutospacing="0" w:line="240" w:lineRule="auto"/>
              <w:ind w:right="144" w:left="144"/>
              <w:jc w:val="both"/>
              <w:rPr>
                <w:sz w:val="24"/>
                <w:szCs w:val="24"/>
              </w:rPr>
            </w:pPr>
            <w:r>
              <w:rPr>
                <w:rFonts w:ascii="Times New Roman" w:hAnsi="Times New Roman" w:eastAsia="Times New Roman" w:cs="Times New Roman"/>
                <w:b/>
                <w:color w:val="000000"/>
                <w:sz w:val="24"/>
                <w:szCs w:val="24"/>
              </w:rPr>
              <w:t xml:space="preserve">Quyền sử dụng đất tại thửa đất có địa chỉ: 22 phố Trần Nhật Duật, phường Đồng Xuân, quận Hoàn Kiếm, thành phố Hà Nội (nay là phường Hoàn Kiếm, thành phố Hà Nội) theo Giấy chứng nhận quyền sử dụng đất, quyền sở hữu nhà ở và tài sản khác gắn liền với đất số:</w:t>
            </w:r>
            <w:r>
              <w:rPr>
                <w:rFonts w:ascii="Times New Roman" w:hAnsi="Times New Roman" w:eastAsia="Times New Roman" w:cs="Times New Roman"/>
                <w:b/>
                <w:color w:val="000000"/>
                <w:sz w:val="24"/>
                <w:szCs w:val="24"/>
              </w:rPr>
              <w:t xml:space="preserve"> CC 263730, số vào sổ cấp GCN: CSHK 00083 do Sở tài nguyên và môi trường thành phố Hà Nội cấp ngày 17/12/2015 cho Ông Lê Công Hoàng</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14" w:afterAutospacing="0" w:before="14" w:beforeAutospacing="0" w:line="240" w:lineRule="auto"/>
              <w:ind w:right="144" w:left="144"/>
              <w:jc w:val="right"/>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6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14" w:type="dxa"/>
            <w:vAlign w:val="center"/>
            <w:textDirection w:val="lrTb"/>
            <w:noWrap w:val="false"/>
          </w:tcPr>
          <w:p>
            <w:pPr>
              <w:suppressLineNumbers w:val="false"/>
              <w:pBdr/>
              <w:spacing w:after="14" w:afterAutospacing="0" w:before="14" w:beforeAutospacing="0" w:line="240" w:lineRule="auto"/>
              <w:ind w:right="144" w:left="144"/>
              <w:rPr>
                <w:sz w:val="24"/>
                <w:szCs w:val="24"/>
              </w:rPr>
            </w:pPr>
            <w:r>
              <w:rPr>
                <w:rFonts w:ascii="Times New Roman" w:hAnsi="Times New Roman" w:eastAsia="Times New Roman" w:cs="Times New Roman"/>
                <w:color w:val="000000"/>
                <w:sz w:val="24"/>
                <w:szCs w:val="24"/>
              </w:rPr>
              <w:t xml:space="preserve">Đất ở</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08" w:type="dxa"/>
            <w:vAlign w:val="center"/>
            <w:textDirection w:val="lrTb"/>
            <w:noWrap w:val="false"/>
          </w:tcPr>
          <w:p>
            <w:pPr>
              <w:suppressLineNumbers w:val="false"/>
              <w:pBdr/>
              <w:spacing w:after="14" w:afterAutospacing="0" w:before="14"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71,3</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suppressLineNumbers w:val="false"/>
              <w:pBdr/>
              <w:spacing w:after="14" w:afterAutospacing="0" w:before="14"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  856.000.000</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271" w:type="dxa"/>
            <w:vAlign w:val="center"/>
            <w:textDirection w:val="lrTb"/>
            <w:noWrap w:val="false"/>
          </w:tcPr>
          <w:p>
            <w:pPr>
              <w:suppressLineNumbers w:val="false"/>
              <w:pBdr/>
              <w:spacing w:after="14" w:afterAutospacing="0" w:before="14" w:beforeAutospacing="0" w:line="240" w:lineRule="auto"/>
              <w:ind w:right="144" w:left="144"/>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14" w:afterAutospacing="0" w:before="14"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61.032.800.000</w:t>
            </w:r>
            <w:r>
              <w:rPr>
                <w:sz w:val="24"/>
                <w:szCs w:val="24"/>
              </w:rPr>
            </w:r>
            <w:r>
              <w:rPr>
                <w:sz w:val="24"/>
                <w:szCs w:val="24"/>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6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14" w:type="dxa"/>
            <w:vAlign w:val="center"/>
            <w:textDirection w:val="lrTb"/>
            <w:noWrap w:val="false"/>
          </w:tcPr>
          <w:p>
            <w:pPr>
              <w:suppressLineNumbers w:val="false"/>
              <w:pBdr/>
              <w:spacing w:after="14" w:afterAutospacing="0" w:before="14" w:beforeAutospacing="0" w:line="240" w:lineRule="auto"/>
              <w:ind w:right="144" w:left="144"/>
              <w:rPr>
                <w:sz w:val="24"/>
                <w:szCs w:val="24"/>
              </w:rPr>
            </w:pPr>
            <w:r>
              <w:rPr>
                <w:rFonts w:ascii="Times New Roman" w:hAnsi="Times New Roman" w:eastAsia="Times New Roman" w:cs="Times New Roman"/>
                <w:color w:val="000000"/>
                <w:sz w:val="24"/>
                <w:szCs w:val="24"/>
              </w:rPr>
              <w:t xml:space="preserve">Nhà 7 tầng</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499,1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7.433.216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88%</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3.264.727.933</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6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315"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Tổng cộng</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64.297.527.933</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6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315"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Làm tròn</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64.298.000.000</w:t>
            </w:r>
            <w:r/>
          </w:p>
        </w:tc>
      </w:tr>
      <w:tr>
        <w:trPr>
          <w:trHeight w:val="0"/>
        </w:trPr>
        <w:tc>
          <w:tcPr>
            <w:gridSpan w:val="6"/>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91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Sáu mươi tư tỷ hai trăm chín mươi tám triệu đồng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33" w:type="dxa"/>
        <w:tblBorders/>
        <w:tblLayout w:type="fixed"/>
        <w:tblLook w:val="04A0" w:firstRow="1" w:lastRow="0" w:firstColumn="1" w:lastColumn="0" w:noHBand="0" w:noVBand="1"/>
      </w:tblPr>
      <w:tblGrid>
        <w:gridCol w:w="1729"/>
        <w:gridCol w:w="3373"/>
        <w:gridCol w:w="5102"/>
        <w:gridCol w:w="29"/>
      </w:tblGrid>
      <w:tr>
        <w:trPr>
          <w:trHeight w:val="1843"/>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102"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275/2026/0944/VFI-</w:t>
            </w:r>
            <w:r>
              <w:rPr>
                <w:rStyle w:val="1031"/>
                <w:rFonts w:ascii="Times New Roman" w:hAnsi="Times New Roman"/>
                <w:color w:val="000000" w:themeColor="text1"/>
                <w:lang w:val="pt-BR"/>
              </w:rPr>
              <w:t xml:space="preserve">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02"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24 tháng 6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275/2026/0944/VFI-CT.44.A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522"/>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Tên khách hàng</w:t>
            </w: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ÔNG LÊ CÔNG HOÀNG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có địa chỉ: 22 phố Trần Nhật Duật, phường Đồng Xuân, quận Hoàn Kiếm, thành phố Hà Nội (nay là phường</w:t>
            </w:r>
            <w:r>
              <w:rPr>
                <w:bCs/>
                <w:color w:val="000000" w:themeColor="text1"/>
                <w:lang w:val="pt-BR"/>
              </w:rPr>
              <w:t xml:space="preserve"> Hoàn Kiếm, thành phố Hà Nội) theo Giấy chứng nhận quyền sử dụng đất, quyền sở hữu nhà ở và tài sản khác gắn liền với đất số: CC 263730, số vào sổ cấp GCN: CSHK 00083 do Sở tài nguyên và môi trường thành phố Hà Nội cấp ngày 17/12/2015 cho Ông Lê Công Hoàng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highlight w:val="white"/>
              </w:rPr>
              <w:t xml:space="preserve">Phường Hoàn Kiếm, TP Hà Nội</w:t>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21.0390533, 105.8512617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22/06/2026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CC 263730, Số vào sổ cấp GCN: CSHK 00083 do Sở tài nguyên và môi trường thành phố Hà Nội cấp ngày 17/12/2015 cho Ông Lê Công Hoàng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highlight w:val="white"/>
        </w:rPr>
        <w:t xml:space="preserve">Hợp đồng số </w:t>
      </w:r>
      <w:r>
        <w:rPr>
          <w:rFonts w:ascii="Times New Roman" w:hAnsi="Times New Roman" w:eastAsia="Times New Roman" w:cs="Times New Roman"/>
          <w:color w:val="000000"/>
          <w:spacing w:val="-4"/>
          <w:sz w:val="24"/>
          <w:highlight w:val="white"/>
        </w:rPr>
        <w:t xml:space="preserve">275/2026/0944/VFI-HĐTĐ.44.A</w:t>
      </w:r>
      <w:r>
        <w:rPr>
          <w:rFonts w:ascii="Times New Roman" w:hAnsi="Times New Roman" w:eastAsia="Times New Roman" w:cs="Times New Roman"/>
          <w:color w:val="000000"/>
          <w:sz w:val="24"/>
          <w:highlight w:val="white"/>
        </w:rPr>
        <w:t xml:space="preserve"> ngày 18/06/2026 giữa Ông Lê Công Hoàng với Công ty Cổ phần Thẩm định và Đầu tư Tài chính Hoa Sen</w:t>
      </w:r>
      <w:r>
        <w:rPr>
          <w:color w:val="000000" w:themeColor="text1"/>
          <w:lang w:val="pt-BR"/>
        </w:rPr>
        <w:t xml:space="preserve">.</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240" w:before="180"/>
        <w:ind w:right="0" w:firstLine="0" w:left="0"/>
        <w:rPr/>
      </w:pPr>
      <w:r>
        <w:rPr>
          <w:lang w:val="pt-BR"/>
        </w:rPr>
        <w:tab/>
      </w:r>
      <w:r>
        <w:rPr>
          <w:rFonts w:ascii="Times New Roman" w:hAnsi="Times New Roman" w:eastAsia="Times New Roman" w:cs="Times New Roman"/>
          <w:color w:val="000000"/>
          <w:sz w:val="24"/>
          <w:highlight w:val="white"/>
        </w:rPr>
        <w:t xml:space="preserve">Thị trường bất động sản (BĐS) Hà Nội năm 2026 đang bước vào một chu kỳ phát triển mới, thực chất và bền vững hơn, chấm dứt thời kỳ đầu cơ hay các cơn "sốt ảo" ngắn hạn.</w:t>
      </w:r>
      <w:r/>
    </w:p>
    <w:p>
      <w:pPr>
        <w:pBdr>
          <w:top w:val="none" w:color="000000" w:sz="4" w:space="0"/>
          <w:left w:val="none" w:color="000000" w:sz="4" w:space="0"/>
          <w:bottom w:val="none" w:color="000000" w:sz="4" w:space="0"/>
          <w:right w:val="none" w:color="000000" w:sz="4" w:space="0"/>
        </w:pBdr>
        <w:spacing w:after="240" w:before="180"/>
        <w:ind w:right="0" w:firstLine="0" w:left="0"/>
        <w:rPr/>
      </w:pPr>
      <w:r>
        <w:rPr>
          <w:rFonts w:ascii="Times New Roman" w:hAnsi="Times New Roman" w:eastAsia="Times New Roman" w:cs="Times New Roman"/>
          <w:color w:val="000000"/>
          <w:sz w:val="24"/>
          <w:highlight w:val="white"/>
        </w:rPr>
        <w:t xml:space="preserve">Dưới tác động mạnh mẽ của khung pháp lý hoàn thiện và các dự án hạ tầng giao thông lớn, dòng tiền trên thị trường hiện đang hướng thẳng vào các sản phẩm đáp ứng nhu cầu ở thực. </w:t>
      </w:r>
      <w:r/>
    </w:p>
    <w:p>
      <w:pPr>
        <w:pBdr>
          <w:top w:val="none" w:color="000000" w:sz="4" w:space="0"/>
          <w:left w:val="none" w:color="000000" w:sz="4" w:space="0"/>
          <w:bottom w:val="none" w:color="000000" w:sz="4" w:space="0"/>
          <w:right w:val="none" w:color="000000" w:sz="4" w:space="0"/>
        </w:pBdr>
        <w:spacing w:after="180" w:before="360"/>
        <w:ind w:right="0" w:firstLine="0" w:left="0"/>
        <w:rPr/>
      </w:pPr>
      <w:r>
        <w:rPr>
          <w:rFonts w:ascii="Times New Roman" w:hAnsi="Times New Roman" w:eastAsia="Times New Roman" w:cs="Times New Roman"/>
          <w:b/>
          <w:color w:val="000000"/>
          <w:sz w:val="24"/>
          <w:highlight w:val="white"/>
        </w:rPr>
        <w:t xml:space="preserve">1. Xu hướng dịch chuyển "phi tập trung" ra vùng ven</w:t>
      </w:r>
      <w:r/>
    </w:p>
    <w:p>
      <w:pPr>
        <w:numPr>
          <w:ilvl w:val="0"/>
          <w:numId w:val="39"/>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Quỹ đất nội đô khan hiếm đẩy làn sóng đầu tư mạnh mẽ ra các trục đô thị ngoại thành.</w:t>
      </w:r>
      <w:r/>
    </w:p>
    <w:p>
      <w:pPr>
        <w:numPr>
          <w:ilvl w:val="0"/>
          <w:numId w:val="39"/>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Các khu vực phía Đông (Gia Lâm, Long Biên), phía Bắc (Đông Anh) và phía Tây đang hình thành các cực tăng trưởng mới.</w:t>
      </w:r>
      <w:r/>
    </w:p>
    <w:p>
      <w:pPr>
        <w:numPr>
          <w:ilvl w:val="0"/>
          <w:numId w:val="39"/>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Hạ tầng kết nối như đường Vành đai 4, các tuyến Metro và những cây cầu mới qua sông Hồng là "xương sống" thúc đẩy xu hướng này.</w:t>
      </w:r>
      <w:r/>
    </w:p>
    <w:p>
      <w:pPr>
        <w:numPr>
          <w:ilvl w:val="0"/>
          <w:numId w:val="39"/>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Các đô thị vệ tinh lân cận (Hưng Yên, Bắc Ninh) cũng tham gia mạnh mẽ để giải tỏa áp lực nhà ở cho vùng lõi.</w:t>
      </w:r>
      <w:r/>
    </w:p>
    <w:p>
      <w:pPr>
        <w:pBdr>
          <w:top w:val="none" w:color="000000" w:sz="4" w:space="0"/>
          <w:left w:val="none" w:color="000000" w:sz="4" w:space="0"/>
          <w:bottom w:val="none" w:color="000000" w:sz="4" w:space="0"/>
          <w:right w:val="none" w:color="000000" w:sz="4" w:space="0"/>
        </w:pBdr>
        <w:spacing w:after="180" w:before="360"/>
        <w:ind w:right="0" w:firstLine="0" w:left="0"/>
        <w:rPr/>
      </w:pPr>
      <w:r>
        <w:rPr>
          <w:rFonts w:ascii="Times New Roman" w:hAnsi="Times New Roman" w:eastAsia="Times New Roman" w:cs="Times New Roman"/>
          <w:b/>
          <w:color w:val="000000"/>
          <w:sz w:val="24"/>
          <w:highlight w:val="white"/>
        </w:rPr>
        <w:t xml:space="preserve">2. Tâm lý người mua và dòng tiền hiện tại</w:t>
      </w:r>
      <w:r/>
    </w:p>
    <w:p>
      <w:pPr>
        <w:numPr>
          <w:ilvl w:val="0"/>
          <w:numId w:val="40"/>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b/>
          <w:color w:val="000000"/>
          <w:sz w:val="24"/>
          <w:highlight w:val="white"/>
        </w:rPr>
        <w:t xml:space="preserve">Thận trọng và thực tế</w:t>
      </w:r>
      <w:r>
        <w:rPr>
          <w:rFonts w:ascii="Times New Roman" w:hAnsi="Times New Roman" w:eastAsia="Times New Roman" w:cs="Times New Roman"/>
          <w:color w:val="000000"/>
          <w:sz w:val="24"/>
          <w:highlight w:val="white"/>
        </w:rPr>
        <w:t xml:space="preserve">: Dòng tiền đầu cơ ngắn hạn sụt giảm mạnh, lượng giao dịch căn hộ đầu năm giảm do các nhà đầu tư rút lui. Người mua nhà hiện tại đặt tiêu chuẩn rất cao về hệ sinh thái, tiện ích sống và uy tín của chủ đầu tư. </w:t>
      </w:r>
      <w:r/>
    </w:p>
    <w:p>
      <w:pPr>
        <w:numPr>
          <w:ilvl w:val="0"/>
          <w:numId w:val="40"/>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b/>
          <w:color w:val="000000"/>
          <w:sz w:val="24"/>
          <w:highlight w:val="white"/>
        </w:rPr>
        <w:t xml:space="preserve">Thanh khoản tập trung</w:t>
      </w:r>
      <w:r>
        <w:rPr>
          <w:rFonts w:ascii="Times New Roman" w:hAnsi="Times New Roman" w:eastAsia="Times New Roman" w:cs="Times New Roman"/>
          <w:color w:val="000000"/>
          <w:sz w:val="24"/>
          <w:highlight w:val="white"/>
        </w:rPr>
        <w:t xml:space="preserve">: Gần 30% tổng lượng giao dịch toàn thị trường tiếp tục đổ dồn về các đại đô thị quy hoạch bài bản sẵn có (như các dự án Vinhomes Smart City hay Vinhomes Ocean Park). </w:t>
      </w:r>
      <w:r/>
    </w:p>
    <w:p>
      <w:pPr>
        <w:pStyle w:val="1033"/>
        <w:numPr>
          <w:ilvl w:val="0"/>
          <w:numId w:val="40"/>
        </w:numPr>
        <w:pBdr/>
        <w:tabs>
          <w:tab w:val="left" w:leader="none" w:pos="426"/>
        </w:tabs>
        <w:spacing w:after="120" w:before="120" w:line="276" w:lineRule="auto"/>
        <w:ind/>
        <w:rPr>
          <w:bCs/>
          <w:i/>
          <w:lang w:val="pt-BR"/>
        </w:rPr>
      </w:pPr>
      <w:r>
        <w:rPr>
          <w:rFonts w:ascii="Times New Roman" w:hAnsi="Times New Roman" w:eastAsia="Times New Roman" w:cs="Times New Roman"/>
          <w:b/>
          <w:color w:val="000000"/>
          <w:sz w:val="24"/>
          <w:highlight w:val="white"/>
        </w:rPr>
        <w:t xml:space="preserve">Điểm tựa pháp lý</w:t>
      </w:r>
      <w:r>
        <w:rPr>
          <w:rFonts w:ascii="Times New Roman" w:hAnsi="Times New Roman" w:eastAsia="Times New Roman" w:cs="Times New Roman"/>
          <w:color w:val="000000"/>
          <w:sz w:val="24"/>
          <w:highlight w:val="white"/>
        </w:rPr>
        <w:t xml:space="preserve">: Việc thắt chặt tín dụng và thanh lọc thị trường giúp giữ chân các chủ đầu tư có năng lực tài chính lành mạnh. Thành phố cũng đang đẩy mạnh quy hoạch hạ tầng và phát triển nhà ở xã hội (gần 1.000ha) để cân bằng nguồn cung</w:t>
      </w:r>
      <w:r>
        <w:rPr>
          <w:bCs/>
          <w:i/>
          <w:lang w:val="pt-BR"/>
        </w:rPr>
      </w:r>
      <w:r>
        <w:rPr>
          <w:bCs/>
          <w:i/>
          <w:lang w:val="pt-BR"/>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có địa chỉ: 22 phố Trần Nhật Duật, phường Đồng Xuân, quận Hoàn Kiếm, thành phố Hà Nội (nay là phường</w:t>
            </w:r>
            <w:r>
              <w:rPr>
                <w:b/>
                <w:bCs/>
                <w:color w:val="000000"/>
              </w:rPr>
              <w:t xml:space="preserve"> Hoàn Kiếm, thành phố Hà Nội) theo Giấy chứng nhận quyền sử dụng đất, quyền sở hữu nhà ở và tài sản khác gắn liền với đất số: CC 263730, số vào sổ cấp GCN: CSHK 00083 do Sở tài nguyên và môi trường thành phố Hà Nội cấp ngày 17/12/2015 cho Ông Lê Công Hoàng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ee0000"/>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22 phố Trần Nhật Duật, phường Đồng Xuân, quận Hoàn Kiếm, thành phố Hà Nội (nay là phường Hoàn Kiếm, thành phố Hà Nội</w:t>
            </w:r>
            <w:r>
              <w:rPr>
                <w:b w:val="0"/>
                <w:bCs w:val="0"/>
                <w:color w:val="000000"/>
              </w:rPr>
              <w:t xml:space="preserve">)</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71,30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tặng cho đất được công nhận QSDĐ như giao đất có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6048375" cy="279326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27329" name=""/>
                              <pic:cNvPicPr>
                                <a:picLocks noChangeAspect="1"/>
                              </pic:cNvPicPr>
                              <pic:nvPr/>
                            </pic:nvPicPr>
                            <pic:blipFill rotWithShape="1">
                              <a:blip r:embed="rId17"/>
                              <a:stretch/>
                            </pic:blipFill>
                            <pic:spPr bwMode="auto">
                              <a:xfrm>
                                <a:off x="0" y="0"/>
                                <a:ext cx="6048374" cy="27932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19.94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t xml:space="preserve">1.2</w:t>
            </w:r>
            <w:r>
              <w:rPr>
                <w:b/>
                <w:bCs/>
                <w:color w:val="000000"/>
              </w:rPr>
            </w:r>
            <w:r>
              <w:rPr>
                <w:b/>
                <w:bCs/>
                <w:color w:val="000000"/>
              </w:rPr>
            </w:r>
          </w:p>
        </w:tc>
        <w:tc>
          <w:tcPr>
            <w:gridSpan w:val="4"/>
            <w:tcBorders/>
            <w:tcW w:w="8781" w:type="dxa"/>
            <w:vAlign w:val="center"/>
            <w:vMerge w:val="restart"/>
            <w:textDirection w:val="lrTb"/>
            <w:noWrap w:val="false"/>
          </w:tcPr>
          <w:p>
            <w:pPr>
              <w:pBdr/>
              <w:spacing/>
              <w:ind/>
              <w:jc w:val="both"/>
              <w:rPr>
                <w:b/>
                <w:bCs/>
                <w:color w:val="000000"/>
              </w:rPr>
            </w:pPr>
            <w:r>
              <w:rPr>
                <w:b/>
                <w:bCs/>
                <w:color w:val="000000"/>
              </w:rPr>
              <w:t xml:space="preserve">Ghi chú:</w:t>
            </w:r>
            <w:r>
              <w:rPr>
                <w:b/>
                <w:bCs/>
                <w:color w:val="000000"/>
              </w:rPr>
            </w:r>
            <w:r>
              <w:rPr>
                <w:b/>
                <w:bCs/>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tờ, số thửa, sơ đồ sẽ được điều chỉnh khi có bản đồ địa chính chính quy</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này được tách ra từ thửa đất tại GCN QSDĐ số: 10105172542 do UBND quận Hoàn Kiếm cấp ngày 27/10/2003</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Tiếp giáp đường Trần Nhật Duật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2 mặt đường, phố</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20,0m + vỉa hè 2,5m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themeColor="text1"/>
              </w:rPr>
              <w:t xml:space="preserve">20,0m + vỉa hè 2,5m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Tiếp giáp đường Trần Nhật Duật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rFonts w:ascii="Times New Roman" w:hAnsi="Times New Roman" w:eastAsia="Times New Roman" w:cs="Times New Roman"/>
                <w:color w:val="000000"/>
                <w:sz w:val="24"/>
              </w:rPr>
              <w:t xml:space="preserve">Hướng Đông Bắc - Tiếp giáp phố Trần Nhật Duật;</w:t>
              <w:br/>
              <w:t xml:space="preserve"> Hướng Đông Nam - Tiếp giáp phố Cao Thắng;</w:t>
              <w:br/>
              <w:t xml:space="preserve"> Các hướng còn lại tiếp giáp với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21.0390533</w:t>
            </w:r>
            <w:r>
              <w:rPr>
                <w:color w:val="000000"/>
              </w:rPr>
              <w:t xml:space="preserve">, </w:t>
            </w:r>
            <w:r>
              <w:rPr>
                <w:color w:val="000000"/>
              </w:rPr>
              <w:t xml:space="preserve">105.8512617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6010275" cy="30003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979970" name=""/>
                              <pic:cNvPicPr>
                                <a:picLocks noChangeAspect="1"/>
                              </pic:cNvPicPr>
                              <pic:nvPr/>
                            </pic:nvPicPr>
                            <pic:blipFill rotWithShape="1">
                              <a:blip r:embed="rId18"/>
                              <a:stretch/>
                            </pic:blipFill>
                            <pic:spPr bwMode="auto">
                              <a:xfrm>
                                <a:off x="0" y="0"/>
                                <a:ext cx="6010274" cy="30003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3.25pt;height:236.25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71,30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6,78</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22,30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Vát góc </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Bắc</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yellow"/>
              </w:rPr>
            </w:pPr>
            <w:r>
              <w:rPr>
                <w:color w:val="000000" w:themeColor="text1"/>
                <w:highlight w:val="none"/>
              </w:rPr>
              <w:t xml:space="preserve">Tốt</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dưới sự hướng dẫn của chủ tài sản, Công trình Nhà ở riêng lẻ có diện tích xây dựng 71,3m2, tổng diện tích sàn là 205m2 được công nhận trên GCN QSDĐ số CC 263730 đã bị phá bỏ, thay vào đó là CTXD Nhà 07 tầng, diện tích xây dựng 71,3m</w:t>
            </w:r>
            <w:r>
              <w:rPr>
                <w:rFonts w:ascii="Times New Roman" w:hAnsi="Times New Roman" w:eastAsia="Times New Roman" w:cs="Times New Roman"/>
                <w:color w:val="000000"/>
                <w:sz w:val="24"/>
              </w:rPr>
              <w:t xml:space="preserve">2, tổng diện tích sàn khoảng 499,1m2. Công trình hoàn thiện năm 2020</w:t>
            </w:r>
            <w:r>
              <w:rPr>
                <w:color w:val="000000"/>
              </w:rPr>
            </w:r>
            <w:r>
              <w:rPr>
                <w:color w:val="000000"/>
              </w:rPr>
            </w:r>
          </w:p>
        </w:tc>
      </w:tr>
    </w:tbl>
    <w:p>
      <w:pPr>
        <w:pBdr/>
        <w:spacing w:line="235" w:lineRule="auto"/>
        <w:ind w:left="284"/>
        <w:jc w:val="both"/>
        <w:rPr>
          <w:b/>
          <w:bCs/>
          <w:u w:val="single"/>
        </w:rPr>
      </w:pPr>
      <w:r>
        <w:rPr>
          <w:b/>
          <w:bCs/>
          <w:highlight w:val="none"/>
          <w:u w:val="single"/>
        </w:rPr>
      </w:r>
      <w:r>
        <w:rPr>
          <w:b/>
          <w:bCs/>
          <w:u w:val="single"/>
        </w:rPr>
      </w:r>
      <w:r>
        <w:rPr>
          <w:b/>
          <w:bCs/>
          <w:u w:val="single"/>
        </w:rPr>
      </w:r>
    </w:p>
    <w:p>
      <w:pPr>
        <w:pBdr/>
        <w:spacing w:line="235" w:lineRule="auto"/>
        <w:ind w:left="284"/>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thửa đất:</w:t>
      </w:r>
      <w:r>
        <w:rPr>
          <w:b/>
          <w:bCs/>
          <w:highlight w:val="none"/>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Số 22 phố Trần Nhật Duật, phường Hoàn Kiếm,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Số 56 Mã Mây, phường Hoàn Kiếm,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68 Phố Hàng Giấy, phường Hoàn Kiếm,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Số 7, phố Hàng Giấy,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0946553655</w:t>
            </w:r>
            <w:r>
              <w:rPr>
                <w:sz w:val="22"/>
                <w:szCs w:val="22"/>
              </w:rPr>
              <w:t xml:space="preserve"> </w:t>
            </w:r>
            <w:r>
              <w:rPr>
                <w:sz w:val="22"/>
                <w:szCs w:val="22"/>
              </w:rPr>
              <w:br/>
              <w:t xml:space="preserve">(</w:t>
            </w:r>
            <w:r>
              <w:rPr>
                <w:sz w:val="22"/>
                <w:szCs w:val="22"/>
              </w:rPr>
              <w:t xml:space="preserve">Nông Kim Luyên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0914429869</w:t>
            </w:r>
            <w:r>
              <w:rPr>
                <w:sz w:val="22"/>
                <w:szCs w:val="22"/>
              </w:rPr>
              <w:br/>
            </w:r>
            <w:r>
              <w:rPr>
                <w:sz w:val="22"/>
                <w:szCs w:val="22"/>
              </w:rPr>
              <w:t xml:space="preserve">(</w:t>
            </w:r>
            <w:r>
              <w:rPr>
                <w:sz w:val="22"/>
                <w:szCs w:val="22"/>
              </w:rPr>
              <w:t xml:space="preserve">Sale Hiếu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0964756785</w:t>
            </w:r>
            <w:r>
              <w:rPr>
                <w:sz w:val="22"/>
                <w:szCs w:val="22"/>
              </w:rPr>
              <w:br/>
            </w:r>
            <w:r>
              <w:rPr>
                <w:sz w:val="22"/>
                <w:szCs w:val="22"/>
              </w:rPr>
              <w:t xml:space="preserve">(</w:t>
            </w:r>
            <w:r>
              <w:rPr>
                <w:sz w:val="22"/>
                <w:szCs w:val="22"/>
              </w:rPr>
              <w:t xml:space="preserve">Sale Tuấn</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6/2026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6/2026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6/2026 </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Tiếp giáp phố Trần Nhật Duật, Phường Hoàn Kiếm, thành phố Hà Nội (Vị trí nằm ngoài rìa, cạnh chân cầu Long Biên đi xuống).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phố Mã Mây, Phường Hoàn Kiếm, thành phố Hà Nội (Vị trí thuộc khu vực đường trung tâm phố cổ)</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phố Hàng Giấy, Phường Hoàn Kiếm, thành phố Hà Nội (Vị trí thuộc khu vực đường trung tâm phố cổ)</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phố Hàng Giấy, Phường Hoàn Kiếm, thành phố Hà Nội (Vị trí thuộc khu vực đường trung tâm phố cổ)</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97,7</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7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 Nhà đã cũ, giá trị không đáng kể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06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02 tầng</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931,8</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120,3 </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143.500.000.000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124.200.000.000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129.150.000.000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89.100.000.000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1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t xml:space="preserve">4.520.527.066</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t xml:space="preserve">800.677.101</w:t>
            </w:r>
            <w:r>
              <w:rPr>
                <w14:ligatures w14:val="none"/>
              </w:rPr>
            </w:r>
            <w:r>
              <w:rPr>
                <w14:ligatures w14:val="none"/>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i/>
                <w:color w:val="000000"/>
                <w:sz w:val="22"/>
              </w:rPr>
              <w:t xml:space="preserve">Đơn giá xây dựng mới theo QĐ 425/QĐ-BXD; Hệ số vùng điều chỉnh (Vùng 7-TP Hà Nội)</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i/>
                <w:color w:val="000000"/>
                <w:sz w:val="22"/>
              </w:rPr>
              <w:t xml:space="preserve">6.930.560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7.830.200</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i/>
                <w:color w:val="000000"/>
                <w:sz w:val="22"/>
              </w:rPr>
              <w:t xml:space="preserve">Tỷ lệ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124.200.000.000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124.629.472.934</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88.299.322.899</w:t>
            </w:r>
            <w:r>
              <w:rPr>
                <w:sz w:val="22"/>
                <w:szCs w:val="22"/>
                <w14:ligatures w14:val="none"/>
              </w:rPr>
            </w:r>
            <w:r>
              <w:rPr>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917.282.127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802.507.875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903.780.173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124.200.000.000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124.629.472.934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88.299.322.899</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917.282.127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802.507.875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903.780.173</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917.282.127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802.507.875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903.780.173</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r>
            <w:r>
              <w:rPr>
                <w:b/>
                <w:bCs/>
                <w:color w:val="000000" w:themeColor="text1"/>
                <w:sz w:val="22"/>
                <w:szCs w:val="22"/>
              </w:rPr>
              <w:t xml:space="preserve">Vị trí</w:t>
            </w:r>
            <w:r>
              <w:rPr>
                <w:b/>
                <w:bCs/>
                <w:color w:val="000000"/>
                <w:sz w:val="22"/>
                <w:szCs w:val="22"/>
              </w:rPr>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phố Trần Nhật Duật, Phường Hoàn Kiếm, thành phố Hà Nội (Vị trí nằm ngoài rìa, cạnh chân cầu Long Biên đi xuống).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phố Mã Mây, Phường Hoàn Kiếm, thành phố Hà Nội (Vị trí thuộc khu vực đường trung tâm phố cổ)</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phố Hàng Giấy, Phường Hoàn Kiếm, thành phố Hà Nội (Vị trí thuộc khu vực đường trung tâm phố cổ)</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phố Hàng Giấy, Phường Hoàn Kiếm, thành phố Hà Nội (Vị trí thuộc khu vực đường trung tâm phố cổ)</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-110.073.855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-120.376.181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-135.567.026</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807.208.272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682.131.694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768.213.147</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20,0m + vỉa hè</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16.307.238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21.303.182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24.073.487</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823.515.510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703.434.876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792.286.634</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135,4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155,3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97,7</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36.691.285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64.200.630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27.113.405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860.206.795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767.635.506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819.400.039</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16.307.238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16.050.158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63.264.612</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876.514.033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783.685.664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882.664.651</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45.864.106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40.125.394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45.189.009</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922.378.139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823.811.058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927.853.660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-36.691.285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-32.100.315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-36.151.207</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885.686.854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791.710.743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891.702.453</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885.686.854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791.710.743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891.702.453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856.366.683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4,13%</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261.935.007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294.155.860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331.358.746</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31.595.273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10.797.132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12.077.720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3,42% đến</w:t>
      </w:r>
      <w:r>
        <w:t xml:space="preserve"> 7,55%,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885.686.854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295.287.997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791.710.743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263.877.191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891.702.453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297.204.428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856.369.616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856.000.000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856.000.000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7 tầng, đối chiếu với kết cấu của công trình xây dựng hiện có, Tổ thẩm định nhận thấy đơn giá vận dụng theo Quyết định số 425/QĐ-BXD ngày 30/3/2026 của Bộ Xây dựng về việc côn</w:t>
      </w:r>
      <w:r>
        <w:rPr>
          <w:rFonts w:ascii="Times New Roman" w:hAnsi="Times New Roman" w:eastAsia="Times New Roman" w:cs="Times New Roman"/>
          <w:color w:val="000000"/>
          <w:sz w:val="24"/>
        </w:rPr>
        <w:t xml:space="preserve">g bố suất vốn đầu tư xây dựng và giá xây dựng tổng hợp bộ phận kết cấu công trình năm 2025 là khá phù hợp với thị trường, theo đó: </w:t>
      </w: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szCs w:val="24"/>
        </w:rPr>
        <w:t xml:space="preserve">“</w:t>
      </w:r>
      <w:r>
        <w:rPr>
          <w:sz w:val="24"/>
          <w:szCs w:val="24"/>
        </w:rPr>
        <w:t xml:space="preserve">Nhà từ 4 đến 5 tầng, kết cấu khung chịu lực BTCT; tường bao xây gạch; sàn, mái BTCT đổ tại chỗ</w:t>
      </w:r>
      <w:r>
        <w:rPr>
          <w:rFonts w:ascii="Times New Roman" w:hAnsi="Times New Roman" w:eastAsia="Times New Roman" w:cs="Times New Roman"/>
          <w:i/>
          <w:color w:val="000000"/>
          <w:sz w:val="24"/>
          <w:szCs w:val="24"/>
        </w:rPr>
        <w:t xml:space="preserve">, không có tầng hầm, </w:t>
      </w:r>
      <w:r>
        <w:rPr>
          <w:rFonts w:ascii="Times New Roman" w:hAnsi="Times New Roman" w:eastAsia="Times New Roman" w:cs="Times New Roman"/>
          <w:color w:val="000000"/>
          <w:sz w:val="24"/>
          <w:szCs w:val="24"/>
          <w:highlight w:val="white"/>
        </w:rPr>
        <w:t xml:space="preserve">Diện tích xây dựng từ 70 - dưới 90m</w:t>
      </w:r>
      <w:r>
        <w:rPr>
          <w:rFonts w:ascii="Times New Roman" w:hAnsi="Times New Roman" w:eastAsia="Times New Roman" w:cs="Times New Roman"/>
          <w:color w:val="000000"/>
          <w:sz w:val="24"/>
          <w:szCs w:val="24"/>
          <w:highlight w:val="white"/>
          <w:vertAlign w:val="superscript"/>
        </w:rPr>
        <w:t xml:space="preserve">2</w:t>
      </w:r>
      <w:r>
        <w:rPr>
          <w:rFonts w:ascii="Times New Roman" w:hAnsi="Times New Roman" w:eastAsia="Times New Roman" w:cs="Times New Roman"/>
          <w:i/>
          <w:color w:val="000000"/>
          <w:sz w:val="24"/>
          <w:szCs w:val="24"/>
        </w:rPr>
        <w:t xml:space="preserve"> có</w:t>
      </w:r>
      <w:r>
        <w:rPr>
          <w:rFonts w:ascii="Times New Roman" w:hAnsi="Times New Roman" w:eastAsia="Times New Roman" w:cs="Times New Roman"/>
          <w:i/>
          <w:color w:val="000000"/>
          <w:sz w:val="24"/>
          <w:szCs w:val="24"/>
        </w:rPr>
        <w:t xml:space="preserve"> đơn giá suất vốn đầu tư</w:t>
      </w:r>
      <w:r>
        <w:rPr>
          <w:rFonts w:ascii="Times New Roman" w:hAnsi="Times New Roman" w:eastAsia="Times New Roman" w:cs="Times New Roman"/>
          <w:i/>
          <w:color w:val="000000"/>
          <w:sz w:val="24"/>
          <w:szCs w:val="24"/>
        </w:rPr>
        <w:t xml:space="preserve"> là 7.808.000 đồng/m² (bao gồm VAT); hệ số điều chỉnh Vùng 7 – Hà Nội: 0,952”</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rFonts w:ascii="Times New Roman" w:hAnsi="Times New Roman" w:eastAsia="Times New Roman" w:cs="Times New Roman"/>
          <w:sz w:val="24"/>
        </w:rPr>
      </w:pPr>
      <w:r>
        <w:rPr>
          <w:rFonts w:ascii="Times New Roman" w:hAnsi="Times New Roman" w:eastAsia="Times New Roman" w:cs="Times New Roman"/>
          <w:color w:val="000000"/>
          <w:spacing w:val="3"/>
          <w:sz w:val="24"/>
          <w:highlight w:val="white"/>
        </w:rPr>
        <w:t xml:space="preserve">Do đó, Tổ thẩm định xác định đơn giá của công trình là: </w:t>
      </w:r>
      <w:r>
        <w:rPr>
          <w:rFonts w:ascii="Times New Roman" w:hAnsi="Times New Roman" w:eastAsia="Times New Roman" w:cs="Times New Roman"/>
          <w:b/>
          <w:color w:val="000000"/>
          <w:spacing w:val="3"/>
          <w:sz w:val="24"/>
          <w:highlight w:val="white"/>
        </w:rPr>
        <w:t xml:space="preserve">(Suất vốn đầu tư xây dựng) x (Hệ số điều chỉnh vùng) = 7.808.000</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000000"/>
          <w:spacing w:val="3"/>
          <w:sz w:val="24"/>
          <w:highlight w:val="white"/>
        </w:rPr>
        <w:t xml:space="preserve">x 0,952 =</w:t>
      </w:r>
      <w:r>
        <w:rPr>
          <w:rFonts w:ascii="Times New Roman" w:hAnsi="Times New Roman" w:eastAsia="Times New Roman" w:cs="Times New Roman"/>
          <w:b/>
          <w:color w:val="000000"/>
          <w:sz w:val="24"/>
        </w:rPr>
        <w:t xml:space="preserve"> 7.433.216 </w:t>
      </w:r>
      <w:r>
        <w:rPr>
          <w:rFonts w:ascii="Times New Roman" w:hAnsi="Times New Roman" w:eastAsia="Times New Roman" w:cs="Times New Roman"/>
          <w:b/>
          <w:color w:val="000000"/>
          <w:spacing w:val="3"/>
          <w:sz w:val="24"/>
          <w:highlight w:val="white"/>
        </w:rPr>
        <w:t xml:space="preserve">đồng/m²;</w:t>
      </w:r>
      <w:r>
        <w:rPr>
          <w:rFonts w:ascii="Times New Roman" w:hAnsi="Times New Roman" w:eastAsia="Times New Roman" w:cs="Times New Roman"/>
          <w:color w:val="000000"/>
          <w:spacing w:val="3"/>
          <w:sz w:val="24"/>
          <w:highlight w:val="white"/>
        </w:rPr>
        <w:t xml:space="preserve"> (Đơn giá chưa bao gồm VAT)</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2"/>
        </w:numPr>
        <w:pBdr>
          <w:top w:val="none" w:color="000000" w:sz="4" w:space="0"/>
          <w:left w:val="none" w:color="000000" w:sz="4" w:space="0"/>
          <w:bottom w:val="none" w:color="000000" w:sz="4" w:space="0"/>
          <w:right w:val="none" w:color="000000" w:sz="4" w:space="0"/>
        </w:pBdr>
        <w:spacing w:after="0" w:before="120" w:line="264" w:lineRule="auto"/>
        <w:ind/>
        <w:jc w:val="both"/>
        <w:rPr/>
      </w:pPr>
      <w:r>
        <w:rPr>
          <w:rFonts w:ascii="Times New Roman" w:hAnsi="Times New Roman" w:eastAsia="Times New Roman" w:cs="Times New Roman"/>
          <w:b/>
          <w:i/>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0"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64" w:lineRule="auto"/>
        <w:ind w:right="0" w:firstLine="0"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120" w:before="120" w:line="264" w:lineRule="auto"/>
        <w:ind w:right="0" w:firstLine="0" w:left="0"/>
        <w:jc w:val="both"/>
        <w:rPr/>
      </w:pPr>
      <w:r>
        <w:rPr>
          <w:rFonts w:ascii="Times New Roman" w:hAnsi="Times New Roman" w:eastAsia="Times New Roman" w:cs="Times New Roman"/>
          <w:color w:val="000000"/>
          <w:spacing w:val="2"/>
          <w:sz w:val="24"/>
        </w:rPr>
        <w:t xml:space="preserve">                   Tỷ lệ CLCL = 1 – Tỷ lệ hao mòn</w:t>
      </w:r>
      <w:r/>
    </w:p>
    <w:p>
      <w:pPr>
        <w:pBdr>
          <w:top w:val="none" w:color="000000" w:sz="4" w:space="0"/>
          <w:left w:val="none" w:color="000000" w:sz="4" w:space="0"/>
          <w:bottom w:val="none" w:color="000000" w:sz="4" w:space="0"/>
          <w:right w:val="none" w:color="000000" w:sz="4" w:space="0"/>
        </w:pBdr>
        <w:spacing w:after="80" w:before="80" w:line="264" w:lineRule="auto"/>
        <w:ind w:right="0" w:firstLine="0" w:left="0"/>
        <w:jc w:val="both"/>
        <w:rPr/>
      </w:pPr>
      <w:r>
        <w:rPr>
          <w:rFonts w:ascii="Times New Roman" w:hAnsi="Times New Roman" w:eastAsia="Times New Roman" w:cs="Times New Roman"/>
          <w:color w:val="000000"/>
          <w:spacing w:val="2"/>
          <w:sz w:val="24"/>
        </w:rPr>
        <w:t xml:space="preserve">Tổ thẩm định giả định rằng công trình xây dựng trong khoảng thời gian trích khấu hao được duy tu, sửa chữa định kỳ và đúng quy trình nên tuổi đời hiệu quả bằng tuổi đời thực tế. Theo thông tin thu thập, công trình xây dựng được xây dựng khoảng năm 2020, do</w:t>
      </w:r>
      <w:r>
        <w:rPr>
          <w:rFonts w:ascii="Times New Roman" w:hAnsi="Times New Roman" w:eastAsia="Times New Roman" w:cs="Times New Roman"/>
          <w:color w:val="000000"/>
          <w:spacing w:val="2"/>
          <w:sz w:val="24"/>
        </w:rPr>
        <w:t xml:space="preserve"> vậy, Tổ thẩm định xác định tuổi đời hiệu quả của công trình là 6 năm.</w:t>
      </w:r>
      <w:r/>
    </w:p>
    <w:p>
      <w:pPr>
        <w:pBdr>
          <w:top w:val="none" w:color="000000" w:sz="4" w:space="0"/>
          <w:left w:val="none" w:color="000000" w:sz="4" w:space="0"/>
          <w:bottom w:val="none" w:color="000000" w:sz="4" w:space="0"/>
          <w:right w:val="none" w:color="000000" w:sz="4" w:space="0"/>
        </w:pBdr>
        <w:spacing w:after="120" w:line="264" w:lineRule="auto"/>
        <w:ind w:right="0" w:firstLine="0"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là 50 năm. </w:t>
      </w:r>
      <w:r/>
    </w:p>
    <w:tbl>
      <w:tblPr>
        <w:tblStyle w:val="1037"/>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28484"/>
        <w:gridCol w:w="23303"/>
        <w:gridCol w:w="23303"/>
        <w:gridCol w:w="23303"/>
        <w:gridCol w:w="20785"/>
        <w:gridCol w:w="25792"/>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84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3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3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3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7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7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84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both"/>
              <w:rPr/>
            </w:pPr>
            <w:r>
              <w:rPr>
                <w:rFonts w:ascii="Times New Roman" w:hAnsi="Times New Roman" w:eastAsia="Times New Roman" w:cs="Times New Roman"/>
                <w:color w:val="000000"/>
                <w:sz w:val="22"/>
              </w:rPr>
              <w:t xml:space="preserve">Nhà 7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3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2"/>
              </w:rPr>
              <w:t xml:space="preserve">T6/2026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3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3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7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445.190.173</w:t>
            </w:r>
            <w:r/>
          </w:p>
        </w:tc>
      </w:tr>
    </w:tbl>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1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12</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88%.</w:t>
      </w:r>
      <w:r>
        <w:rPr>
          <w:rFonts w:ascii="Times New Roman" w:hAnsi="Times New Roman" w:eastAsia="Times New Roman" w:cs="Times New Roman"/>
          <w:color w:val="000000"/>
          <w:sz w:val="22"/>
        </w:rPr>
        <w:t xml:space="preserve">   </w:t>
      </w:r>
      <w:r/>
    </w:p>
    <w:p>
      <w:pPr>
        <w:numPr>
          <w:ilvl w:val="0"/>
          <w:numId w:val="42"/>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i/>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before="120" w:line="276" w:lineRule="auto"/>
        <w:ind w:right="0" w:firstLine="0" w:left="210"/>
        <w:jc w:val="both"/>
        <w:rPr/>
      </w:pPr>
      <w:r>
        <w:rPr>
          <w:rFonts w:ascii="Times New Roman" w:hAnsi="Times New Roman" w:eastAsia="Times New Roman" w:cs="Times New Roman"/>
          <w:color w:val="000000"/>
          <w:sz w:val="24"/>
        </w:rPr>
        <w:t xml:space="preserve">Công thức:</w:t>
      </w:r>
      <w:r/>
    </w:p>
    <w:tbl>
      <w:tblPr>
        <w:tblStyle w:val="1037"/>
        <w:tblInd w:w="1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35"/>
        <w:gridCol w:w="1845"/>
        <w:gridCol w:w="484"/>
        <w:gridCol w:w="378"/>
        <w:gridCol w:w="409"/>
        <w:gridCol w:w="1742"/>
        <w:gridCol w:w="1264"/>
        <w:gridCol w:w="775"/>
        <w:gridCol w:w="362"/>
        <w:gridCol w:w="179"/>
        <w:gridCol w:w="1264"/>
        <w:gridCol w:w="381"/>
      </w:tblGrid>
      <w:tr>
        <w:trPr>
          <w:trHeight w:val="794"/>
        </w:trPr>
        <w:tc>
          <w:tcPr>
            <w:tcBorders>
              <w:bottom w:val="single" w:color="000000" w:sz="8" w:space="0"/>
            </w:tcBorders>
            <w:tcMar>
              <w:left w:w="0" w:type="dxa"/>
              <w:top w:w="0" w:type="dxa"/>
              <w:right w:w="0" w:type="dxa"/>
              <w:bottom w:w="0" w:type="dxa"/>
            </w:tcMar>
            <w:tcW w:w="1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 </w:t>
            </w:r>
            <w:r/>
          </w:p>
        </w:tc>
        <w:tc>
          <w:tcPr>
            <w:gridSpan w:val="2"/>
            <w:tcBorders/>
            <w:tcMar>
              <w:left w:w="108" w:type="dxa"/>
              <w:top w:w="0" w:type="dxa"/>
              <w:right w:w="108" w:type="dxa"/>
              <w:bottom w:w="0" w:type="dxa"/>
            </w:tcMar>
            <w:tcW w:w="23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cMar>
              <w:left w:w="108" w:type="dxa"/>
              <w:top w:w="0" w:type="dxa"/>
              <w:right w:w="108" w:type="dxa"/>
              <w:bottom w:w="0" w:type="dxa"/>
            </w:tcMar>
            <w:tcW w:w="41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18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r>
        <w:trPr>
          <w:gridAfter w:val="1"/>
        </w:trPr>
        <w:tc>
          <w:tcPr>
            <w:gridSpan w:val="2"/>
            <w:shd w:val="clear" w:color="ffffff" w:fill="ffffff"/>
            <w:tcBorders>
              <w:top w:val="single" w:color="000000" w:sz="4" w:space="0"/>
              <w:left w:val="single" w:color="000000" w:sz="4"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Tài sản</w:t>
            </w:r>
            <w:r>
              <w:rPr>
                <w:sz w:val="22"/>
                <w:szCs w:val="22"/>
              </w:rPr>
            </w:r>
            <w:r>
              <w:rPr>
                <w:sz w:val="22"/>
                <w:szCs w:val="22"/>
              </w:rPr>
            </w:r>
          </w:p>
        </w:tc>
        <w:tc>
          <w:tcPr>
            <w:gridSpan w:val="3"/>
            <w:shd w:val="clear" w:color="ffffff" w:fill="ffffff"/>
            <w:tcBorders>
              <w:top w:val="single" w:color="000000" w:sz="4" w:space="0"/>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Diện tích sàn (m²)</w:t>
            </w:r>
            <w:r>
              <w:rPr>
                <w:sz w:val="22"/>
                <w:szCs w:val="22"/>
              </w:rPr>
            </w:r>
            <w:r>
              <w:rPr>
                <w:sz w:val="22"/>
                <w:szCs w:val="22"/>
              </w:rPr>
            </w:r>
          </w:p>
        </w:tc>
        <w:tc>
          <w:tcPr>
            <w:shd w:val="clear" w:color="ffffff" w:fill="ffffff"/>
            <w:tcBorders>
              <w:top w:val="single" w:color="000000" w:sz="4"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Đơn giá xây dựng mới (đồng/m² sàn)</w:t>
            </w:r>
            <w:r>
              <w:rPr>
                <w:sz w:val="22"/>
                <w:szCs w:val="22"/>
              </w:rPr>
            </w:r>
            <w:r>
              <w:rPr>
                <w:sz w:val="22"/>
                <w:szCs w:val="22"/>
              </w:rPr>
            </w:r>
          </w:p>
        </w:tc>
        <w:tc>
          <w:tcPr>
            <w:shd w:val="clear" w:color="ffffff" w:fill="ffffff"/>
            <w:tcBorders>
              <w:top w:val="single" w:color="000000" w:sz="4" w:space="0"/>
              <w:bottom w:val="single" w:color="000000" w:sz="8" w:space="0"/>
              <w:right w:val="single" w:color="000000" w:sz="8" w:space="0"/>
            </w:tcBorders>
            <w:tcMar>
              <w:left w:w="108" w:type="dxa"/>
              <w:top w:w="0" w:type="dxa"/>
              <w:right w:w="108" w:type="dxa"/>
              <w:bottom w:w="0" w:type="dxa"/>
            </w:tcMar>
            <w:tcW w:w="12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Chi phí thay thế (đồng)</w:t>
            </w:r>
            <w:r>
              <w:rPr>
                <w:sz w:val="22"/>
                <w:szCs w:val="22"/>
              </w:rPr>
            </w:r>
            <w:r>
              <w:rPr>
                <w:sz w:val="22"/>
                <w:szCs w:val="22"/>
              </w:rPr>
            </w:r>
          </w:p>
        </w:tc>
        <w:tc>
          <w:tcPr>
            <w:gridSpan w:val="3"/>
            <w:shd w:val="clear" w:color="ffffff" w:fill="ffffff"/>
            <w:tcBorders>
              <w:top w:val="single" w:color="000000" w:sz="4" w:space="0"/>
              <w:bottom w:val="single" w:color="000000" w:sz="8" w:space="0"/>
              <w:right w:val="single" w:color="000000" w:sz="8" w:space="0"/>
            </w:tcBorders>
            <w:tcMar>
              <w:left w:w="108" w:type="dxa"/>
              <w:top w:w="0" w:type="dxa"/>
              <w:right w:w="108" w:type="dxa"/>
              <w:bottom w:w="0" w:type="dxa"/>
            </w:tcMar>
            <w:tcW w:w="13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Giá trị hao mòn (đồng)</w:t>
            </w:r>
            <w:r>
              <w:rPr>
                <w:sz w:val="22"/>
                <w:szCs w:val="22"/>
              </w:rPr>
            </w:r>
            <w:r>
              <w:rPr>
                <w:sz w:val="22"/>
                <w:szCs w:val="22"/>
              </w:rPr>
            </w:r>
          </w:p>
        </w:tc>
        <w:tc>
          <w:tcPr>
            <w:shd w:val="clear" w:color="ffffff" w:fill="ffffff"/>
            <w:tcBorders>
              <w:top w:val="single" w:color="000000" w:sz="4" w:space="0"/>
              <w:bottom w:val="single" w:color="000000" w:sz="8" w:space="0"/>
              <w:right w:val="single" w:color="000000" w:sz="4" w:space="0"/>
            </w:tcBorders>
            <w:tcMar>
              <w:left w:w="108" w:type="dxa"/>
              <w:top w:w="0" w:type="dxa"/>
              <w:right w:w="108" w:type="dxa"/>
              <w:bottom w:w="0" w:type="dxa"/>
            </w:tcMar>
            <w:tcW w:w="12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Giá trị thẩm định tại thời điểm thẩm định giá (đồng)</w:t>
            </w:r>
            <w:r>
              <w:rPr>
                <w:sz w:val="22"/>
                <w:szCs w:val="22"/>
              </w:rPr>
            </w:r>
            <w:r>
              <w:rPr>
                <w:sz w:val="22"/>
                <w:szCs w:val="22"/>
              </w:rPr>
            </w:r>
          </w:p>
        </w:tc>
      </w:tr>
      <w:tr>
        <w:trPr>
          <w:gridAfter w:val="1"/>
        </w:trPr>
        <w:tc>
          <w:tcPr>
            <w:gridSpan w:val="2"/>
            <w:shd w:val="clear" w:color="ffffff" w:fill="ffffff"/>
            <w:tcBorders>
              <w:left w:val="single" w:color="000000" w:sz="4"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(5) = (3) * (4)</w:t>
            </w:r>
            <w:r>
              <w:rPr>
                <w:sz w:val="22"/>
                <w:szCs w:val="22"/>
              </w:rPr>
            </w:r>
            <w:r>
              <w:rPr>
                <w:sz w:val="22"/>
                <w:szCs w:val="22"/>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(6)</w:t>
            </w:r>
            <w:r>
              <w:rPr>
                <w:sz w:val="22"/>
                <w:szCs w:val="22"/>
              </w:rPr>
            </w:r>
            <w:r>
              <w:rPr>
                <w:sz w:val="22"/>
                <w:szCs w:val="22"/>
              </w:rPr>
            </w:r>
          </w:p>
        </w:tc>
        <w:tc>
          <w:tcPr>
            <w:shd w:val="clear" w:color="ffffff" w:fill="ffffff"/>
            <w:tcBorders>
              <w:bottom w:val="single" w:color="000000" w:sz="8" w:space="0"/>
              <w:right w:val="single" w:color="000000" w:sz="4" w:space="0"/>
            </w:tcBorders>
            <w:tcMar>
              <w:left w:w="108" w:type="dxa"/>
              <w:top w:w="0" w:type="dxa"/>
              <w:right w:w="108" w:type="dxa"/>
              <w:bottom w:w="0" w:type="dxa"/>
            </w:tcMar>
            <w:tcW w:w="12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(7) = (5) - (6)</w:t>
            </w:r>
            <w:r>
              <w:rPr>
                <w:sz w:val="22"/>
                <w:szCs w:val="22"/>
              </w:rPr>
            </w:r>
            <w:r>
              <w:rPr>
                <w:sz w:val="22"/>
                <w:szCs w:val="22"/>
              </w:rPr>
            </w:r>
          </w:p>
        </w:tc>
      </w:tr>
      <w:tr>
        <w:trPr>
          <w:gridAfter w:val="1"/>
        </w:trPr>
        <w:tc>
          <w:tcPr>
            <w:gridSpan w:val="2"/>
            <w:tcBorders>
              <w:left w:val="single" w:color="000000" w:sz="4" w:space="0"/>
              <w:bottom w:val="single" w:color="000000" w:sz="4"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tabs>
                <w:tab w:val="center" w:leader="none" w:pos="882"/>
                <w:tab w:val="center" w:leader="none" w:pos="882"/>
              </w:tabs>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Nhà 7 tầng</w:t>
            </w:r>
            <w:r>
              <w:rPr>
                <w:sz w:val="22"/>
                <w:szCs w:val="22"/>
              </w:rPr>
            </w:r>
            <w:r>
              <w:rPr>
                <w:sz w:val="22"/>
                <w:szCs w:val="22"/>
              </w:rPr>
            </w:r>
          </w:p>
        </w:tc>
        <w:tc>
          <w:tcPr>
            <w:gridSpan w:val="3"/>
            <w:tcBorders>
              <w:bottom w:val="single" w:color="000000" w:sz="4" w:space="0"/>
              <w:right w:val="single" w:color="000000" w:sz="8" w:space="0"/>
            </w:tcBorders>
            <w:tcMar>
              <w:left w:w="108" w:type="dxa"/>
              <w:top w:w="0" w:type="dxa"/>
              <w:right w:w="108" w:type="dxa"/>
              <w:bottom w:w="0" w:type="dxa"/>
            </w:tcMar>
            <w:tcW w:w="127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499,1 </w:t>
            </w:r>
            <w:r>
              <w:rPr>
                <w:sz w:val="22"/>
                <w:szCs w:val="22"/>
              </w:rPr>
            </w:r>
            <w:r>
              <w:rPr>
                <w:sz w:val="22"/>
                <w:szCs w:val="22"/>
              </w:rPr>
            </w:r>
          </w:p>
        </w:tc>
        <w:tc>
          <w:tcPr>
            <w:shd w:val="clear" w:color="ffffff" w:fill="ffffff"/>
            <w:tcBorders>
              <w:bottom w:val="single" w:color="000000" w:sz="4" w:space="0"/>
              <w:right w:val="single" w:color="000000" w:sz="8" w:space="0"/>
            </w:tcBorders>
            <w:tcMar>
              <w:left w:w="108" w:type="dxa"/>
              <w:top w:w="0" w:type="dxa"/>
              <w:right w:w="108" w:type="dxa"/>
              <w:bottom w:w="0" w:type="dxa"/>
            </w:tcMar>
            <w:tcW w:w="174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7.433.216 </w:t>
            </w:r>
            <w:r>
              <w:rPr>
                <w:sz w:val="22"/>
                <w:szCs w:val="22"/>
              </w:rPr>
            </w:r>
            <w:r>
              <w:rPr>
                <w:sz w:val="22"/>
                <w:szCs w:val="22"/>
              </w:rPr>
            </w:r>
          </w:p>
        </w:tc>
        <w:tc>
          <w:tcPr>
            <w:tcBorders>
              <w:bottom w:val="single" w:color="000000" w:sz="4" w:space="0"/>
              <w:right w:val="single" w:color="000000" w:sz="8" w:space="0"/>
            </w:tcBorders>
            <w:tcMar>
              <w:left w:w="108" w:type="dxa"/>
              <w:top w:w="0" w:type="dxa"/>
              <w:right w:w="108" w:type="dxa"/>
              <w:bottom w:w="0" w:type="dxa"/>
            </w:tcMar>
            <w:tcW w:w="126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3.709.918.106</w:t>
            </w:r>
            <w:r>
              <w:rPr>
                <w:sz w:val="22"/>
                <w:szCs w:val="22"/>
              </w:rPr>
            </w:r>
            <w:r>
              <w:rPr>
                <w:sz w:val="22"/>
                <w:szCs w:val="22"/>
              </w:rPr>
            </w:r>
          </w:p>
        </w:tc>
        <w:tc>
          <w:tcPr>
            <w:gridSpan w:val="3"/>
            <w:tcBorders>
              <w:bottom w:val="single" w:color="000000" w:sz="4" w:space="0"/>
              <w:right w:val="single" w:color="000000" w:sz="8" w:space="0"/>
            </w:tcBorders>
            <w:tcMar>
              <w:left w:w="108" w:type="dxa"/>
              <w:top w:w="0" w:type="dxa"/>
              <w:right w:w="108" w:type="dxa"/>
              <w:bottom w:w="0" w:type="dxa"/>
            </w:tcMar>
            <w:tcW w:w="131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445.190.173</w:t>
            </w:r>
            <w:r>
              <w:rPr>
                <w:sz w:val="22"/>
                <w:szCs w:val="22"/>
              </w:rPr>
            </w:r>
            <w:r>
              <w:rPr>
                <w:sz w:val="22"/>
                <w:szCs w:val="22"/>
              </w:rPr>
            </w:r>
          </w:p>
        </w:tc>
        <w:tc>
          <w:tcPr>
            <w:tcBorders>
              <w:bottom w:val="single" w:color="000000" w:sz="4" w:space="0"/>
              <w:right w:val="single" w:color="000000" w:sz="4" w:space="0"/>
            </w:tcBorders>
            <w:tcMar>
              <w:left w:w="108" w:type="dxa"/>
              <w:top w:w="0" w:type="dxa"/>
              <w:right w:w="108" w:type="dxa"/>
              <w:bottom w:w="0" w:type="dxa"/>
            </w:tcMar>
            <w:tcW w:w="126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3.264.727.933</w:t>
            </w:r>
            <w:r>
              <w:rPr>
                <w:sz w:val="22"/>
                <w:szCs w:val="22"/>
              </w:rPr>
            </w:r>
            <w:r>
              <w:rPr>
                <w:sz w:val="22"/>
                <w:szCs w:val="22"/>
              </w:rPr>
            </w:r>
          </w:p>
        </w:tc>
      </w:tr>
    </w:tbl>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r/>
    </w:p>
    <w:p>
      <w:pPr>
        <w:pBdr/>
        <w:shd w:val="nil"/>
        <w:spacing/>
        <w:ind/>
        <w:rPr/>
      </w:pPr>
      <w:r>
        <w:br w:type="page" w:clear="all"/>
      </w:r>
      <w:r/>
      <w:r/>
      <w:r>
        <w:rPr>
          <w:highlight w:val="none"/>
        </w:rPr>
      </w:r>
      <w:r>
        <w:rPr>
          <w:highlight w:val="none"/>
        </w:rPr>
      </w:r>
      <w:r>
        <w:rPr>
          <w:highlight w:val="none"/>
        </w:rPr>
      </w: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62"/>
        <w:gridCol w:w="1614"/>
        <w:gridCol w:w="1808"/>
        <w:gridCol w:w="1622"/>
        <w:gridCol w:w="1271"/>
        <w:gridCol w:w="2154"/>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66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TT</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14"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Tài sản</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808"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Diện tích (m²)</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Đơn giá (đồng/m²)</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271"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Hệ số/</w:t>
              <w:br/>
              <w:t xml:space="preserve">CLCL (%)</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Thành tiền (đồng)</w:t>
            </w:r>
            <w:r>
              <w:rPr>
                <w:sz w:val="24"/>
                <w:szCs w:val="24"/>
              </w:rPr>
            </w:r>
            <w:r>
              <w:rPr>
                <w:sz w:val="24"/>
                <w:szCs w:val="24"/>
              </w:rPr>
            </w:r>
          </w:p>
        </w:tc>
      </w:tr>
      <w:tr>
        <w:trPr>
          <w:trHeight w:val="162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6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1</w:t>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6315" w:type="dxa"/>
            <w:vAlign w:val="center"/>
            <w:textDirection w:val="lrTb"/>
            <w:noWrap w:val="false"/>
          </w:tcPr>
          <w:p>
            <w:pPr>
              <w:suppressLineNumbers w:val="false"/>
              <w:pBdr/>
              <w:spacing w:after="14" w:afterAutospacing="0" w:before="14" w:beforeAutospacing="0" w:line="240" w:lineRule="auto"/>
              <w:ind w:right="144" w:left="144"/>
              <w:jc w:val="both"/>
              <w:rPr>
                <w:sz w:val="24"/>
                <w:szCs w:val="24"/>
              </w:rPr>
            </w:pPr>
            <w:r>
              <w:rPr>
                <w:rFonts w:ascii="Times New Roman" w:hAnsi="Times New Roman" w:eastAsia="Times New Roman" w:cs="Times New Roman"/>
                <w:b/>
                <w:color w:val="000000"/>
                <w:sz w:val="24"/>
                <w:szCs w:val="24"/>
              </w:rPr>
              <w:t xml:space="preserve">Quyền sử dụng đất tại thửa đất có địa chỉ: 22 phố Trần Nhật Duật, phường Đồng Xuân, quận Hoàn Kiếm, thành phố Hà Nội (nay là phường Hoàn Kiếm, thành phố Hà Nội) theo Giấy chứng nhận quyền sử dụng đất, quyền sở hữu nhà ở và tài sản khác gắn liền với đất số:</w:t>
            </w:r>
            <w:r>
              <w:rPr>
                <w:rFonts w:ascii="Times New Roman" w:hAnsi="Times New Roman" w:eastAsia="Times New Roman" w:cs="Times New Roman"/>
                <w:b/>
                <w:color w:val="000000"/>
                <w:sz w:val="24"/>
                <w:szCs w:val="24"/>
              </w:rPr>
              <w:t xml:space="preserve"> CC 263730, số vào sổ cấp GCN: CSHK 00083 do Sở tài nguyên và môi trường thành phố Hà Nội cấp ngày 17/12/2015 cho Ông Lê Công Hoàng</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14" w:afterAutospacing="0" w:before="14" w:beforeAutospacing="0" w:line="240" w:lineRule="auto"/>
              <w:ind w:right="144" w:left="144"/>
              <w:jc w:val="right"/>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r>
      <w:tr>
        <w:trPr>
          <w:trHeight w:val="49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6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14" w:type="dxa"/>
            <w:vAlign w:val="center"/>
            <w:textDirection w:val="lrTb"/>
            <w:noWrap w:val="false"/>
          </w:tcPr>
          <w:p>
            <w:pPr>
              <w:suppressLineNumbers w:val="false"/>
              <w:pBdr/>
              <w:spacing w:after="14" w:afterAutospacing="0" w:before="14" w:beforeAutospacing="0" w:line="240" w:lineRule="auto"/>
              <w:ind w:right="144" w:left="144"/>
              <w:rPr>
                <w:sz w:val="24"/>
                <w:szCs w:val="24"/>
              </w:rPr>
            </w:pPr>
            <w:r>
              <w:rPr>
                <w:rFonts w:ascii="Times New Roman" w:hAnsi="Times New Roman" w:eastAsia="Times New Roman" w:cs="Times New Roman"/>
                <w:color w:val="000000"/>
                <w:sz w:val="24"/>
                <w:szCs w:val="24"/>
              </w:rPr>
              <w:t xml:space="preserve">Đất ở</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08" w:type="dxa"/>
            <w:vAlign w:val="center"/>
            <w:textDirection w:val="lrTb"/>
            <w:noWrap w:val="false"/>
          </w:tcPr>
          <w:p>
            <w:pPr>
              <w:suppressLineNumbers w:val="false"/>
              <w:pBdr/>
              <w:spacing w:after="14" w:afterAutospacing="0" w:before="14"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71,3</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suppressLineNumbers w:val="false"/>
              <w:pBdr/>
              <w:spacing w:after="14" w:afterAutospacing="0" w:before="14"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856.000.000 </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271" w:type="dxa"/>
            <w:vAlign w:val="center"/>
            <w:textDirection w:val="lrTb"/>
            <w:noWrap w:val="false"/>
          </w:tcPr>
          <w:p>
            <w:pPr>
              <w:suppressLineNumbers w:val="false"/>
              <w:pBdr/>
              <w:spacing w:after="14" w:afterAutospacing="0" w:before="14" w:beforeAutospacing="0" w:line="240" w:lineRule="auto"/>
              <w:ind w:right="144" w:left="144"/>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14" w:afterAutospacing="0" w:before="14"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61.032.800.000</w:t>
            </w:r>
            <w:r>
              <w:rPr>
                <w:sz w:val="24"/>
                <w:szCs w:val="24"/>
              </w:rPr>
            </w:r>
            <w:r>
              <w:rPr>
                <w:sz w:val="24"/>
                <w:szCs w:val="24"/>
              </w:rPr>
            </w:r>
          </w:p>
        </w:tc>
      </w:tr>
      <w:tr>
        <w:trPr>
          <w:trHeight w:val="43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6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14" w:type="dxa"/>
            <w:vAlign w:val="center"/>
            <w:textDirection w:val="lrTb"/>
            <w:noWrap w:val="false"/>
          </w:tcPr>
          <w:p>
            <w:pPr>
              <w:suppressLineNumbers w:val="false"/>
              <w:pBdr/>
              <w:spacing w:after="14" w:afterAutospacing="0" w:before="14" w:beforeAutospacing="0" w:line="240" w:lineRule="auto"/>
              <w:ind w:right="144" w:left="144"/>
              <w:rPr>
                <w:sz w:val="24"/>
                <w:szCs w:val="24"/>
              </w:rPr>
            </w:pPr>
            <w:r>
              <w:rPr>
                <w:rFonts w:ascii="Times New Roman" w:hAnsi="Times New Roman" w:eastAsia="Times New Roman" w:cs="Times New Roman"/>
                <w:color w:val="000000"/>
                <w:sz w:val="24"/>
                <w:szCs w:val="24"/>
              </w:rPr>
              <w:t xml:space="preserve">Nhà 7 tầng</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499,1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7.433.216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88%</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3.264.727.933</w:t>
            </w: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6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315"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Tổng cộng</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64.297.527.933</w:t>
            </w: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6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315"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Làm tròn</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64.298.000.000</w:t>
            </w:r>
            <w:r/>
          </w:p>
        </w:tc>
      </w:tr>
      <w:tr>
        <w:trPr>
          <w:trHeight w:val="310"/>
        </w:trPr>
        <w:tc>
          <w:tcPr>
            <w:gridSpan w:val="6"/>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91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Sáu mươi tư tỷ hai trăm chín mươi tám triệu đồng ./.)</w:t>
            </w: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275/2026/0944/VFI-CT.44.A</w:t>
      </w:r>
      <w:r>
        <w:rPr>
          <w:color w:val="ff0000"/>
          <w:lang w:val="vi-VN"/>
        </w:rPr>
        <w:t xml:space="preserve"> </w:t>
      </w:r>
      <w:r>
        <w:rPr>
          <w:color w:val="000000" w:themeColor="text1"/>
        </w:rPr>
        <w:t xml:space="preserve">ngày 24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r>
        <w:rPr>
          <w:lang w:val="pt-BR"/>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275/2026/0944/VFI-BC.44.A</w:t>
      </w:r>
      <w:r>
        <w:rPr>
          <w:i/>
          <w:lang w:val="pt-BR"/>
        </w:rPr>
        <w:t xml:space="preserve"> </w:t>
      </w:r>
      <w:r>
        <w:rPr>
          <w:i/>
          <w:lang w:val="pt-BR"/>
        </w:rPr>
        <w:t xml:space="preserve">24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Tổng quan tài</w:t>
            </w:r>
            <w:r>
              <w:rPr>
                <w:b/>
                <w:bCs/>
                <w:i/>
                <w:lang w:val="pt-BR"/>
              </w:rPr>
              <w:t xml:space="preserve"> sản</w:t>
            </w: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96610" cy="187245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094810" name=""/>
                              <pic:cNvPicPr>
                                <a:picLocks noChangeAspect="1"/>
                              </pic:cNvPicPr>
                              <pic:nvPr/>
                            </pic:nvPicPr>
                            <pic:blipFill rotWithShape="1">
                              <a:blip r:embed="rId19"/>
                              <a:stretch/>
                            </pic:blipFill>
                            <pic:spPr bwMode="auto">
                              <a:xfrm flipH="0" flipV="0">
                                <a:off x="0" y="0"/>
                                <a:ext cx="2496609" cy="18724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6.58pt;height:147.4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5004" cy="202616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66402" name=""/>
                              <pic:cNvPicPr>
                                <a:picLocks noChangeAspect="1"/>
                              </pic:cNvPicPr>
                              <pic:nvPr/>
                            </pic:nvPicPr>
                            <pic:blipFill rotWithShape="1">
                              <a:blip r:embed="rId20"/>
                              <a:stretch/>
                            </pic:blipFill>
                            <pic:spPr bwMode="auto">
                              <a:xfrm flipH="0" flipV="0">
                                <a:off x="0" y="0"/>
                                <a:ext cx="2705004" cy="20261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2.99pt;height:159.5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5824" cy="202186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0121" name=""/>
                              <pic:cNvPicPr>
                                <a:picLocks noChangeAspect="1"/>
                              </pic:cNvPicPr>
                              <pic:nvPr/>
                            </pic:nvPicPr>
                            <pic:blipFill rotWithShape="1">
                              <a:blip r:embed="rId21"/>
                              <a:stretch/>
                            </pic:blipFill>
                            <pic:spPr bwMode="auto">
                              <a:xfrm flipH="0" flipV="0">
                                <a:off x="0" y="0"/>
                                <a:ext cx="2695824" cy="20218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2.27pt;height:159.2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1948" cy="204896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905800" name=""/>
                              <pic:cNvPicPr>
                                <a:picLocks noChangeAspect="1"/>
                              </pic:cNvPicPr>
                              <pic:nvPr/>
                            </pic:nvPicPr>
                            <pic:blipFill rotWithShape="1">
                              <a:blip r:embed="rId22"/>
                              <a:stretch/>
                            </pic:blipFill>
                            <pic:spPr bwMode="auto">
                              <a:xfrm flipH="0" flipV="0">
                                <a:off x="0" y="0"/>
                                <a:ext cx="2731948" cy="20489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11pt;height:161.3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275/2026/0944/VFI-BC.44.A</w:t>
      </w:r>
      <w:r>
        <w:rPr>
          <w:i/>
          <w:lang w:val="pt-BR"/>
        </w:rPr>
        <w:t xml:space="preserve"> </w:t>
      </w:r>
      <w:r>
        <w:rPr>
          <w:i/>
          <w:lang w:val="pt-BR"/>
        </w:rPr>
        <w:t xml:space="preserve">24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0946553655</w:t>
            </w:r>
            <w:r>
              <w:rPr>
                <w:sz w:val="22"/>
                <w:szCs w:val="22"/>
              </w:rPr>
              <w:t xml:space="preserve"> </w:t>
            </w:r>
            <w:r>
              <w:rPr>
                <w:sz w:val="22"/>
                <w:szCs w:val="22"/>
              </w:rPr>
              <w:br/>
              <w:t xml:space="preserve">(Nông Kim Luyên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(135.4m²)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phố Mã Mây, Phường Hoàn Kiếm, thành phố Hà Nội (Vị trí thuộc khu vực đường trung tâm phố cổ)</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44235" cy="2525012"/>
                      <wp:effectExtent l="0" t="0" r="0" b="0"/>
                      <wp:docPr id="11" name=""/>
                      <wp:cNvGraphicFramePr/>
                      <a:graphic xmlns:a="http://schemas.openxmlformats.org/drawingml/2006/main">
                        <a:graphicData uri="http://schemas.openxmlformats.org/drawingml/2006/picture">
                          <pic:pic xmlns:pic="http://schemas.openxmlformats.org/drawingml/2006/picture">
                            <pic:nvPicPr>
                              <pic:cNvPr id="192121142" name="" descr=""/>
                              <pic:cNvPicPr/>
                              <pic:nvPr/>
                            </pic:nvPicPr>
                            <pic:blipFill rotWithShape="1">
                              <a:blip r:embed="rId23"/>
                              <a:stretch/>
                            </pic:blipFill>
                            <pic:spPr bwMode="auto">
                              <a:xfrm flipH="0" flipV="0">
                                <a:off x="0" y="0"/>
                                <a:ext cx="2544234" cy="25250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33pt;height:198.82pt;mso-wrap-distance-left:0.00pt;mso-wrap-distance-top:0.00pt;mso-wrap-distance-right:0.00pt;mso-wrap-distance-bottom:0.00pt;z-index:1;" stroked="false">
                      <v:imagedata r:id="rId23" o:title=""/>
                      <o:lock v:ext="edit" rotation="t"/>
                    </v:shape>
                  </w:pict>
                </mc:Fallback>
              </mc:AlternateContent>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90603" cy="2616386"/>
                      <wp:effectExtent l="0" t="0" r="0" b="0"/>
                      <wp:docPr id="12" name=""/>
                      <wp:cNvGraphicFramePr/>
                      <a:graphic xmlns:a="http://schemas.openxmlformats.org/drawingml/2006/main">
                        <a:graphicData uri="http://schemas.openxmlformats.org/drawingml/2006/picture">
                          <pic:pic xmlns:pic="http://schemas.openxmlformats.org/drawingml/2006/picture">
                            <pic:nvPicPr>
                              <pic:cNvPr id="1513552156" name="" descr=""/>
                              <pic:cNvPicPr/>
                              <pic:nvPr/>
                            </pic:nvPicPr>
                            <pic:blipFill rotWithShape="1">
                              <a:blip r:embed="rId24"/>
                              <a:srcRect l="0" t="14277" r="0" b="18194"/>
                              <a:stretch/>
                            </pic:blipFill>
                            <pic:spPr bwMode="auto">
                              <a:xfrm flipH="0" flipV="0">
                                <a:off x="0" y="0"/>
                                <a:ext cx="1490603" cy="26163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7.37pt;height:206.01pt;mso-wrap-distance-left:0.00pt;mso-wrap-distance-top:0.00pt;mso-wrap-distance-right:0.00pt;mso-wrap-distance-bottom:0.00pt;z-index:1;" stroked="false">
                      <v:imagedata r:id="rId24" o:title="" croptop="9357f" cropleft="0f" cropbottom="11924f" cropright="0f"/>
                      <o:lock v:ext="edit" rotation="t"/>
                    </v:shape>
                  </w:pict>
                </mc:Fallback>
              </mc:AlternateContent>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752600" cy="2557468"/>
                      <wp:effectExtent l="0" t="0" r="0" b="0"/>
                      <wp:docPr id="13" name=""/>
                      <wp:cNvGraphicFramePr/>
                      <a:graphic xmlns:a="http://schemas.openxmlformats.org/drawingml/2006/main">
                        <a:graphicData uri="http://schemas.openxmlformats.org/drawingml/2006/picture">
                          <pic:pic xmlns:pic="http://schemas.openxmlformats.org/drawingml/2006/picture">
                            <pic:nvPicPr>
                              <pic:cNvPr id="767447652" name="" descr=""/>
                              <pic:cNvPicPr/>
                              <pic:nvPr/>
                            </pic:nvPicPr>
                            <pic:blipFill rotWithShape="1">
                              <a:blip r:embed="rId25"/>
                              <a:stretch/>
                            </pic:blipFill>
                            <pic:spPr bwMode="auto">
                              <a:xfrm flipH="0" flipV="0">
                                <a:off x="0" y="0"/>
                                <a:ext cx="1752599" cy="25574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38.00pt;height:201.38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0914429869</w:t>
            </w:r>
            <w:r>
              <w:rPr>
                <w:sz w:val="22"/>
                <w:szCs w:val="22"/>
              </w:rPr>
              <w:t xml:space="preserve"> </w:t>
            </w:r>
            <w:r>
              <w:rPr>
                <w:sz w:val="22"/>
                <w:szCs w:val="22"/>
              </w:rPr>
              <w:br/>
              <w:t xml:space="preserve">(Sale Hiếu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129.150.000.000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(155.3m²)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phố Hàng Giấy, Phường Hoàn Kiếm, thành phố Hà Nội (Vị trí thuộc khu vực đường trung tâm phố cổ)</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51085" cy="1515928"/>
                      <wp:effectExtent l="0" t="0" r="0" b="0"/>
                      <wp:docPr id="14" name=""/>
                      <wp:cNvGraphicFramePr/>
                      <a:graphic xmlns:a="http://schemas.openxmlformats.org/drawingml/2006/main">
                        <a:graphicData uri="http://schemas.openxmlformats.org/drawingml/2006/picture">
                          <pic:pic xmlns:pic="http://schemas.openxmlformats.org/drawingml/2006/picture">
                            <pic:nvPicPr>
                              <pic:cNvPr id="341017487" name="" descr=""/>
                              <pic:cNvPicPr/>
                              <pic:nvPr/>
                            </pic:nvPicPr>
                            <pic:blipFill rotWithShape="1">
                              <a:blip r:embed="rId26"/>
                              <a:stretch/>
                            </pic:blipFill>
                            <pic:spPr bwMode="auto">
                              <a:xfrm flipH="0" flipV="0">
                                <a:off x="0" y="0"/>
                                <a:ext cx="2151084" cy="15159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69.38pt;height:119.36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092328" cy="1573078"/>
                      <wp:effectExtent l="0" t="0" r="0" b="0"/>
                      <wp:docPr id="15" name=""/>
                      <wp:cNvGraphicFramePr/>
                      <a:graphic xmlns:a="http://schemas.openxmlformats.org/drawingml/2006/main">
                        <a:graphicData uri="http://schemas.openxmlformats.org/drawingml/2006/picture">
                          <pic:pic xmlns:pic="http://schemas.openxmlformats.org/drawingml/2006/picture">
                            <pic:nvPicPr>
                              <pic:cNvPr id="2015566851" name="" descr=""/>
                              <pic:cNvPicPr/>
                              <pic:nvPr/>
                            </pic:nvPicPr>
                            <pic:blipFill rotWithShape="1">
                              <a:blip r:embed="rId27"/>
                              <a:stretch/>
                            </pic:blipFill>
                            <pic:spPr bwMode="auto">
                              <a:xfrm flipH="0" flipV="0">
                                <a:off x="0" y="0"/>
                                <a:ext cx="2092328" cy="15730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4.75pt;height:123.86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323975" cy="1449253"/>
                      <wp:effectExtent l="0" t="0" r="0" b="0"/>
                      <wp:docPr id="16" name=""/>
                      <wp:cNvGraphicFramePr/>
                      <a:graphic xmlns:a="http://schemas.openxmlformats.org/drawingml/2006/main">
                        <a:graphicData uri="http://schemas.openxmlformats.org/drawingml/2006/picture">
                          <pic:pic xmlns:pic="http://schemas.openxmlformats.org/drawingml/2006/picture">
                            <pic:nvPicPr>
                              <pic:cNvPr id="1129137536" name="" descr=""/>
                              <pic:cNvPicPr/>
                              <pic:nvPr/>
                            </pic:nvPicPr>
                            <pic:blipFill rotWithShape="1">
                              <a:blip r:embed="rId28"/>
                              <a:stretch/>
                            </pic:blipFill>
                            <pic:spPr bwMode="auto">
                              <a:xfrm flipH="0" flipV="0">
                                <a:off x="0" y="0"/>
                                <a:ext cx="1323974" cy="14492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04.25pt;height:114.11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b/>
                <w:bCs/>
                <w:sz w:val="22"/>
                <w:szCs w:val="22"/>
              </w:rPr>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p>
    <w:p>
      <w:pPr>
        <w:pBdr/>
        <w:shd w:val="nil"/>
        <w:spacing/>
        <w:ind/>
        <w:rPr>
          <w:b/>
          <w:bCs/>
          <w:lang w:val="pt-BR"/>
        </w:rPr>
      </w:pPr>
      <w:r>
        <w:rPr>
          <w:b/>
          <w:bCs/>
          <w:iCs/>
          <w:highlight w:val="none"/>
          <w:lang w:val="pt-BR"/>
        </w:rPr>
        <w:br w:type="page" w:clear="all"/>
      </w:r>
      <w:r>
        <w:rPr>
          <w:b/>
          <w:bCs/>
          <w:iCs/>
          <w:highlight w:val="none"/>
          <w:lang w:val="pt-BR"/>
        </w:rPr>
      </w:r>
      <w:r>
        <w:rPr>
          <w:b/>
          <w:bCs/>
          <w:iCs/>
          <w:highlight w:val="none"/>
          <w:lang w:val="pt-BR"/>
        </w:rPr>
      </w:r>
    </w:p>
    <w:p>
      <w:pPr>
        <w:pBdr/>
        <w:spacing w:after="200" w:line="276" w:lineRule="auto"/>
        <w:ind/>
        <w:jc w:val="center"/>
        <w:rPr>
          <w:b/>
          <w:bCs/>
          <w:iCs/>
          <w:highlight w:val="none"/>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0964756785</w:t>
            </w:r>
            <w:r>
              <w:rPr>
                <w:sz w:val="22"/>
                <w:szCs w:val="22"/>
              </w:rPr>
              <w:t xml:space="preserve"> </w:t>
            </w:r>
            <w:r>
              <w:rPr>
                <w:sz w:val="22"/>
                <w:szCs w:val="22"/>
              </w:rPr>
              <w:br/>
              <w:t xml:space="preserve">(Sale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(97.7m²)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phố Hàng Giấy, Phường Hoàn Kiếm, thành phố Hà Nội (Vị trí thuộc khu vực đường trung tâm phố cổ)</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70160" cy="1620703"/>
                      <wp:effectExtent l="0" t="0" r="0" b="0"/>
                      <wp:docPr id="17" name=""/>
                      <wp:cNvGraphicFramePr/>
                      <a:graphic xmlns:a="http://schemas.openxmlformats.org/drawingml/2006/main">
                        <a:graphicData uri="http://schemas.openxmlformats.org/drawingml/2006/picture">
                          <pic:pic xmlns:pic="http://schemas.openxmlformats.org/drawingml/2006/picture">
                            <pic:nvPicPr>
                              <pic:cNvPr id="1596529125" name="" descr=""/>
                              <pic:cNvPicPr/>
                              <pic:nvPr/>
                            </pic:nvPicPr>
                            <pic:blipFill rotWithShape="1">
                              <a:blip r:embed="rId29"/>
                              <a:stretch/>
                            </pic:blipFill>
                            <pic:spPr bwMode="auto">
                              <a:xfrm flipH="0" flipV="0">
                                <a:off x="0" y="0"/>
                                <a:ext cx="2370159" cy="16207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6.63pt;height:127.61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70127" cy="16383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270126" cy="16382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78.75pt;height:129.00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spacing/>
        <w:ind/>
        <w:rPr>
          <w:lang w:val="pt-BR"/>
        </w:rPr>
      </w:pPr>
      <w:r>
        <w:rPr>
          <w:iCs/>
          <w:lang w:val="pt-BR"/>
        </w:rPr>
        <w:br w:type="page" w:clear="all"/>
      </w:r>
      <w:r>
        <w:rPr>
          <w:iCs/>
          <w:lang w:val="pt-BR"/>
        </w:rPr>
      </w:r>
      <w:r>
        <w:rPr>
          <w:iCs/>
          <w:lang w:val="pt-BR"/>
        </w:rPr>
      </w:r>
    </w:p>
    <w:p>
      <w:pPr>
        <w:pBdr/>
        <w:spacing w:after="200" w:line="276" w:lineRule="auto"/>
        <w:ind/>
        <w:jc w:val="center"/>
        <w:rPr>
          <w:b/>
          <w:bCs/>
          <w:iCs/>
          <w:highlight w:val="none"/>
          <w:lang w:val="pt-BR"/>
        </w:rPr>
      </w:pPr>
      <w:r>
        <w:rPr>
          <w:b/>
          <w:bCs/>
          <w:iCs/>
          <w:lang w:val="pt-BR"/>
        </w:rPr>
        <w:tab/>
        <w:t xml:space="preserve">GIẤY CHỨNG NHẬN QSDĐ</w:t>
      </w:r>
      <w:r>
        <w:rPr>
          <w:b/>
          <w:bCs/>
          <w:i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156010" cy="872097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884564" name=""/>
                        <pic:cNvPicPr>
                          <a:picLocks noChangeAspect="1"/>
                        </pic:cNvPicPr>
                        <pic:nvPr/>
                      </pic:nvPicPr>
                      <pic:blipFill rotWithShape="1">
                        <a:blip r:embed="rId31"/>
                        <a:srcRect l="0" t="11460" r="0" b="22465"/>
                        <a:stretch/>
                      </pic:blipFill>
                      <pic:spPr bwMode="auto">
                        <a:xfrm flipH="0" flipV="0">
                          <a:off x="0" y="0"/>
                          <a:ext cx="6156009" cy="87209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84.73pt;height:686.69pt;mso-wrap-distance-left:0.00pt;mso-wrap-distance-top:0.00pt;mso-wrap-distance-right:0.00pt;mso-wrap-distance-bottom:0.00pt;z-index:1;" stroked="false">
                <v:imagedata r:id="rId31" o:title="" croptop="7510f" cropleft="0f" cropbottom="14723f" cropright="0f"/>
                <o:lock v:ext="edit" rotation="t"/>
              </v:shape>
            </w:pict>
          </mc:Fallback>
        </mc:AlternateContent>
      </w:r>
      <w:r>
        <w:rPr>
          <w:b/>
          <w:bCs/>
          <w:iCs/>
          <w:highlight w:val="none"/>
          <w:lang w:val="pt-BR"/>
        </w:rPr>
      </w:r>
      <w:r>
        <w:rPr>
          <w:b/>
          <w:bCs/>
          <w:iCs/>
          <w:highlight w:val="none"/>
          <w:lang w:val="pt-BR"/>
        </w:rPr>
      </w:r>
      <w:r>
        <w:rPr>
          <w:b/>
          <w:bCs/>
        </w:rPr>
      </w:r>
    </w:p>
    <w:p>
      <w:pPr>
        <w:pBdr/>
        <w:shd w:val="nil"/>
        <w:spacing/>
        <w:ind/>
        <w:rPr>
          <w:b/>
          <w:bCs/>
          <w:highlight w:val="none"/>
        </w:rPr>
      </w:pPr>
      <w:r>
        <w:rPr>
          <w:b/>
          <w:bCs/>
        </w:rPr>
        <w:br w:type="page" w:clear="all"/>
      </w:r>
      <w:r>
        <w:rPr>
          <w:b/>
          <w:bCs/>
        </w:rPr>
      </w:r>
      <w:r/>
      <w:r>
        <mc:AlternateContent>
          <mc:Choice Requires="wpg">
            <w:drawing>
              <wp:inline xmlns:wp="http://schemas.openxmlformats.org/drawingml/2006/wordprocessingDrawing" distT="0" distB="0" distL="0" distR="0">
                <wp:extent cx="5985991" cy="848991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746217" name=""/>
                        <pic:cNvPicPr>
                          <a:picLocks noChangeAspect="1"/>
                        </pic:cNvPicPr>
                        <pic:nvPr/>
                      </pic:nvPicPr>
                      <pic:blipFill rotWithShape="1">
                        <a:blip r:embed="rId32"/>
                        <a:srcRect l="-551" t="19310" r="551" b="14540"/>
                        <a:stretch/>
                      </pic:blipFill>
                      <pic:spPr bwMode="auto">
                        <a:xfrm flipH="0" flipV="0">
                          <a:off x="0" y="0"/>
                          <a:ext cx="5985990" cy="8489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1.34pt;height:668.50pt;mso-wrap-distance-left:0.00pt;mso-wrap-distance-top:0.00pt;mso-wrap-distance-right:0.00pt;mso-wrap-distance-bottom:0.00pt;z-index:1;" stroked="false">
                <v:imagedata r:id="rId32" o:title="" croptop="12655f" cropleft="-360f" cropbottom="9529f" cropright="361f"/>
                <o:lock v:ext="edit" rotation="t"/>
              </v:shape>
            </w:pict>
          </mc:Fallback>
        </mc:AlternateContent>
      </w:r>
      <w:r/>
      <w:r>
        <w:rPr>
          <w:b/>
          <w:bCs/>
        </w:rPr>
      </w:r>
      <w:r>
        <w:rPr>
          <w:b/>
          <w:bCs/>
        </w:rPr>
      </w:r>
    </w:p>
    <w:p>
      <w:pPr>
        <w:pBdr/>
        <w:shd w:val="nil" w:color="000000"/>
        <w:spacing/>
        <w:ind/>
        <w:rPr>
          <w:b/>
          <w:bCs/>
        </w:rPr>
      </w:pPr>
      <w:r>
        <w:rPr>
          <w:b/>
          <w:bCs/>
        </w:rPr>
      </w:r>
      <w:r>
        <w:rPr>
          <w:b/>
          <w:bCs/>
        </w:rPr>
      </w:r>
      <w:r>
        <w:rPr>
          <w:b/>
          <w:bCs/>
        </w:rPr>
      </w:r>
    </w:p>
    <w:p>
      <w:pPr>
        <w:pBdr/>
        <w:shd w:val="nil" w:color="000000"/>
        <w:spacing/>
        <w:ind/>
        <w:rPr>
          <w:b/>
          <w:bCs/>
        </w:rPr>
      </w:pPr>
      <w:r>
        <w:rPr>
          <w:b/>
          <w:bCs/>
        </w:rPr>
      </w:r>
      <w:r>
        <w:rPr>
          <w:b/>
          <w:bCs/>
        </w:rPr>
      </w:r>
      <w:r>
        <w:rPr>
          <w:b/>
          <w:bCs/>
        </w:rPr>
      </w:r>
    </w:p>
    <w:p>
      <w:pPr>
        <w:pBdr/>
        <w:shd w:val="nil" w:color="000000"/>
        <w:spacing/>
        <w:ind/>
        <w:rPr>
          <w:b/>
          <w:bCs/>
        </w:rPr>
      </w:pPr>
      <w:r>
        <w:rPr>
          <w:b/>
          <w:bCs/>
        </w:rPr>
      </w:r>
      <w:r>
        <w:rPr>
          <w:b/>
          <w:bCs/>
        </w:rPr>
      </w:r>
      <w:r>
        <w:rPr>
          <w:b/>
          <w:bCs/>
        </w:rPr>
      </w:r>
    </w:p>
    <w:p>
      <w:pPr>
        <w:pBdr/>
        <w:shd w:val="nil" w:color="000000"/>
        <w:spacing/>
        <w:ind/>
        <w:rPr>
          <w:b/>
          <w:bCs/>
        </w:rPr>
      </w:pPr>
      <w:r>
        <w:rPr>
          <w:b/>
          <w:bCs/>
        </w:rPr>
      </w:r>
      <w:r>
        <w:rPr>
          <w:b/>
          <w:bCs/>
        </w:rPr>
      </w:r>
      <w:r>
        <w:rPr>
          <w:b/>
          <w:bCs/>
        </w:rPr>
      </w:r>
    </w:p>
    <w:p>
      <w:pPr>
        <w:pBdr/>
        <w:shd w:val="nil" w:color="000000"/>
        <w:spacing/>
        <w:ind/>
        <w:rPr>
          <w:b/>
          <w:bCs/>
          <w:highlight w:val="none"/>
        </w:rPr>
      </w:pPr>
      <w:r>
        <w:rPr>
          <w:b/>
          <w:bCs/>
          <w:highlight w:val="none"/>
        </w:rPr>
      </w:r>
      <w:r/>
      <w:r>
        <mc:AlternateContent>
          <mc:Choice Requires="wpg">
            <w:drawing>
              <wp:inline xmlns:wp="http://schemas.openxmlformats.org/drawingml/2006/wordprocessingDrawing" distT="0" distB="0" distL="0" distR="0">
                <wp:extent cx="6103517" cy="8656597"/>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25884" name=""/>
                        <pic:cNvPicPr>
                          <a:picLocks noChangeAspect="1"/>
                        </pic:cNvPicPr>
                        <pic:nvPr/>
                      </pic:nvPicPr>
                      <pic:blipFill rotWithShape="1">
                        <a:blip r:embed="rId33"/>
                        <a:srcRect l="0" t="19438" r="0" b="14411"/>
                        <a:stretch/>
                      </pic:blipFill>
                      <pic:spPr bwMode="auto">
                        <a:xfrm flipH="0" flipV="0">
                          <a:off x="0" y="0"/>
                          <a:ext cx="6103517" cy="86565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80.59pt;height:681.62pt;mso-wrap-distance-left:0.00pt;mso-wrap-distance-top:0.00pt;mso-wrap-distance-right:0.00pt;mso-wrap-distance-bottom:0.00pt;z-index:1;" stroked="false">
                <v:imagedata r:id="rId33" o:title="" croptop="12739f" cropleft="0f" cropbottom="9444f" cropright="0f"/>
                <o:lock v:ext="edit" rotation="t"/>
              </v:shape>
            </w:pict>
          </mc:Fallback>
        </mc:AlternateContent>
      </w:r>
      <w:r/>
      <w:r>
        <w:rPr>
          <w:b/>
          <w:bCs/>
          <w:highlight w:val="none"/>
        </w:rPr>
      </w:r>
      <w:r>
        <w:rPr>
          <w:b/>
          <w:bCs/>
          <w:highlight w:val="none"/>
        </w:rPr>
      </w:r>
      <w:r>
        <w:rPr>
          <w:b/>
          <w:bCs/>
        </w:rPr>
      </w:r>
    </w:p>
    <w:p>
      <w:pPr>
        <w:pBdr/>
        <w:shd w:val="nil" w:color="000000"/>
        <w:spacing/>
        <w:ind/>
        <w:rPr>
          <w:b/>
          <w:bCs/>
        </w:rPr>
      </w:pPr>
      <w:r>
        <w:rPr>
          <w:b/>
          <w:bCs/>
        </w:rPr>
      </w:r>
      <w:r>
        <w:rPr>
          <w:b/>
          <w:bCs/>
        </w:rPr>
      </w:r>
      <w:r>
        <w:rPr>
          <w:b/>
          <w:bCs/>
        </w:rPr>
      </w:r>
    </w:p>
    <w:p>
      <w:pPr>
        <w:pBdr/>
        <w:shd w:val="nil" w:color="000000"/>
        <w:spacing/>
        <w:ind/>
        <w:rPr>
          <w:b/>
          <w:bCs/>
        </w:rPr>
      </w:pPr>
      <w:r>
        <w:rPr>
          <w:b/>
          <w:bCs/>
        </w:rPr>
      </w:r>
      <w:r>
        <w:rPr>
          <w:b/>
          <w:bCs/>
        </w:rPr>
      </w:r>
      <w:r>
        <w:rPr>
          <w:b/>
          <w:bCs/>
        </w:rPr>
      </w:r>
    </w:p>
    <w:p>
      <w:pPr>
        <w:pBdr/>
        <w:shd w:val="nil" w:color="000000"/>
        <w:spacing/>
        <w:ind/>
        <w:rPr>
          <w:b/>
          <w:bCs/>
        </w:rPr>
      </w:pPr>
      <w:r>
        <w:rPr>
          <w:b/>
          <w:bCs/>
        </w:rPr>
      </w:r>
      <w:r>
        <w:rPr>
          <w:b/>
          <w:bCs/>
        </w:rPr>
      </w:r>
      <w:r>
        <w:rPr>
          <w:b/>
          <w:bCs/>
        </w:rPr>
      </w:r>
    </w:p>
    <w:p>
      <w:pPr>
        <w:pBdr/>
        <w:shd w:val="nil" w:color="000000"/>
        <w:spacing/>
        <w:ind/>
        <w:jc w:val="center"/>
        <w:rPr>
          <w:b/>
          <w:bCs/>
        </w:rPr>
      </w:pPr>
      <w:r>
        <w:rPr>
          <w:b/>
          <w:bCs/>
          <w:highlight w:val="none"/>
        </w:rPr>
        <w:tab/>
        <w:t xml:space="preserve">BIÊN BẢN KHẢO SÁT</w:t>
      </w:r>
      <w:r>
        <w:rPr>
          <w:b/>
          <w:bCs/>
          <w:highlight w:val="none"/>
        </w:rPr>
      </w:r>
      <w:r>
        <w:rPr>
          <w:b/>
          <w:bCs/>
          <w:highlight w:val="none"/>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509599"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b/>
          <w:bCs/>
          <w:iCs/>
          <w:highlight w:val="none"/>
          <w:lang w:val="pt-BR"/>
        </w:rPr>
      </w:r>
      <w:r>
        <w:rPr>
          <w:b/>
          <w:bCs/>
          <w:iCs/>
          <w:highlight w:val="none"/>
          <w:lang w:val="pt-BR"/>
        </w:rPr>
      </w:r>
      <w:r/>
      <w:r>
        <w:rPr>
          <w:b/>
          <w:bCs/>
          <w:iCs/>
          <w:highlight w:val="none"/>
          <w:lang w:val="pt-BR"/>
        </w:rPr>
      </w:r>
      <w:r>
        <w:rPr>
          <w:b/>
          <w:bCs/>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88B1E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5F036E6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53AFC017"/>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12DEE24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283</cp:revision>
  <dcterms:created xsi:type="dcterms:W3CDTF">2025-09-15T09:58:00Z</dcterms:created>
  <dcterms:modified xsi:type="dcterms:W3CDTF">2026-06-26T03:30:10Z</dcterms:modified>
</cp:coreProperties>
</file>