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3635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3635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275/2026/0968/VFI-CT.69.A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Vũ Thị Thuỳ Nhung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205, tờ bản đồ số 20, có địa chỉ: Khu phố Ruộng Hời, phường Bảo Vinh, tỉnh Đồng Nai (Nay là Phường Bảo </w:t>
                            </w:r>
                            <w:r>
                              <w:rPr>
                                <w:color w:val="000000"/>
                              </w:rPr>
                              <w:t xml:space="preserve">V</w:t>
                            </w:r>
                            <w:r>
                              <w:rPr>
                                <w:color w:val="000000"/>
                              </w:rPr>
                              <w:t xml:space="preserve">inh, Thành phố Đồng Nai) theo Giấy chứng nhận quyền sử dụng đất, quyền sở hữu tài sản gắn liền với đất số AA 04085715, số vào sổ cấp GCN: CN 5146 do Văn phòng đăng ký đất đai chi nhánh Long Khánh cấp ngày 16/10/2025; chủ sử dụng đất là Bà Vũ Thị Thuỳ Nhung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4.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275/2026/0968/VFI-CT.69.A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Vũ Thị Thuỳ Nhung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205, tờ bản đồ số 20, có địa chỉ: Khu phố Ruộng Hời, phường Bảo Vinh, tỉnh Đồng Nai (Nay là Phường Bảo </w:t>
                      </w:r>
                      <w:r>
                        <w:rPr>
                          <w:color w:val="000000"/>
                        </w:rPr>
                        <w:t xml:space="preserve">V</w:t>
                      </w:r>
                      <w:r>
                        <w:rPr>
                          <w:color w:val="000000"/>
                        </w:rPr>
                        <w:t xml:space="preserve">inh, Thành phố Đồng Nai) theo Giấy chứng nhận quyền sử dụng đất, quyền sở hữu tài sản gắn liền với đất số AA 04085715, số vào sổ cấp GCN: CN 5146 do Văn phòng đăng ký đất đai chi nhánh Long Khánh cấp ngày 16/10/2025; chủ sử dụng đất là Bà Vũ Thị Thuỳ Nhung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50" w:type="dxa"/>
        <w:tblBorders/>
        <w:tblLayout w:type="fixed"/>
        <w:tblLook w:val="04A0" w:firstRow="1" w:lastRow="0" w:firstColumn="1" w:lastColumn="0" w:noHBand="0" w:noVBand="1"/>
      </w:tblPr>
      <w:tblGrid>
        <w:gridCol w:w="29"/>
        <w:gridCol w:w="3827"/>
        <w:gridCol w:w="6094"/>
      </w:tblGrid>
      <w:tr>
        <w:trPr>
          <w:trHeight w:val="1152"/>
        </w:trPr>
        <w:tc>
          <w:tcPr>
            <w:gridSpan w:val="2"/>
            <w:tcBorders/>
            <w:tcW w:w="3855"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609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shd w:val="clear" w:color="auto" w:fill="auto"/>
            <w:tcBorders/>
            <w:tcMar>
              <w:left w:w="108" w:type="dxa"/>
              <w:top w:w="0" w:type="dxa"/>
              <w:right w:w="108" w:type="dxa"/>
              <w:bottom w:w="0" w:type="dxa"/>
            </w:tcMar>
            <w:tcW w:w="3827"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275/2026/0968/VFI-CT.69.A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094"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29 tháng 6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Bà Vũ Thị Thuỳ Nhung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275/2026/0968/VFI-HĐTĐ.69.A</w:t>
      </w:r>
      <w:r>
        <w:rPr>
          <w:spacing w:val="-4"/>
          <w:lang w:val="vi-VN"/>
        </w:rPr>
        <w:t xml:space="preserve"> ký ngày </w:t>
      </w:r>
      <w:r>
        <w:rPr>
          <w:color w:val="000000" w:themeColor="text1"/>
          <w:spacing w:val="-4"/>
        </w:rPr>
        <w:t xml:space="preserve">25 tháng 6 năm 2026</w:t>
      </w:r>
      <w:r>
        <w:rPr>
          <w:spacing w:val="-4"/>
          <w:lang w:val="vi-VN"/>
        </w:rPr>
        <w:t xml:space="preserve"> </w:t>
      </w:r>
      <w:r>
        <w:rPr>
          <w:spacing w:val="-4"/>
          <w:lang w:val="vi-VN"/>
        </w:rPr>
        <w:t xml:space="preserve">giữa </w:t>
      </w:r>
      <w:r>
        <w:rPr>
          <w:color w:val="000000" w:themeColor="text1"/>
          <w:spacing w:val="-4"/>
        </w:rPr>
        <w:t xml:space="preserve">Bà Vũ Thị Thuỳ Nhung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275/2026/0968/VFI-BC.69.A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29 tháng 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Bà </w:t>
            </w:r>
            <w:r>
              <w:rPr>
                <w:b/>
                <w:bCs/>
              </w:rPr>
              <w:t xml:space="preserve">Vũ </w:t>
            </w:r>
            <w:r>
              <w:rPr>
                <w:b/>
                <w:bCs/>
              </w:rPr>
              <w:t xml:space="preserve">Thị </w:t>
            </w:r>
            <w:r>
              <w:rPr>
                <w:b/>
                <w:bCs/>
              </w:rPr>
              <w:t xml:space="preserve">Thuỳ </w:t>
            </w:r>
            <w:r>
              <w:rPr>
                <w:b/>
                <w:bCs/>
              </w:rPr>
              <w:t xml:space="preserve">Dung </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075196009118</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1996</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205, tờ bản đồ số 20, có địa chỉ: Khu phố Ruộng Hời, phường Bảo Vinh, tỉnh Đồng Nai (Nay là Phường Bảo </w:t>
      </w:r>
      <w:r>
        <w:rPr>
          <w:color w:val="000000" w:themeColor="text1"/>
        </w:rPr>
        <w:t xml:space="preserve">V</w:t>
      </w:r>
      <w:r>
        <w:rPr>
          <w:color w:val="000000" w:themeColor="text1"/>
        </w:rPr>
        <w:t xml:space="preserve">inh, Thành phố Đồng Nai) theo Giấy chứng nhận quyền sử dụng đất, quyền sở hữu tài sản gắn liền với đất số AA 04085715, số vào sổ cấp GCN: CN 5146 do Văn phòng đăng ký đất đai chi nhánh Long Khánh cấp ngày 16/10/2025; chủ sử dụng đất là Bà Vũ Thị Thuỳ Nhung</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06/2026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06/2026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205, tờ bản đồ số 20, có địa chỉ: Khu phố Ruộng Hời, phường Bảo Vinh, tỉnh Đồng Nai (Nay là Phường Bảo </w:t>
            </w:r>
            <w:r>
              <w:rPr>
                <w:b/>
                <w:bCs/>
                <w:color w:val="000000"/>
              </w:rPr>
              <w:t xml:space="preserve">V</w:t>
            </w:r>
            <w:r>
              <w:rPr>
                <w:b/>
                <w:bCs/>
                <w:color w:val="000000"/>
              </w:rPr>
              <w:t xml:space="preserve">inh, Thành phố Đồng Nai) theo Giấy chứng nhận quyền sử dụng đất, quyền sở hữu tài sản gắn liền với đất số AA 04085715, số vào sổ cấp GCN: CN 5146 do Văn phòng đăng ký đất đai chi nhánh Long Khánh cấp ngày 16/10/2025; chủ sử dụng đất là Bà Vũ Thị Thuỳ Nhung</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131,4</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9.136.000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1.200.470.400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1.200.470.400</w:t>
            </w:r>
            <w:r>
              <w:rPr>
                <w:b/>
                <w:bCs/>
                <w:color w:val="000000"/>
              </w:rPr>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1.200.500.000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Một tỷ hai trăm triệu năm trăm nghìn </w:t>
            </w:r>
            <w:r>
              <w:rPr>
                <w:b/>
                <w:bCs/>
                <w:i/>
                <w:iCs/>
                <w:color w:val="000000"/>
              </w:rPr>
              <w:t xml:space="preserve">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950" w:type="dxa"/>
        <w:tblBorders/>
        <w:tblLayout w:type="fixed"/>
        <w:tblLook w:val="04A0" w:firstRow="1" w:lastRow="0" w:firstColumn="1" w:lastColumn="0" w:noHBand="0" w:noVBand="1"/>
      </w:tblPr>
      <w:tblGrid>
        <w:gridCol w:w="29"/>
        <w:gridCol w:w="3543"/>
        <w:gridCol w:w="6378"/>
      </w:tblGrid>
      <w:tr>
        <w:trPr>
          <w:trHeight w:val="1843"/>
        </w:trPr>
        <w:tc>
          <w:tcPr>
            <w:gridSpan w:val="2"/>
            <w:tcBorders/>
            <w:tcW w:w="3572"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6378"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shd w:val="clear" w:color="auto" w:fill="auto"/>
            <w:tcBorders/>
            <w:tcMar>
              <w:left w:w="108" w:type="dxa"/>
              <w:top w:w="0" w:type="dxa"/>
              <w:right w:w="108" w:type="dxa"/>
              <w:bottom w:w="0" w:type="dxa"/>
            </w:tcMar>
            <w:tcW w:w="3543"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275/2026/0968/VFI-</w:t>
            </w:r>
            <w:r>
              <w:rPr>
                <w:rStyle w:val="1023"/>
                <w:rFonts w:ascii="Times New Roman" w:hAnsi="Times New Roman"/>
                <w:color w:val="000000" w:themeColor="text1"/>
                <w:lang w:val="pt-BR"/>
              </w:rPr>
              <w:t xml:space="preserve">BC</w:t>
            </w:r>
            <w:r>
              <w:rPr>
                <w:rStyle w:val="1023"/>
                <w:rFonts w:ascii="Times New Roman" w:hAnsi="Times New Roman"/>
                <w:color w:val="000000" w:themeColor="text1"/>
                <w:lang w:val="pt-BR"/>
              </w:rPr>
              <w:t xml:space="preserve">.69.A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378"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29 tháng 6 năm 2026</w:t>
            </w:r>
            <w:r>
              <w:rPr>
                <w:color w:val="000000" w:themeColor="text1"/>
                <w:sz w:val="24"/>
                <w:szCs w:val="24"/>
                <w:lang w:val="vi-VN"/>
              </w:rPr>
            </w:r>
            <w:r>
              <w:rPr>
                <w:color w:val="000000" w:themeColor="text1"/>
                <w:sz w:val="24"/>
                <w:szCs w:val="24"/>
                <w:lang w:val="vi-VN"/>
              </w:rPr>
            </w:r>
          </w:p>
        </w:tc>
      </w:tr>
      <w:tr>
        <w:trPr>
          <w:gridBefore w:val="1"/>
          <w:trHeight w:val="84"/>
        </w:trPr>
        <w:tc>
          <w:tcPr>
            <w:shd w:val="clear" w:color="auto" w:fill="auto"/>
            <w:tcBorders/>
            <w:tcMar>
              <w:left w:w="108" w:type="dxa"/>
              <w:top w:w="0" w:type="dxa"/>
              <w:right w:w="108" w:type="dxa"/>
              <w:bottom w:w="0" w:type="dxa"/>
            </w:tcMar>
            <w:tcW w:w="3543" w:type="dxa"/>
            <w:textDirection w:val="lrTb"/>
            <w:noWrap w:val="false"/>
          </w:tcPr>
          <w:p>
            <w:pPr>
              <w:pStyle w:val="1024"/>
              <w:pBdr/>
              <w:spacing w:after="60"/>
              <w:ind/>
              <w:rPr>
                <w:rStyle w:val="1023"/>
                <w:rFonts w:ascii="Times New Roman" w:hAnsi="Times New Roman"/>
                <w:color w:val="000000" w:themeColor="text1"/>
                <w:lang w:val="pt-BR"/>
              </w:rPr>
            </w:pPr>
            <w:r>
              <w:rPr>
                <w:rStyle w:val="1023"/>
                <w:rFonts w:ascii="Times New Roman" w:hAnsi="Times New Roman"/>
                <w:color w:val="000000" w:themeColor="text1"/>
                <w:lang w:val="pt-BR"/>
              </w:rPr>
            </w:r>
            <w:r>
              <w:rPr>
                <w:rStyle w:val="1023"/>
                <w:rFonts w:ascii="Times New Roman" w:hAnsi="Times New Roman"/>
                <w:color w:val="000000" w:themeColor="text1"/>
                <w:lang w:val="pt-BR"/>
              </w:rPr>
            </w:r>
            <w:r>
              <w:rPr>
                <w:rStyle w:val="1023"/>
                <w:rFonts w:ascii="Times New Roman" w:hAnsi="Times New Roman"/>
                <w:color w:val="000000" w:themeColor="text1"/>
                <w:lang w:val="pt-BR"/>
              </w:rPr>
            </w:r>
          </w:p>
        </w:tc>
        <w:tc>
          <w:tcPr>
            <w:shd w:val="clear" w:color="auto" w:fill="auto"/>
            <w:tcBorders/>
            <w:tcMar>
              <w:left w:w="108" w:type="dxa"/>
              <w:top w:w="0" w:type="dxa"/>
              <w:right w:w="108" w:type="dxa"/>
              <w:bottom w:w="0" w:type="dxa"/>
            </w:tcMar>
            <w:tcW w:w="6378" w:type="dxa"/>
            <w:textDirection w:val="lrTb"/>
            <w:noWrap w:val="false"/>
          </w:tcPr>
          <w:p>
            <w:pPr>
              <w:pStyle w:val="1024"/>
              <w:pBdr/>
              <w:spacing w:after="60"/>
              <w:ind w:right="-56"/>
              <w:rPr>
                <w:rStyle w:val="1023"/>
                <w:rFonts w:ascii="Times New Roman" w:hAnsi="Times New Roman"/>
                <w:i/>
                <w:color w:val="auto"/>
              </w:rPr>
            </w:pPr>
            <w:r>
              <w:rPr>
                <w:rFonts w:ascii="Times New Roman" w:hAnsi="Times New Roman"/>
                <w:i/>
                <w:color w:val="auto"/>
              </w:rPr>
            </w:r>
            <w:r>
              <w:rPr>
                <w:rStyle w:val="1023"/>
                <w:rFonts w:ascii="Times New Roman" w:hAnsi="Times New Roman"/>
                <w:i/>
                <w:color w:val="auto"/>
              </w:rPr>
            </w:r>
            <w:r>
              <w:rPr>
                <w:rStyle w:val="1023"/>
                <w:rFonts w:ascii="Times New Roman" w:hAnsi="Times New Roman"/>
                <w:i/>
                <w:color w:val="auto"/>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275/2026/0968/VFI-CT.69.A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29 tháng 6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t xml:space="preserve">Bà </w:t>
            </w:r>
            <w:r>
              <w:rPr>
                <w:b/>
                <w:bCs/>
              </w:rPr>
              <w:t xml:space="preserve">Vũ </w:t>
            </w:r>
            <w:r>
              <w:rPr>
                <w:b/>
                <w:bCs/>
              </w:rPr>
              <w:t xml:space="preserve">Thị </w:t>
            </w:r>
            <w:r>
              <w:rPr>
                <w:b/>
                <w:bCs/>
              </w:rPr>
              <w:t xml:space="preserve">Thuỳ </w:t>
            </w:r>
            <w:r>
              <w:rPr>
                <w:b/>
                <w:bCs/>
              </w:rPr>
              <w:t xml:space="preserve">Dung </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075196009118</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1996</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205, tờ bản đồ số 20, có địa chỉ: Khu phố Ruộng Hời, phường Bảo Vinh, tỉnh Đồng Nai (Nay là Phường Bảo </w:t>
            </w:r>
            <w:r>
              <w:rPr>
                <w:bCs/>
                <w:color w:val="000000" w:themeColor="text1"/>
                <w:lang w:val="pt-BR"/>
              </w:rPr>
              <w:t xml:space="preserve">V</w:t>
            </w:r>
            <w:r>
              <w:rPr>
                <w:bCs/>
                <w:color w:val="000000" w:themeColor="text1"/>
                <w:lang w:val="pt-BR"/>
              </w:rPr>
              <w:t xml:space="preserve">inh, Thành phố Đồng Nai) theo Giấy chứng nhận quyền sử dụng đất, quyền sở hữu tài sản gắn liền với đất số AA 04085715, số vào sổ cấp GCN: CN 5146 do Văn phòng đăng ký đất đai chi nhánh Long Khánh cấp ngày 16/10/2025; chủ sử dụng đất là Bà Vũ Thị Thuỳ Nhung</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06/2026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khu phố Ruộng Hời, phường Bảo Vinh, tỉnh Đồng Nai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10.9376318, 107.2671687</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2</w:t>
            </w:r>
            <w:r>
              <w:rPr>
                <w:lang w:val="pt-BR"/>
              </w:rPr>
              <w:t xml:space="preserve">5/06/2026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5"/>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tài sản gắn liền với đất số AA 04085715, số vào sổ cấp GCN: CN 5146 do Văn phòng đăng ký đất đai chi nhánh Long Khánh cấp ngày 16/10/2025; chủ sử dụng đất là Bà Vũ Thị Thuỳ Nhung</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275/2026/0968/VFI-HĐTĐ.69.A ký ngày 25/06/2026 giữa Bà Vũ Thị Thuỳ Nhung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center"/>
        <w:rPr>
          <w:b/>
          <w:bCs/>
          <w:iCs/>
        </w:rPr>
      </w:pPr>
      <w:r>
        <w:rPr>
          <w:b/>
          <w:bCs/>
          <w:lang w:val="pt-BR"/>
        </w:rPr>
        <w:tab/>
      </w:r>
      <w:r>
        <w:rPr>
          <w:b/>
          <w:bCs/>
          <w:shd w:val="clear" w:color="auto" w:fill="ffffff"/>
        </w:rPr>
        <w:t xml:space="preserve">Quản lý chặt thị trường bất độ</w:t>
      </w:r>
      <w:r>
        <w:rPr>
          <w:b/>
          <w:bCs/>
          <w:shd w:val="clear" w:color="auto" w:fill="ffffff"/>
        </w:rPr>
        <w:t xml:space="preserve">ng sản để phát triển bền vững</w:t>
      </w:r>
      <w:r>
        <w:rPr>
          <w:b/>
          <w:bCs/>
          <w:iCs/>
        </w:rPr>
      </w:r>
      <w:r>
        <w:rPr>
          <w:b/>
          <w:bCs/>
          <w:iCs/>
        </w:rPr>
      </w:r>
    </w:p>
    <w:p>
      <w:pPr>
        <w:pBdr/>
        <w:tabs>
          <w:tab w:val="left" w:leader="none" w:pos="426"/>
        </w:tabs>
        <w:spacing w:after="120" w:before="120" w:line="276" w:lineRule="auto"/>
        <w:ind/>
        <w:jc w:val="both"/>
        <w:rPr/>
      </w:pPr>
      <w:r>
        <w:rPr>
          <w:shd w:val="clear" w:color="auto" w:fill="ffffff"/>
        </w:rPr>
        <w:t xml:space="preserve">Đồng Nai đang trở thành một trong những đô thị trẻ năng động nhất cả nước khi hội tụ hàng loạt lợi thế chiến lược hiếm có như: cảng hàng không quốc tế (sân bay), cảng biển</w:t>
      </w:r>
      <w:r>
        <w:rPr>
          <w:shd w:val="clear" w:color="auto" w:fill="ffffff"/>
        </w:rPr>
        <w:t xml:space="preserve">, cửa khẩu quốc tế cùng hệ thống khu công nghiệp quy mô lớn. Những động lực này mở ra dư địa rất lớn cho thị trường bất động sản (BĐS) phát triển trong giai đoạn tới.</w:t>
      </w:r>
      <w:r>
        <w:rPr>
          <w:bCs/>
          <w:i/>
          <w:lang w:val="pt-BR"/>
        </w:rPr>
      </w:r>
      <w:r/>
    </w:p>
    <w:p>
      <w:pPr>
        <w:pBdr/>
        <w:tabs>
          <w:tab w:val="left" w:leader="none" w:pos="426"/>
        </w:tabs>
        <w:spacing w:after="120" w:before="120" w:line="276" w:lineRule="auto"/>
        <w:ind/>
        <w:jc w:val="both"/>
        <w:rPr/>
      </w:pPr>
      <w:r>
        <w:rPr>
          <w:shd w:val="clear" w:color="auto" w:fill="ffffff"/>
        </w:rPr>
        <w:t xml:space="preserve">Trong Chương trình Phát triển nhà ở giai đoạn 2021-2030 và Kế hoạch phát triển nhà ở giai đoạn</w:t>
      </w:r>
      <w:r>
        <w:rPr>
          <w:shd w:val="clear" w:color="auto" w:fill="ffffff"/>
        </w:rPr>
        <w:t xml:space="preserve"> 2026-2030, thành phố Đồng Nai xác định mục tiêu xây dựng thị trường này minh bạch, ổn định và phát triển bền vững, đáp ứng nhu cầu ở thực của người dân.</w:t>
      </w:r>
      <w:r/>
    </w:p>
    <w:p>
      <w:pPr>
        <w:pBdr/>
        <w:tabs>
          <w:tab w:val="left" w:leader="none" w:pos="426"/>
        </w:tabs>
        <w:spacing w:after="120" w:before="120" w:line="276" w:lineRule="auto"/>
        <w:ind/>
        <w:jc w:val="both"/>
        <w:rPr>
          <w:b/>
          <w:bCs/>
          <w:i/>
        </w:rPr>
      </w:pPr>
      <w:r>
        <w:rPr>
          <w:b/>
          <w:bCs/>
          <w:i/>
          <w:iCs/>
          <w:shd w:val="clear" w:color="auto" w:fill="ffffff"/>
        </w:rPr>
        <w:t xml:space="preserve">Nhiều dự án quy mô lớn tăng tốc triển khai</w:t>
      </w:r>
      <w:r>
        <w:rPr>
          <w:b/>
          <w:bCs/>
          <w:i/>
        </w:rPr>
      </w:r>
      <w:r>
        <w:rPr>
          <w:b/>
          <w:bCs/>
          <w:i/>
        </w:rPr>
      </w:r>
    </w:p>
    <w:p>
      <w:pPr>
        <w:pBdr/>
        <w:tabs>
          <w:tab w:val="left" w:leader="none" w:pos="426"/>
        </w:tabs>
        <w:spacing w:after="120" w:before="120" w:line="276" w:lineRule="auto"/>
        <w:ind/>
        <w:jc w:val="both"/>
        <w:rPr/>
      </w:pPr>
      <w:r>
        <w:rPr>
          <w:shd w:val="clear" w:color="auto" w:fill="ffffff"/>
        </w:rPr>
        <w:t xml:space="preserve">Hơn một tháng sau khi Đồng Nai chính thức lên thành phố, </w:t>
      </w:r>
      <w:r>
        <w:rPr>
          <w:shd w:val="clear" w:color="auto" w:fill="ffffff"/>
        </w:rPr>
        <w:t xml:space="preserve">Tập đoàn Bcons tổ chức Lễ động thổ dự án khu nhà ở phức hợp cao tầng tại phường Tam Hiệp với tổng mức đầu tư gần 4,5 ngàn tỷ đồng, quy mô hơn 2,8 ngàn căn hộ.</w:t>
      </w:r>
      <w:r/>
    </w:p>
    <w:p>
      <w:pPr>
        <w:pBdr/>
        <w:tabs>
          <w:tab w:val="left" w:leader="none" w:pos="426"/>
        </w:tabs>
        <w:spacing w:after="120" w:before="120" w:line="276" w:lineRule="auto"/>
        <w:ind/>
        <w:jc w:val="both"/>
        <w:rPr/>
      </w:pPr>
      <w:r>
        <w:rPr>
          <w:shd w:val="clear" w:color="auto" w:fill="ffffff"/>
        </w:rPr>
        <w:t xml:space="preserve">Ông Nguyễn Kiệt, Phó Tổng giám đốc Thường trực Tập đoàn Bcons cho biết: Đồng Nai đang sở hữu nhi</w:t>
      </w:r>
      <w:r>
        <w:rPr>
          <w:shd w:val="clear" w:color="auto" w:fill="ffffff"/>
        </w:rPr>
        <w:t xml:space="preserve">ều lợi thế về hạ tầng giao thông, công nghiệp, logistics và tốc độ đô thị hóa nhanh. Đây là cơ sở để doanh nghiệp lựa chọn đầu tư tổ hợp nhà ở hiện đại kết hợp thương mại - dịch vụ cùng hệ thống hạ tầng kỹ thuật đồng bộ.</w:t>
      </w:r>
      <w:r/>
    </w:p>
    <w:p>
      <w:pPr>
        <w:pBdr/>
        <w:tabs>
          <w:tab w:val="left" w:leader="none" w:pos="426"/>
        </w:tabs>
        <w:spacing w:after="120" w:before="120" w:line="276" w:lineRule="auto"/>
        <w:ind/>
        <w:jc w:val="both"/>
        <w:rPr/>
      </w:pPr>
      <w:r>
        <w:rPr>
          <w:shd w:val="clear" w:color="auto" w:fill="ffffff"/>
        </w:rPr>
        <w:t xml:space="preserve">Sau lễ động thổ, nhà đầu tư sẽ tri</w:t>
      </w:r>
      <w:r>
        <w:rPr>
          <w:shd w:val="clear" w:color="auto" w:fill="ffffff"/>
        </w:rPr>
        <w:t xml:space="preserve">ển khai xây dựng để năm 2028-2029 hoàn thành. Quá trình triển khai, nhà đầu tư tuân thủ đầy đủ các quy định pháp luật về đầu tư, xây dựng và bảo vệ môi trường. Ngoài dự án tại phường Tam Hiệp, doanh nghiệp tiếp tục nghiên cứu mở rộng đầu tư trên địa bàn th</w:t>
      </w:r>
      <w:r>
        <w:rPr>
          <w:shd w:val="clear" w:color="auto" w:fill="ffffff"/>
        </w:rPr>
        <w:t xml:space="preserve">ành phố một số dự án nhà ở và mở rộng ra lĩnh vực khác.</w:t>
      </w:r>
      <w:r/>
    </w:p>
    <w:p>
      <w:pPr>
        <w:pBdr/>
        <w:tabs>
          <w:tab w:val="left" w:leader="none" w:pos="426"/>
        </w:tabs>
        <w:spacing w:after="120" w:before="120" w:line="276" w:lineRule="auto"/>
        <w:ind/>
        <w:jc w:val="both"/>
        <w:rPr/>
      </w:pPr>
      <w:r>
        <w:rPr>
          <w:shd w:val="clear" w:color="auto" w:fill="ffffff"/>
        </w:rPr>
        <w:t xml:space="preserve">Một dự án lớn khác đang được đẩy nhanh tiến độ là Aqua City tại phường Long Hưng. Ông Dương Văn Bắc, Tổng Giám đốc Tập đoàn Novaland cho biết: Đến nay, dự án đã bàn giao hơn 1,2 ngàn sản phẩm cho khá</w:t>
      </w:r>
      <w:r>
        <w:rPr>
          <w:shd w:val="clear" w:color="auto" w:fill="ffffff"/>
        </w:rPr>
        <w:t xml:space="preserve">ch hàng. Giai đoạn 2026-2027, chủ đầu tư dự kiến tiếp tục bàn giao khoảng 9,2 ngàn sản phẩm. Việc sớm hoàn thiện và đưa vào vận hành dự án sẽ góp phần tạo nguồn thu ngân sách khoảng 23 ngàn tỷ đồng trong giai đoạn 2025-2028, tạo việc làm cho hàng ngàn lao </w:t>
      </w:r>
      <w:r>
        <w:rPr>
          <w:shd w:val="clear" w:color="auto" w:fill="ffffff"/>
        </w:rPr>
        <w:t xml:space="preserve">động, bổ sung nguồn cung nhà ở chất lượng cho thành phố mới và thúc đẩy phát triển kinh tế, dịch vụ, du lịch.</w:t>
        <w:br/>
        <w:br/>
        <w:t xml:space="preserve">Thống kê của Sở Xây dựng, trên địa bàn thành phố hiện có hơn 370 dự án nhà ở thương mại với quy mô khoảng 395 ngàn căn nhà; có 73 dự án nhà ở xã </w:t>
      </w:r>
      <w:r>
        <w:rPr>
          <w:shd w:val="clear" w:color="auto" w:fill="ffffff"/>
        </w:rPr>
        <w:t xml:space="preserve">hội quy mô dự kiến gần 72 ngàn căn hộ.</w:t>
        <w:br/>
        <w:br/>
        <w:t xml:space="preserve">Thị trường BĐS Đồng Nai đang ghi nhận nhiều tín hiệu tích cực, nhất là khi hàng loạt dự án hạ tầng trọng điểm bước vào giai đoạn về đích như: Sân bay Long Thành, đường cao tốc Biên Hòa - Vũng Tàu, đường vành đai 3 - </w:t>
      </w:r>
      <w:r>
        <w:rPr>
          <w:shd w:val="clear" w:color="auto" w:fill="ffffff"/>
        </w:rPr>
        <w:t xml:space="preserve">Thành phố Hồ Chí Minh. Trong thời gian tới, nhiều dự án chiến lược khác như: đường vành đai 4 - Thành phố Hồ Chí Minh, đường cao tốc Dầu Giây - Tân Phú cùng các tuyến đường sắt sẽ tiếp tục được triển khai. Điều này cũng dễ hiểu, bởi hạ tầng giao thông mở r</w:t>
      </w:r>
      <w:r>
        <w:rPr>
          <w:shd w:val="clear" w:color="auto" w:fill="ffffff"/>
        </w:rPr>
        <w:t xml:space="preserve">ộng tới đâu thì không gian đô thị và nhu cầu an cư phát triển theo tới đó.</w:t>
      </w:r>
      <w:r/>
    </w:p>
    <w:p>
      <w:pPr>
        <w:pBdr/>
        <w:tabs>
          <w:tab w:val="left" w:leader="none" w:pos="426"/>
        </w:tabs>
        <w:spacing w:after="120" w:before="120" w:line="276" w:lineRule="auto"/>
        <w:ind/>
        <w:jc w:val="both"/>
        <w:rPr/>
      </w:pPr>
      <w:r>
        <w:rPr>
          <w:shd w:val="clear" w:color="auto" w:fill="ffffff"/>
        </w:rPr>
        <w:t xml:space="preserve">Bà Trương Thị Thanh Thảo, Giám đốc kinh doanh Công ty cổ phần Địa ốc Tân Vạn cho biết: Doanh nghiệp đang triển khai dự án hơn 1,1 ngàn căn hộ theo định hướng phục vụ nhu cầu ở thực</w:t>
      </w:r>
      <w:r>
        <w:rPr>
          <w:shd w:val="clear" w:color="auto" w:fill="ffffff"/>
        </w:rPr>
        <w:t xml:space="preserve"> thay vì phân lô bán nền. Theo kế hoạch, dự án sẽ hoàn thành cất nóc trong tháng 6 tới và bàn giao nhà vào quý II-2027. Dự án này được thành phố “đặt hàng” khoảng 300 căn hộ để phục vụ nhu cầu nhà ở của cán bộ, công chức, viên chức sau sáp nhập địa giới hà</w:t>
      </w:r>
      <w:r>
        <w:rPr>
          <w:shd w:val="clear" w:color="auto" w:fill="ffffff"/>
        </w:rPr>
        <w:t xml:space="preserve">nh chính.</w:t>
      </w:r>
      <w:r/>
    </w:p>
    <w:p>
      <w:pPr>
        <w:pBdr/>
        <w:tabs>
          <w:tab w:val="left" w:leader="none" w:pos="426"/>
        </w:tabs>
        <w:spacing w:after="120" w:before="120" w:line="276" w:lineRule="auto"/>
        <w:ind/>
        <w:jc w:val="both"/>
        <w:rPr>
          <w:b/>
          <w:bCs/>
          <w:i/>
        </w:rPr>
      </w:pPr>
      <w:r>
        <w:rPr>
          <w:b/>
          <w:bCs/>
          <w:i/>
          <w:iCs/>
          <w:shd w:val="clear" w:color="auto" w:fill="ffffff"/>
        </w:rPr>
        <w:t xml:space="preserve">Hướng tới thị trường minh bạch và lành mạnh</w:t>
      </w:r>
      <w:r>
        <w:rPr>
          <w:b/>
          <w:bCs/>
          <w:i/>
        </w:rPr>
      </w:r>
      <w:r>
        <w:rPr>
          <w:b/>
          <w:bCs/>
          <w:i/>
        </w:rPr>
      </w:r>
    </w:p>
    <w:p>
      <w:pPr>
        <w:pBdr/>
        <w:tabs>
          <w:tab w:val="left" w:leader="none" w:pos="426"/>
        </w:tabs>
        <w:spacing w:after="120" w:before="120" w:line="276" w:lineRule="auto"/>
        <w:ind/>
        <w:jc w:val="both"/>
        <w:rPr/>
      </w:pPr>
      <w:r>
        <w:rPr>
          <w:shd w:val="clear" w:color="auto" w:fill="ffffff"/>
        </w:rPr>
        <w:t xml:space="preserve">Đồng Nai đã điều chỉnh Chương trình Phát triển nhà ở giai đoạn 2021-2030, đồng thời ban hành Kế hoạch phát triển nhà ở giai đoạn 2026-2030, định hướng tập trung nguồn lực vào các khu vực động lực như </w:t>
      </w:r>
      <w:r>
        <w:rPr>
          <w:shd w:val="clear" w:color="auto" w:fill="ffffff"/>
        </w:rPr>
        <w:t xml:space="preserve">Sân bay Long Thành, đô thị sân bay, hành lang ven sông Đồng Nai, khu công nghiệp và khu thương mại tự do.</w:t>
      </w:r>
      <w:r/>
    </w:p>
    <w:p>
      <w:pPr>
        <w:pBdr/>
        <w:tabs>
          <w:tab w:val="left" w:leader="none" w:pos="426"/>
        </w:tabs>
        <w:spacing w:after="120" w:before="120" w:line="276" w:lineRule="auto"/>
        <w:ind/>
        <w:jc w:val="both"/>
        <w:rPr/>
      </w:pPr>
      <w:r>
        <w:rPr>
          <w:b/>
          <w:bCs/>
          <w:i/>
          <w:iCs/>
          <w:u w:val="none"/>
          <w:shd w:val="clear" w:color="auto" w:fill="ffffff"/>
        </w:rPr>
        <w:t xml:space="preserve">Thiết kế dự án khu nhà ở phức hợp cao tầng tại phường Tam Hiệp dự kiến hoàn thành năm 2028-2029.</w:t>
      </w:r>
      <w:r>
        <w:rPr>
          <w:shd w:val="clear" w:color="auto" w:fill="ffffff"/>
        </w:rPr>
      </w:r>
      <w:r/>
    </w:p>
    <w:p>
      <w:pPr>
        <w:pBdr/>
        <w:tabs>
          <w:tab w:val="left" w:leader="none" w:pos="426"/>
        </w:tabs>
        <w:spacing w:after="120" w:before="120" w:line="276" w:lineRule="auto"/>
        <w:ind/>
        <w:jc w:val="both"/>
        <w:rPr/>
      </w:pPr>
      <w:r>
        <w:rPr>
          <w:shd w:val="clear" w:color="auto" w:fill="ffffff"/>
        </w:rPr>
        <w:t xml:space="preserve">Ông Đỗ Thành Phương, Phó Giám đốc Sở Xây dựng cho biết: Giai đoạn này, thành phố ưu tiên phát triển các dự án nhà ở hiện đại, thông minh, đồng bộ hạ tầng kỹ thuật và hạ tầng xã hội; chú trọng phân khúc phù hợp </w:t>
      </w:r>
      <w:r>
        <w:rPr>
          <w:shd w:val="clear" w:color="auto" w:fill="ffffff"/>
        </w:rPr>
        <w:t xml:space="preserve">khả năng chi trả của người dân, đặc biệt là nhóm thu nhập trung bình và thấp, công nhân ở các khu công nghiệp. Cùng với đó, Đồng Nai thúc đẩy mô hình phát triển đô thị TOD gắn với giao thông công cộng, hướng tới xây dựng đô thị xanh và thích ứng với biến đ</w:t>
      </w:r>
      <w:r>
        <w:rPr>
          <w:shd w:val="clear" w:color="auto" w:fill="ffffff"/>
        </w:rPr>
        <w:t xml:space="preserve">ổi khí hậu.</w:t>
      </w:r>
      <w:r/>
    </w:p>
    <w:p>
      <w:pPr>
        <w:pBdr/>
        <w:tabs>
          <w:tab w:val="left" w:leader="none" w:pos="426"/>
        </w:tabs>
        <w:spacing w:after="120" w:before="120" w:line="276" w:lineRule="auto"/>
        <w:ind/>
        <w:jc w:val="both"/>
        <w:rPr/>
      </w:pPr>
      <w:r>
        <w:rPr>
          <w:shd w:val="clear" w:color="auto" w:fill="ffffff"/>
        </w:rPr>
        <w:t xml:space="preserve"> Để kiểm soát thị trường BĐS theo hướng lành mạnh, Sở Xây dựng đang tập trung vào các giải pháp như: công khai thông tin quy hoạch, pháp lý, tiến độ thực hiện và giá bán các dự án trên cổng thông tin điện tử nhằm giúp người dân tiếp cận thông t</w:t>
      </w:r>
      <w:r>
        <w:rPr>
          <w:shd w:val="clear" w:color="auto" w:fill="ffffff"/>
        </w:rPr>
        <w:t xml:space="preserve">in chính xác, hạn chế rủi ro. Thành phố tăng cường quản lý hoạt động môi giới, sàn giao dịch BĐS và xử lý nghiêm các hành vi thao túng thị trường, quảng cáo sai sự thật hoặc đẩy giá bất hợp lý.</w:t>
      </w:r>
      <w:r/>
    </w:p>
    <w:p>
      <w:pPr>
        <w:pBdr/>
        <w:tabs>
          <w:tab w:val="left" w:leader="none" w:pos="426"/>
        </w:tabs>
        <w:spacing w:after="120" w:before="120" w:line="276" w:lineRule="auto"/>
        <w:ind/>
        <w:jc w:val="both"/>
        <w:rPr/>
      </w:pPr>
      <w:r>
        <w:rPr>
          <w:shd w:val="clear" w:color="auto" w:fill="ffffff"/>
        </w:rPr>
        <w:t xml:space="preserve">Hướng tới thị trường BĐS phát triển bền vững, Đồng Nai sẽ xây</w:t>
      </w:r>
      <w:r>
        <w:rPr>
          <w:shd w:val="clear" w:color="auto" w:fill="ffffff"/>
        </w:rPr>
        <w:t xml:space="preserve"> dựng cơ sở dữ liệu về nhà ở và thị trường BĐS để kiểm soát hiệu quả dòng giao dịch, từng bước hình thành môi trường đầu tư minh bạch và chuyên nghiệp.</w:t>
      </w:r>
      <w:r/>
    </w:p>
    <w:p>
      <w:pPr>
        <w:pBdr/>
        <w:tabs>
          <w:tab w:val="left" w:leader="none" w:pos="426"/>
        </w:tabs>
        <w:spacing w:after="120" w:before="120" w:line="276" w:lineRule="auto"/>
        <w:ind/>
        <w:jc w:val="both"/>
        <w:rPr/>
      </w:pPr>
      <w:r>
        <w:rPr>
          <w:shd w:val="clear" w:color="auto" w:fill="ffffff"/>
        </w:rPr>
        <w:t xml:space="preserve">Một trong những giải pháp mới được bổ sung trong Kế hoạch phát triển nhà ở giai đoạn 2026-2030 là thành</w:t>
      </w:r>
      <w:r>
        <w:rPr>
          <w:shd w:val="clear" w:color="auto" w:fill="ffffff"/>
        </w:rPr>
        <w:t xml:space="preserve"> lập Quỹ Nhà ở thành phố Đồng Nai nhằm phát triển nhà ở xã hội, nhà ở cho thuê; ưu tiên bố trí quỹ đất công gần các khu công nghiệp và rà soát chặt quỹ đất 20% trong các dự án thương mại dành cho nhà ở xã hội. Mục đích của việc đẩy mạnh phát triển nhà ở ph</w:t>
      </w:r>
      <w:r>
        <w:rPr>
          <w:shd w:val="clear" w:color="auto" w:fill="ffffff"/>
        </w:rPr>
        <w:t xml:space="preserve">ân khúc cho người thu nhập trung bình và thấp là để cân đối sản phẩm, đảm bảo quyền tiếp cận nhà ở công bằng cho mọi người.</w:t>
        <w:br/>
        <w:br/>
        <w:t xml:space="preserve">Ủy viên Ban Thường vụ Thành ủy, Phó Chủ tịch Thường trực UBND thành phố Nguyễn Kim Long cho rằng: Thời gian tới, thành phố sẽ siết </w:t>
      </w:r>
      <w:r>
        <w:rPr>
          <w:shd w:val="clear" w:color="auto" w:fill="ffffff"/>
        </w:rPr>
        <w:t xml:space="preserve">chặt quản lý các dự án BĐS, đặc biệt là tình trạng đầu cơ, phân lô bán nền tràn lan. Ưu tiên các dự án phục vụ nhu cầu ở thực, góp phần thu hút người dân đến sinh sống, làm việc lâu dài tại Đồng Nai. Đây sẽ là nền tảng quan trọng để thành phố phát triển đô</w:t>
      </w:r>
      <w:r>
        <w:rPr>
          <w:shd w:val="clear" w:color="auto" w:fill="ffffff"/>
        </w:rPr>
        <w:t xml:space="preserve"> thị bền vững, nâng cao chất lượng sống của người dân, trở thành cực tăng trưởng quan trọng cả nước.</w:t>
      </w:r>
      <w:r/>
    </w:p>
    <w:p>
      <w:pPr>
        <w:pBdr/>
        <w:tabs>
          <w:tab w:val="left" w:leader="none" w:pos="426"/>
        </w:tabs>
        <w:spacing w:after="120" w:before="120" w:line="276" w:lineRule="auto"/>
        <w:ind/>
        <w:jc w:val="center"/>
        <w:rPr>
          <w:bCs/>
          <w:i/>
        </w:rPr>
      </w:pPr>
      <w:r>
        <w:rPr>
          <w:i/>
          <w:iCs/>
          <w:shd w:val="clear" w:color="auto" w:fill="ffffff"/>
        </w:rPr>
        <w:t xml:space="preserve">(Nguồn tham khảo: https://baodongnai.com.vn/dot-thi-dua-dac-biet-500-ngay-dem/202605/quan-ly-chat-thi-truong-bat-dong-san-de-phat-trien-ben-vung-a752bd3/)</w:t>
      </w:r>
      <w:r>
        <w:rPr>
          <w:bCs/>
          <w:i/>
        </w:rPr>
      </w:r>
      <w:r>
        <w:rPr>
          <w:bCs/>
          <w:i/>
        </w:rP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205, tờ bản đồ số 20, có địa chỉ: Khu phố Ruộng Hời, phường Bảo Vinh, tỉnh Đồng Nai (Nay là Phường Bảo </w:t>
            </w:r>
            <w:r>
              <w:rPr>
                <w:b/>
                <w:bCs/>
                <w:color w:val="000000"/>
              </w:rPr>
              <w:t xml:space="preserve">V</w:t>
            </w:r>
            <w:r>
              <w:rPr>
                <w:b/>
                <w:bCs/>
                <w:color w:val="000000"/>
              </w:rPr>
              <w:t xml:space="preserve">inh, Thành phố Đồng Nai) theo Giấy chứng nhận quyền sử dụng đất, quyền sở hữu tài sản gắn liền với đất số AA 04085715, số vào sổ cấp GCN: CN 5146 do Văn phòng đăng ký đất đai chi nhánh Long Khánh cấp ngày 16/10/2025; chủ sử dụng đất là Bà Vũ Thị Thuỳ Nhung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205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20</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khu phố Ruộng Hời phường Bảo Vinh tình Đồng Nai</w:t>
            </w:r>
            <w:r>
              <w:rPr>
                <w:color w:val="000000"/>
              </w:rPr>
            </w:r>
            <w:r>
              <w:rPr>
                <w:color w:val="000000"/>
              </w:rPr>
            </w:r>
          </w:p>
        </w:tc>
      </w:tr>
      <w:tr>
        <w:trPr>
          <w:trHeight w:val="47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131,4</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chung: 131,4</w:t>
            </w:r>
            <w:r>
              <w:rPr>
                <w:color w:val="000000"/>
              </w:rPr>
              <w:t xml:space="preserve">m²</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tLeast"/>
              <w:ind w:right="0" w:firstLine="0" w:left="0"/>
              <w:jc w:val="both"/>
              <w:rPr>
                <w:color w:val="000000" w:themeColor="text1"/>
              </w:rPr>
            </w:pPr>
            <w:r>
              <w:rPr>
                <w:rFonts w:ascii="Times New Roman" w:hAnsi="Times New Roman" w:eastAsia="Times New Roman" w:cs="Times New Roman"/>
                <w:color w:val="000000" w:themeColor="text1"/>
                <w:sz w:val="24"/>
              </w:rPr>
              <w:t xml:space="preserve">Tại thời điểm thẩm định giá, tổ thẩm định không được Khách hàng cung cấp các thông tin quy hoạch liên quan đến thửa đất, dựa trên định vị của tài sản sau khi khảo sát, tổ thẩm định kiểm tra quy hoạch online thông qua Meeymap, xác </w:t>
            </w:r>
            <w:r>
              <w:rPr>
                <w:rFonts w:ascii="Times New Roman" w:hAnsi="Times New Roman" w:eastAsia="Times New Roman" w:cs="Times New Roman"/>
                <w:color w:val="000000" w:themeColor="text1"/>
                <w:sz w:val="24"/>
              </w:rPr>
              <w:t xml:space="preserve">định vị trí tài sản </w:t>
            </w:r>
            <w:r>
              <w:rPr>
                <w:color w:val="000000" w:themeColor="text1"/>
              </w:rPr>
              <w:t xml:space="preserve">hiện </w:t>
            </w:r>
            <w:r>
              <w:rPr>
                <w:color w:val="000000" w:themeColor="text1"/>
              </w:rPr>
              <w:t xml:space="preserve">không </w:t>
            </w:r>
            <w:r>
              <w:rPr>
                <w:color w:val="000000" w:themeColor="text1"/>
              </w:rPr>
              <w:t xml:space="preserve">có </w:t>
            </w:r>
            <w:r>
              <w:rPr>
                <w:color w:val="000000" w:themeColor="text1"/>
              </w:rPr>
              <w:t xml:space="preserve">thông </w:t>
            </w:r>
            <w:r>
              <w:rPr>
                <w:color w:val="000000" w:themeColor="text1"/>
              </w:rPr>
              <w:t xml:space="preserve">tin </w:t>
            </w:r>
            <w:r>
              <w:rPr>
                <w:color w:val="000000" w:themeColor="text1"/>
              </w:rPr>
              <w:t xml:space="preserve">quy </w:t>
            </w:r>
            <w:r>
              <w:rPr>
                <w:color w:val="000000" w:themeColor="text1"/>
              </w:rPr>
              <w:t xml:space="preserve">hoạch. </w:t>
            </w:r>
            <w:r>
              <w:rPr>
                <w:color w:val="000000" w:themeColor="text1"/>
              </w:rPr>
            </w:r>
            <w:r>
              <w:rPr>
                <w:color w:val="000000" w:themeColor="text1"/>
              </w:rPr>
            </w:r>
          </w:p>
          <w:p>
            <w:pPr>
              <w:pBdr/>
              <w:spacing/>
              <w:ind/>
              <w:jc w:val="both"/>
              <w:rPr>
                <w:color w:val="000000"/>
              </w:rPr>
            </w:pPr>
            <w:r>
              <w:rPr>
                <w:color w:val="000000"/>
              </w:rPr>
            </w:r>
            <w:r>
              <mc:AlternateContent>
                <mc:Choice Requires="wpg">
                  <w:drawing>
                    <wp:inline xmlns:wp="http://schemas.openxmlformats.org/drawingml/2006/wordprocessingDrawing" distT="0" distB="0" distL="0" distR="0">
                      <wp:extent cx="3830473" cy="1910723"/>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051496" name=""/>
                              <pic:cNvPicPr>
                                <a:picLocks noChangeAspect="1"/>
                              </pic:cNvPicPr>
                              <pic:nvPr/>
                            </pic:nvPicPr>
                            <pic:blipFill rotWithShape="1">
                              <a:blip r:embed="rId17"/>
                              <a:stretch/>
                            </pic:blipFill>
                            <pic:spPr bwMode="auto">
                              <a:xfrm flipH="0" flipV="0">
                                <a:off x="0" y="0"/>
                                <a:ext cx="3830472" cy="19107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01.61pt;height:150.45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w:t>
            </w:r>
            <w:r>
              <w:rPr>
                <w:color w:val="000000"/>
              </w:rPr>
              <w:t xml:space="preserve">bê </w:t>
            </w:r>
            <w:r>
              <w:rPr>
                <w:color w:val="000000"/>
              </w:rPr>
              <w:t xml:space="preserve">t</w:t>
            </w:r>
            <w:r>
              <w:rPr>
                <w:color w:val="000000"/>
              </w:rPr>
              <w:t xml:space="preserve">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4,0</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4,0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Tài </w:t>
            </w:r>
            <w:r>
              <w:rPr>
                <w:color w:val="000000" w:themeColor="text1"/>
              </w:rPr>
              <w:t xml:space="preserve">sản </w:t>
            </w:r>
            <w:r>
              <w:rPr>
                <w:color w:val="000000" w:themeColor="text1"/>
              </w:rPr>
              <w:t xml:space="preserve">cách</w:t>
            </w:r>
            <w:r>
              <w:rPr>
                <w:color w:val="000000" w:themeColor="text1"/>
              </w:rPr>
              <w:t xml:space="preserve"> đường Hàm Nghi ~120m.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highlight w:val="none"/>
              </w:rPr>
            </w:pPr>
            <w:r/>
            <w:bookmarkStart w:id="3" w:name="OLE_LINK1"/>
            <w:r>
              <w:rPr>
                <w:color w:val="000000" w:themeColor="text1"/>
              </w:rPr>
            </w:r>
            <w:bookmarkEnd w:id="3"/>
            <w:r>
              <w:t xml:space="preserve">Hướng </w:t>
            </w:r>
            <w:r>
              <w:t xml:space="preserve">Tây</w:t>
            </w:r>
            <w:r>
              <w:t xml:space="preserve">: </w:t>
            </w:r>
            <w:r>
              <w:t xml:space="preserve">Tiếp </w:t>
            </w:r>
            <w:r>
              <w:t xml:space="preserve">giáp </w:t>
            </w:r>
            <w:r>
              <w:t xml:space="preserve">đường </w:t>
            </w:r>
            <w:r>
              <w:t xml:space="preserve">giao </w:t>
            </w:r>
            <w:r>
              <w:t xml:space="preserve">thô</w:t>
            </w:r>
            <w:r>
              <w:t xml:space="preserve">ng;</w:t>
            </w:r>
            <w:r>
              <w:rPr>
                <w:highlight w:val="none"/>
              </w:rPr>
            </w:r>
            <w:r>
              <w:rPr>
                <w:highlight w:val="none"/>
              </w:rPr>
            </w:r>
          </w:p>
          <w:p>
            <w:pPr>
              <w:pBdr/>
              <w:spacing/>
              <w:ind/>
              <w:rPr>
                <w:color w:val="000000" w:themeColor="text1"/>
              </w:rPr>
            </w:pPr>
            <w:r>
              <w:rPr>
                <w:highlight w:val="none"/>
              </w:rPr>
              <w:t xml:space="preserve">Các </w:t>
            </w:r>
            <w:r>
              <w:rPr>
                <w:highlight w:val="none"/>
              </w:rPr>
              <w:t xml:space="preserve">hướng </w:t>
            </w:r>
            <w:r>
              <w:rPr>
                <w:highlight w:val="none"/>
              </w:rPr>
              <w:t xml:space="preserve">khác: </w:t>
            </w:r>
            <w:r>
              <w:rPr>
                <w:highlight w:val="none"/>
              </w:rPr>
              <w:t xml:space="preserve">Tiếp </w:t>
            </w:r>
            <w:r>
              <w:rPr>
                <w:highlight w:val="none"/>
              </w:rPr>
              <w:t xml:space="preserve">giáp </w:t>
            </w:r>
            <w:r>
              <w:rPr>
                <w:highlight w:val="none"/>
              </w:rPr>
              <w:t xml:space="preserve">thửa </w:t>
            </w:r>
            <w:r>
              <w:rPr>
                <w:highlight w:val="none"/>
              </w:rPr>
              <w:t xml:space="preserve">đất </w:t>
            </w:r>
            <w:r>
              <w:rPr>
                <w:highlight w:val="none"/>
              </w:rPr>
              <w:t xml:space="preserve">khác. </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10.9376318</w:t>
            </w:r>
            <w:r>
              <w:rPr>
                <w:color w:val="000000"/>
              </w:rPr>
              <w:t xml:space="preserve">, </w:t>
            </w:r>
            <w:r>
              <w:rPr>
                <w:color w:val="000000"/>
              </w:rPr>
              <w:t xml:space="preserve">107.2671687</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5395326" cy="2898502"/>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flipH="0" flipV="0">
                                <a:off x="0" y="0"/>
                                <a:ext cx="5395326" cy="28985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4.83pt;height:228.23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131</w:t>
            </w:r>
            <w:r>
              <w:rPr>
                <w:color w:val="000000" w:themeColor="text1"/>
              </w:rPr>
              <w:t xml:space="preserve">,4</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5,04</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25,93</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Tự nhiên, Hạ tầng cấp điện: Điện lưới, Hạ tầng thông tin liên lạc: Mạng internet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w:t>
            </w:r>
            <w:r>
              <w:rPr>
                <w:color w:val="000000"/>
              </w:rPr>
              <w:t xml:space="preserve">tầng </w:t>
            </w:r>
            <w:r>
              <w:rPr>
                <w:color w:val="000000"/>
              </w:rPr>
              <w:t xml:space="preserve">khu </w:t>
            </w:r>
            <w:r>
              <w:rPr>
                <w:color w:val="000000"/>
              </w:rPr>
              <w:t xml:space="preserve">dân </w:t>
            </w:r>
            <w:r>
              <w:rPr>
                <w:color w:val="000000"/>
              </w:rPr>
              <w:t xml:space="preserve">cư </w:t>
            </w:r>
            <w:r>
              <w:rPr>
                <w:color w:val="000000"/>
              </w:rPr>
              <w:t xml:space="preserve">thông </w:t>
            </w:r>
            <w:r>
              <w:rPr>
                <w:color w:val="000000"/>
              </w:rPr>
              <w:t xml:space="preserve">thường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Khá</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86"/>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Đất </w:t>
            </w:r>
            <w:r>
              <w:rPr>
                <w:color w:val="000000"/>
              </w:rPr>
              <w:t xml:space="preserve">trống</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29"/>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khu phố Ruộng Hời, phường Bảo Vinh tình Đồng Nai </w:t>
            </w:r>
            <w:r/>
          </w:p>
        </w:tc>
        <w:tc>
          <w:tcPr>
            <w:tcBorders/>
            <w:tcW w:w="1605" w:type="dxa"/>
            <w:vAlign w:val="center"/>
            <w:textDirection w:val="lrTb"/>
            <w:noWrap w:val="false"/>
          </w:tcPr>
          <w:p>
            <w:pPr>
              <w:pBdr/>
              <w:spacing/>
              <w:ind/>
              <w:jc w:val="center"/>
              <w:rPr/>
            </w:pPr>
            <w:r>
              <w:t xml:space="preserve">khu phố Ruộng Hời, phường Bảo Vinh, </w:t>
            </w:r>
            <w:r>
              <w:t xml:space="preserve">thành </w:t>
            </w:r>
            <w:r>
              <w:t xml:space="preserve">phố </w:t>
            </w:r>
            <w:r>
              <w:t xml:space="preserve">Đồng Nai </w:t>
            </w:r>
            <w:r>
              <w:t xml:space="preserve">✔</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t xml:space="preserve">Sáp </w:t>
            </w:r>
            <w:r>
              <w:t xml:space="preserve">nhập </w:t>
            </w:r>
            <w:r>
              <w:t xml:space="preserve">địa </w:t>
            </w:r>
            <w:r>
              <w:t xml:space="preserve">giới </w:t>
            </w:r>
            <w:r>
              <w:t xml:space="preserve">hành </w:t>
            </w:r>
            <w:r>
              <w:t xml:space="preserve">chính</w:t>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tài sản gắn liền với đất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131,4</w:t>
            </w:r>
            <w:r/>
          </w:p>
        </w:tc>
        <w:tc>
          <w:tcPr>
            <w:tcBorders/>
            <w:tcW w:w="1605" w:type="dxa"/>
            <w:vAlign w:val="center"/>
            <w:textDirection w:val="lrTb"/>
            <w:noWrap w:val="false"/>
          </w:tcPr>
          <w:p>
            <w:pPr>
              <w:pBdr/>
              <w:spacing/>
              <w:ind/>
              <w:jc w:val="center"/>
              <w:rPr/>
            </w:pPr>
            <w:r>
              <w:t xml:space="preserve">131,4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5,04</w:t>
            </w:r>
            <w:r/>
          </w:p>
        </w:tc>
        <w:tc>
          <w:tcPr>
            <w:tcBorders/>
            <w:tcW w:w="1605" w:type="dxa"/>
            <w:vAlign w:val="center"/>
            <w:textDirection w:val="lrTb"/>
            <w:noWrap w:val="false"/>
          </w:tcPr>
          <w:p>
            <w:pPr>
              <w:pBdr/>
              <w:spacing/>
              <w:ind/>
              <w:jc w:val="center"/>
              <w:rPr/>
            </w:pPr>
            <w:r>
              <w:t xml:space="preserve">5.04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25,93 </w:t>
            </w:r>
            <w:r/>
          </w:p>
        </w:tc>
        <w:tc>
          <w:tcPr>
            <w:tcBorders/>
            <w:tcW w:w="1605" w:type="dxa"/>
            <w:vAlign w:val="center"/>
            <w:textDirection w:val="lrTb"/>
            <w:noWrap w:val="false"/>
          </w:tcPr>
          <w:p>
            <w:pPr>
              <w:pBdr/>
              <w:spacing/>
              <w:ind/>
              <w:jc w:val="center"/>
              <w:rPr/>
            </w:pPr>
            <w:r>
              <w:t xml:space="preserve">25,93</w:t>
            </w:r>
            <w:r>
              <w:t xml:space="preserve">✔</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Tương đối vuông vức</w:t>
            </w:r>
            <w:r/>
          </w:p>
        </w:tc>
        <w:tc>
          <w:tcPr>
            <w:tcBorders/>
            <w:tcW w:w="1605" w:type="dxa"/>
            <w:vAlign w:val="center"/>
            <w:textDirection w:val="lrTb"/>
            <w:noWrap w:val="false"/>
          </w:tcPr>
          <w:p>
            <w:pPr>
              <w:pBdr/>
              <w:spacing/>
              <w:ind/>
              <w:jc w:val="center"/>
              <w:rPr/>
            </w:pPr>
            <w:r>
              <w:t xml:space="preserve">Tương đối vuông vức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Tây</w:t>
            </w:r>
            <w:r/>
          </w:p>
        </w:tc>
        <w:tc>
          <w:tcPr>
            <w:tcBorders/>
            <w:tcW w:w="1605" w:type="dxa"/>
            <w:vAlign w:val="center"/>
            <w:textDirection w:val="lrTb"/>
            <w:noWrap w:val="false"/>
          </w:tcPr>
          <w:p>
            <w:pPr>
              <w:pBdr/>
              <w:spacing/>
              <w:ind/>
              <w:jc w:val="center"/>
              <w:rPr/>
            </w:pPr>
            <w:r>
              <w:t xml:space="preserve">Tây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1020"/>
        <w:gridCol w:w="2551"/>
        <w:gridCol w:w="1276"/>
        <w:gridCol w:w="4678"/>
      </w:tblGrid>
      <w:tr>
        <w:trPr>
          <w:cantSplit/>
          <w:tblCellSpacing w:w="0" w:type="dxa"/>
          <w:trHeight w:val="300"/>
          <w:tblHeader/>
        </w:trPr>
        <w:tc>
          <w:tcPr>
            <w:tcBorders/>
            <w:tcMar>
              <w:left w:w="45" w:type="dxa"/>
              <w:top w:w="0" w:type="dxa"/>
              <w:right w:w="45" w:type="dxa"/>
              <w:bottom w:w="0" w:type="dxa"/>
            </w:tcMar>
            <w:tcW w:w="1020"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551"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276"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4678"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551" w:type="dxa"/>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467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551" w:type="dxa"/>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467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551" w:type="dxa"/>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467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551" w:type="dxa"/>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467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551" w:type="dxa"/>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467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551" w:type="dxa"/>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467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551" w:type="dxa"/>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467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551" w:type="dxa"/>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467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551" w:type="dxa"/>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467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95"/>
        <w:gridCol w:w="2835"/>
        <w:gridCol w:w="1134"/>
        <w:gridCol w:w="4962"/>
      </w:tblGrid>
      <w:tr>
        <w:trPr>
          <w:cantSplit/>
          <w:tblCellSpacing w:w="0" w:type="dxa"/>
          <w:trHeight w:val="300"/>
          <w:tblHeader/>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835"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134"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4962"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835"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496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835"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496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835"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496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835"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496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835"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496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835"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496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835" w:type="dxa"/>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496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835" w:type="dxa"/>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496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835" w:type="dxa"/>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496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835" w:type="dxa"/>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496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835" w:type="dxa"/>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496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835" w:type="dxa"/>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496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835" w:type="dxa"/>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496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835"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496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835"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496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835"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496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835"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496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835" w:type="dxa"/>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496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835" w:type="dxa"/>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496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835"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496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835"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496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835" w:type="dxa"/>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496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835" w:type="dxa"/>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496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835" w:type="dxa"/>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496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835" w:type="dxa"/>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496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835" w:type="dxa"/>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496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Bảo Vinh, Thị xã Long Khánh, Tỉnh Đồng Nai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Bảo Vinh, Thị xã Long Khánh, Tỉnh Đồng Nai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Bảo Vinh, Thị xã Long Khánh, Tỉnh Đồng Nai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Bảo Vinh, Thị xã Long Khánh, Tỉnh Đồng Nai</w:t>
            </w:r>
            <w:r>
              <w:rPr>
                <w:sz w:val="22"/>
                <w:szCs w:val="22"/>
              </w:rPr>
            </w:r>
            <w:r>
              <w:rPr>
                <w:sz w:val="22"/>
                <w:szCs w:val="22"/>
              </w:rPr>
            </w:r>
          </w:p>
        </w:tc>
      </w:tr>
      <w:tr>
        <w:trPr>
          <w:trHeight w:val="43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w:t>
            </w:r>
            <w:r>
              <w:rPr>
                <w:color w:val="000000" w:themeColor="text1"/>
                <w:sz w:val="22"/>
                <w:szCs w:val="22"/>
              </w:rPr>
              <w:t xml:space="preserve">hệ </w:t>
            </w:r>
            <w:r>
              <w:rPr>
                <w:color w:val="000000" w:themeColor="text1"/>
                <w:sz w:val="22"/>
                <w:szCs w:val="22"/>
              </w:rPr>
              <w:t xml:space="preserve">trực </w:t>
            </w:r>
            <w:r>
              <w:rPr>
                <w:color w:val="000000" w:themeColor="text1"/>
                <w:sz w:val="22"/>
                <w:szCs w:val="22"/>
              </w:rPr>
              <w:t xml:space="preserve">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Liên </w:t>
            </w:r>
            <w:r>
              <w:rPr>
                <w:color w:val="000000" w:themeColor="text1"/>
                <w:sz w:val="22"/>
                <w:szCs w:val="22"/>
              </w:rPr>
              <w:t xml:space="preserve">hệ </w:t>
            </w:r>
            <w:r>
              <w:rPr>
                <w:color w:val="000000" w:themeColor="text1"/>
                <w:sz w:val="22"/>
                <w:szCs w:val="22"/>
              </w:rPr>
              <w:t xml:space="preserve">trực </w:t>
            </w:r>
            <w:r>
              <w:rPr>
                <w:color w:val="000000" w:themeColor="text1"/>
                <w:sz w:val="22"/>
                <w:szCs w:val="22"/>
              </w:rPr>
              <w:t xml:space="preserve">tiếp</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Liên </w:t>
            </w:r>
            <w:r>
              <w:rPr>
                <w:color w:val="000000" w:themeColor="text1"/>
                <w:sz w:val="22"/>
                <w:szCs w:val="22"/>
              </w:rPr>
              <w:t xml:space="preserve">hệ </w:t>
            </w:r>
            <w:r>
              <w:rPr>
                <w:color w:val="000000" w:themeColor="text1"/>
                <w:sz w:val="22"/>
                <w:szCs w:val="22"/>
              </w:rPr>
              <w:t xml:space="preserve">trực </w:t>
            </w:r>
            <w:r>
              <w:rPr>
                <w:color w:val="000000" w:themeColor="text1"/>
                <w:sz w:val="22"/>
                <w:szCs w:val="22"/>
              </w:rPr>
              <w:t xml:space="preserve">tiếp</w:t>
            </w:r>
            <w:r>
              <w:rPr>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0984424232</w:t>
            </w:r>
            <w:r>
              <w:rPr>
                <w:sz w:val="22"/>
                <w:szCs w:val="22"/>
              </w:rPr>
              <w:t xml:space="preserve"> </w:t>
            </w:r>
            <w:r>
              <w:rPr>
                <w:sz w:val="22"/>
                <w:szCs w:val="22"/>
              </w:rPr>
              <w:br/>
              <w:t xml:space="preserve">(</w:t>
            </w:r>
            <w:r>
              <w:rPr>
                <w:sz w:val="22"/>
                <w:szCs w:val="22"/>
              </w:rPr>
              <w:t xml:space="preserve">Chị Ý</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0984424232</w:t>
            </w:r>
            <w:r>
              <w:rPr>
                <w:sz w:val="22"/>
                <w:szCs w:val="22"/>
              </w:rPr>
              <w:br/>
            </w:r>
            <w:r>
              <w:rPr>
                <w:sz w:val="22"/>
                <w:szCs w:val="22"/>
              </w:rPr>
              <w:t xml:space="preserve">(</w:t>
            </w:r>
            <w:r>
              <w:rPr>
                <w:sz w:val="22"/>
                <w:szCs w:val="22"/>
              </w:rPr>
              <w:t xml:space="preserve">Chị Ý</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0976269815</w:t>
            </w:r>
            <w:r>
              <w:rPr>
                <w:sz w:val="22"/>
                <w:szCs w:val="22"/>
              </w:rPr>
              <w:br/>
            </w:r>
            <w:r>
              <w:rPr>
                <w:sz w:val="22"/>
                <w:szCs w:val="22"/>
              </w:rPr>
              <w:t xml:space="preserve">(</w:t>
            </w:r>
            <w:r>
              <w:rPr>
                <w:sz w:val="22"/>
                <w:szCs w:val="22"/>
              </w:rPr>
              <w:t xml:space="preserve">Anh Thiện</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Đang </w:t>
            </w:r>
            <w:r>
              <w:rPr>
                <w:color w:val="000000"/>
                <w:sz w:val="22"/>
                <w:szCs w:val="22"/>
              </w:rPr>
              <w:t xml:space="preserve">giao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Đang </w:t>
            </w:r>
            <w:r>
              <w:rPr>
                <w:color w:val="000000"/>
                <w:sz w:val="22"/>
                <w:szCs w:val="22"/>
              </w:rPr>
              <w:t xml:space="preserve">giao </w:t>
            </w:r>
            <w:r>
              <w:rPr>
                <w:color w:val="000000"/>
                <w:sz w:val="22"/>
                <w:szCs w:val="22"/>
              </w:rPr>
              <w:t xml:space="preserve">dịch</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Đang </w:t>
            </w:r>
            <w:r>
              <w:rPr>
                <w:color w:val="000000"/>
                <w:sz w:val="22"/>
                <w:szCs w:val="22"/>
              </w:rPr>
              <w:t xml:space="preserve">giao </w:t>
            </w:r>
            <w:r>
              <w:rPr>
                <w:color w:val="000000"/>
                <w:sz w:val="22"/>
                <w:szCs w:val="22"/>
              </w:rPr>
              <w:t xml:space="preserve">dịch</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Bảo Vinh, Thị xã Long Khánh, Tỉnh Đồng Nai, </w:t>
            </w:r>
            <w:r>
              <w:rPr>
                <w:color w:val="000000" w:themeColor="text1"/>
                <w:sz w:val="22"/>
                <w:szCs w:val="22"/>
              </w:rPr>
              <w:t xml:space="preserve">cách </w:t>
            </w:r>
            <w:r>
              <w:rPr>
                <w:color w:val="000000" w:themeColor="text1"/>
                <w:sz w:val="22"/>
                <w:szCs w:val="22"/>
              </w:rPr>
              <w:t xml:space="preserve">đường </w:t>
            </w:r>
            <w:r>
              <w:rPr>
                <w:color w:val="000000" w:themeColor="text1"/>
                <w:sz w:val="22"/>
                <w:szCs w:val="22"/>
              </w:rPr>
              <w:t xml:space="preserve">Hà</w:t>
            </w:r>
            <w:r>
              <w:rPr>
                <w:color w:val="000000" w:themeColor="text1"/>
                <w:sz w:val="22"/>
                <w:szCs w:val="22"/>
              </w:rPr>
              <w:t xml:space="preserve">m </w:t>
            </w:r>
            <w:r>
              <w:rPr>
                <w:color w:val="000000" w:themeColor="text1"/>
                <w:sz w:val="22"/>
                <w:szCs w:val="22"/>
              </w:rPr>
              <w:t xml:space="preserve">Nghi </w:t>
            </w:r>
            <w:r>
              <w:rPr>
                <w:color w:val="000000" w:themeColor="text1"/>
                <w:sz w:val="22"/>
                <w:szCs w:val="22"/>
              </w:rPr>
              <w:t xml:space="preserve">#200</w:t>
            </w:r>
            <w:r>
              <w:rPr>
                <w:color w:val="000000" w:themeColor="text1"/>
                <w:sz w:val="22"/>
                <w:szCs w:val="22"/>
              </w:rPr>
              <w:t xml:space="preserve">m.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Bảo Vinh, Thị xã Long Khánh, Tỉnh Đồng Nai, khoảng cách ra đường chính Cách đường Hàm Nghi #600m.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Bảo Vinh, Thị xã Long Khánh, Tỉnh Đồng Nai, khoảng cách ra đường chính Cách đường Bảo Vinh - Bảo Quang #230m.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Bảo Vinh, Thị xã Long Khánh, Tỉnh Đồng Nai, khoảng cách ra đường chính Cách đường Xuân Lộc - Long Khánh #300m.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129.6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99.8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121</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25,93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25.92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19.96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Tài </w:t>
            </w:r>
            <w:r>
              <w:rPr>
                <w:color w:val="000000"/>
                <w:sz w:val="22"/>
                <w:szCs w:val="22"/>
              </w:rPr>
              <w:t xml:space="preserve">sản </w:t>
            </w:r>
            <w:r>
              <w:rPr>
                <w:color w:val="000000"/>
                <w:sz w:val="22"/>
                <w:szCs w:val="22"/>
              </w:rPr>
              <w:t xml:space="preserve">trên </w:t>
            </w:r>
            <w:r>
              <w:rPr>
                <w:color w:val="000000"/>
                <w:sz w:val="22"/>
                <w:szCs w:val="22"/>
              </w:rPr>
              <w:t xml:space="preserve">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w:t>
            </w:r>
            <w:r>
              <w:rPr>
                <w:color w:val="000000" w:themeColor="text1"/>
                <w:sz w:val="22"/>
                <w:szCs w:val="22"/>
              </w:rPr>
              <w:t xml:space="preserve">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w:t>
            </w:r>
            <w:r>
              <w:rPr>
                <w:color w:val="000000" w:themeColor="text1"/>
                <w:sz w:val="22"/>
                <w:szCs w:val="22"/>
              </w:rPr>
              <w:t xml:space="preserve">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w:t>
            </w:r>
            <w:r>
              <w:rPr>
                <w:color w:val="000000" w:themeColor="text1"/>
                <w:sz w:val="22"/>
                <w:szCs w:val="22"/>
              </w:rPr>
              <w:t xml:space="preserve">trống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1.080.000.000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980.000.000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1.026.000.000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931.000.000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902.500.000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1.026.000.000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931.000.000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902.500.000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7.916.667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9.328.657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7.458.678</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7"/>
        <w:gridCol w:w="1660"/>
        <w:gridCol w:w="1030"/>
        <w:gridCol w:w="1522"/>
        <w:gridCol w:w="1522"/>
        <w:gridCol w:w="1522"/>
        <w:gridCol w:w="1522"/>
      </w:tblGrid>
      <w:tr>
        <w:trPr>
          <w:trHeight w:val="20"/>
          <w:tblHeader/>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1.026.000.000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931.000.000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902.500.000</w:t>
            </w:r>
            <w:r>
              <w:rPr>
                <w:color w:val="000000"/>
                <w:sz w:val="20"/>
                <w:szCs w:val="20"/>
              </w:rPr>
            </w:r>
            <w:r>
              <w:rPr>
                <w:color w:val="000000"/>
                <w:sz w:val="20"/>
                <w:szCs w:val="20"/>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7.916.667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9.328.657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7.458.678</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7.916.667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9.328.657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7.458.678</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7.916.667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9.328.657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7.458.678</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7.916.667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9.328.657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7.458.678</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Bảo Vinh, Thị xã Long Khánh, Tỉnh Đồng Nai, </w:t>
            </w:r>
            <w:r>
              <w:rPr>
                <w:color w:val="000000" w:themeColor="text1"/>
                <w:sz w:val="22"/>
                <w:szCs w:val="22"/>
              </w:rPr>
              <w:t xml:space="preserve">cách </w:t>
            </w:r>
            <w:r>
              <w:rPr>
                <w:color w:val="000000" w:themeColor="text1"/>
                <w:sz w:val="22"/>
                <w:szCs w:val="22"/>
              </w:rPr>
              <w:t xml:space="preserve">đường </w:t>
            </w:r>
            <w:r>
              <w:rPr>
                <w:color w:val="000000" w:themeColor="text1"/>
                <w:sz w:val="22"/>
                <w:szCs w:val="22"/>
              </w:rPr>
              <w:t xml:space="preserve">Hà</w:t>
            </w:r>
            <w:r>
              <w:rPr>
                <w:color w:val="000000" w:themeColor="text1"/>
                <w:sz w:val="22"/>
                <w:szCs w:val="22"/>
              </w:rPr>
              <w:t xml:space="preserve">m </w:t>
            </w:r>
            <w:r>
              <w:rPr>
                <w:color w:val="000000" w:themeColor="text1"/>
                <w:sz w:val="22"/>
                <w:szCs w:val="22"/>
              </w:rPr>
              <w:t xml:space="preserve">Nghi </w:t>
            </w:r>
            <w:r>
              <w:rPr>
                <w:color w:val="000000" w:themeColor="text1"/>
                <w:sz w:val="22"/>
                <w:szCs w:val="22"/>
              </w:rPr>
              <w:t xml:space="preserve">#200</w:t>
            </w:r>
            <w:r>
              <w:rPr>
                <w:color w:val="000000" w:themeColor="text1"/>
                <w:sz w:val="22"/>
                <w:szCs w:val="22"/>
              </w:rPr>
              <w:t xml:space="preserve">m. </w:t>
            </w:r>
            <w:r>
              <w:rPr>
                <w:color w:val="000000" w:themeColor="text1"/>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Bảo Vinh, Thị xã Long Khánh, Tỉnh Đồng Nai, khoảng cách ra đường chính Cách đường Hàm Nghi khoảng 600m.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Bảo Vinh, Thị xã Long Khánh, Tỉnh Đồng Nai, khoảng cách ra đường chính Cách đường Bảo Vinh - Bảo Quang khoảng 230m.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Bảo Vinh, Thị xã Long Khánh, Tỉnh Đồng Nai, khoảng cách ra đường chính Cách đường Xuân Lộc - Long Khánh khoảng 300m.</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237.500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8.154.167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9.328.657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7.458.678</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8.154.167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9.328.657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7.458.678</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8.154.167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9.328.657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7.458.678</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Kém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Kém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Kém</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237.500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279.860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223.760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8.391.667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9.608.517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7.682.438</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131,4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129,6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99,8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121</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-466.433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8.391.667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9.142.084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7.682.438</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8.391.667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9.142.084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7.682.438</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25,93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25,92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19,96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24,2</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-279.860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8.391.667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8.862.224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7.682.438</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8.391.667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8.862.224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7.682.438</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8.391.667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8.862.224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7.682.438</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395.833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466.433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372.934</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8.787.500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9.328.657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8.055.372</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Khả năng chuyển nhượng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395.833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466.433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372.934</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9.183.333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9.795.090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8.428.306</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660"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9.183.333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9.795.090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8.428.306</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9.135.576</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0,52%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7,22%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-7,74%</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1.266.666</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1.959.019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969.628</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1.266.666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466.433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969.628</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-7,74</w:t>
      </w:r>
      <w:r>
        <w:t xml:space="preserve">% đến</w:t>
      </w:r>
      <w:r>
        <w:t xml:space="preserve"> </w:t>
      </w:r>
      <w:r>
        <w:t xml:space="preserve"> </w:t>
      </w:r>
      <w:r>
        <w:t xml:space="preserve">7,22</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9.183.333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3.061.723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9.795.090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3.264.703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8.428.306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2.809.154</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9.135.580</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9.136.000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9.136.000</w:t>
      </w:r>
      <w:r>
        <w:rPr>
          <w:b/>
          <w:bCs/>
          <w:color w:val="000000" w:themeColor="text1"/>
        </w:rPr>
        <w:t xml:space="preserve"> </w:t>
      </w:r>
      <w:r>
        <w:rPr>
          <w:b/>
          <w:bCs/>
        </w:rPr>
        <w:t xml:space="preserve">đồng/m².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06/2026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205, tờ bản đồ số 20, có địa chỉ: Khu phố Ruộng Hời, phường Bảo Vinh, tỉnh Đồng Nai (Nay là Phường Bảo </w:t>
            </w:r>
            <w:r>
              <w:rPr>
                <w:b/>
                <w:bCs/>
                <w:color w:val="000000"/>
              </w:rPr>
              <w:t xml:space="preserve">V</w:t>
            </w:r>
            <w:r>
              <w:rPr>
                <w:b/>
                <w:bCs/>
                <w:color w:val="000000"/>
              </w:rPr>
              <w:t xml:space="preserve">inh, Thành phố Đồng Nai) theo Giấy chứng nhận quyền sử dụng đất, quyền sở hữu tài sản gắn liền với đất số AA 04085715, số vào sổ cấp GCN: CN 5146 do Văn phòng đăng ký đất đai chi nhánh Long Khánh cấp ngày 16/10/2025; chủ sử dụng đất là Bà Vũ Thị Thuỳ Nhung</w:t>
            </w:r>
            <w:r>
              <w:rPr>
                <w:b/>
                <w:b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131</w:t>
            </w:r>
            <w:r>
              <w:rPr>
                <w:color w:val="000000" w:themeColor="text1"/>
              </w:rPr>
              <w:t xml:space="preserve">,4</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9.136.000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1.200.470.400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1.200.470.400</w:t>
            </w:r>
            <w:r>
              <w:rPr>
                <w:b/>
                <w:bCs/>
                <w:color w:val="000000"/>
              </w:rPr>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1.200.500.000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Một tỷ hai trăm triệu năm trăm nghìn</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275/2026/0968/VFI-CT.69.A</w:t>
      </w:r>
      <w:r>
        <w:rPr>
          <w:color w:val="ff0000"/>
          <w:lang w:val="vi-VN"/>
        </w:rPr>
        <w:t xml:space="preserve"> </w:t>
      </w:r>
      <w:r>
        <w:rPr>
          <w:color w:val="000000" w:themeColor="text1"/>
        </w:rPr>
        <w:t xml:space="preserve">ngày 29 tháng 6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Thuỳ Nhật Anh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275/2026/0968/VFI-BC.69.A</w:t>
      </w:r>
      <w:r>
        <w:rPr>
          <w:i/>
          <w:lang w:val="pt-BR"/>
        </w:rPr>
        <w:t xml:space="preserve"> </w:t>
      </w:r>
      <w:r>
        <w:rPr>
          <w:i/>
          <w:lang w:val="pt-BR"/>
        </w:rPr>
        <w:t xml:space="preserve">29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397206" cy="2156153"/>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692126" name=""/>
                              <pic:cNvPicPr>
                                <a:picLocks noChangeAspect="1"/>
                              </pic:cNvPicPr>
                              <pic:nvPr/>
                            </pic:nvPicPr>
                            <pic:blipFill rotWithShape="1">
                              <a:blip r:embed="rId19"/>
                              <a:stretch/>
                            </pic:blipFill>
                            <pic:spPr bwMode="auto">
                              <a:xfrm flipH="0" flipV="0">
                                <a:off x="0" y="0"/>
                                <a:ext cx="1397206" cy="215615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0.02pt;height:169.78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18819" cy="196411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937953" name=""/>
                              <pic:cNvPicPr>
                                <a:picLocks noChangeAspect="1"/>
                              </pic:cNvPicPr>
                              <pic:nvPr/>
                            </pic:nvPicPr>
                            <pic:blipFill rotWithShape="1">
                              <a:blip r:embed="rId20"/>
                              <a:stretch/>
                            </pic:blipFill>
                            <pic:spPr bwMode="auto">
                              <a:xfrm flipH="0" flipV="0">
                                <a:off x="0" y="0"/>
                                <a:ext cx="2618819" cy="19641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6.21pt;height:154.65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Đường </w:t>
            </w:r>
            <w:r>
              <w:rPr>
                <w:b/>
                <w:bCs/>
                <w:i/>
                <w:lang w:val="pt-BR"/>
              </w:rPr>
              <w:t xml:space="preserve">trước </w:t>
            </w:r>
            <w:r>
              <w:rPr>
                <w:b/>
                <w:bCs/>
                <w:i/>
                <w:lang w:val="pt-BR"/>
              </w:rPr>
              <w:t xml:space="preserve">tài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61444" cy="2071083"/>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657734" name=""/>
                              <pic:cNvPicPr>
                                <a:picLocks noChangeAspect="1"/>
                              </pic:cNvPicPr>
                              <pic:nvPr/>
                            </pic:nvPicPr>
                            <pic:blipFill rotWithShape="1">
                              <a:blip r:embed="rId21"/>
                              <a:stretch/>
                            </pic:blipFill>
                            <pic:spPr bwMode="auto">
                              <a:xfrm flipH="0" flipV="0">
                                <a:off x="0" y="0"/>
                                <a:ext cx="2761444" cy="207108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7.44pt;height:163.08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16802" cy="2037601"/>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777630" name=""/>
                              <pic:cNvPicPr>
                                <a:picLocks noChangeAspect="1"/>
                              </pic:cNvPicPr>
                              <pic:nvPr/>
                            </pic:nvPicPr>
                            <pic:blipFill rotWithShape="1">
                              <a:blip r:embed="rId22"/>
                              <a:stretch/>
                            </pic:blipFill>
                            <pic:spPr bwMode="auto">
                              <a:xfrm flipH="0" flipV="0">
                                <a:off x="0" y="0"/>
                                <a:ext cx="2716801" cy="20376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3.92pt;height:160.44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97028" cy="209777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483290" name=""/>
                              <pic:cNvPicPr>
                                <a:picLocks noChangeAspect="1"/>
                              </pic:cNvPicPr>
                              <pic:nvPr/>
                            </pic:nvPicPr>
                            <pic:blipFill rotWithShape="1">
                              <a:blip r:embed="rId23"/>
                              <a:stretch/>
                            </pic:blipFill>
                            <pic:spPr bwMode="auto">
                              <a:xfrm flipH="0" flipV="0">
                                <a:off x="0" y="0"/>
                                <a:ext cx="2797027" cy="209777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0.24pt;height:165.18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40333" cy="213025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91107" name=""/>
                              <pic:cNvPicPr>
                                <a:picLocks noChangeAspect="1"/>
                              </pic:cNvPicPr>
                              <pic:nvPr/>
                            </pic:nvPicPr>
                            <pic:blipFill rotWithShape="1">
                              <a:blip r:embed="rId24"/>
                              <a:stretch/>
                            </pic:blipFill>
                            <pic:spPr bwMode="auto">
                              <a:xfrm flipH="0" flipV="0">
                                <a:off x="0" y="0"/>
                                <a:ext cx="2840332" cy="21302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3.65pt;height:167.74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left"/>
        <w:rPr>
          <w:i/>
          <w:lang w:val="pt-BR"/>
        </w:rPr>
      </w:pPr>
      <w:r>
        <w:rPr>
          <w:i/>
          <w:lang w:val="pt-BR"/>
        </w:rPr>
        <w:t xml:space="preserve">(Kèm theo Báo cáo thẩm định số </w:t>
      </w:r>
      <w:r>
        <w:rPr>
          <w:i/>
        </w:rPr>
        <w:t xml:space="preserve">275/2026/0968/VFI-BC.69.A</w:t>
      </w:r>
      <w:r>
        <w:rPr>
          <w:i/>
          <w:lang w:val="pt-BR"/>
        </w:rPr>
        <w:t xml:space="preserve"> </w:t>
      </w:r>
      <w:r>
        <w:rPr>
          <w:i/>
          <w:lang w:val="pt-BR"/>
        </w:rPr>
        <w:t xml:space="preserve">29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3506"/>
        <w:gridCol w:w="5481"/>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Liên </w:t>
            </w:r>
            <w:r>
              <w:rPr>
                <w:color w:val="000000" w:themeColor="text1"/>
                <w:sz w:val="22"/>
                <w:szCs w:val="22"/>
              </w:rPr>
              <w:t xml:space="preserve">hệ </w:t>
            </w:r>
            <w:r>
              <w:rPr>
                <w:color w:val="000000" w:themeColor="text1"/>
                <w:sz w:val="22"/>
                <w:szCs w:val="22"/>
              </w:rPr>
              <w:t xml:space="preserve">trực </w:t>
            </w:r>
            <w:r>
              <w:rPr>
                <w:color w:val="000000" w:themeColor="text1"/>
                <w:sz w:val="22"/>
                <w:szCs w:val="22"/>
              </w:rPr>
              <w:t xml:space="preserve">tiếp</w:t>
            </w:r>
            <w:r>
              <w:rPr>
                <w:color w:val="000000" w:themeColor="text1"/>
                <w:sz w:val="22"/>
                <w:szCs w:val="22"/>
              </w:rPr>
              <w:br/>
              <w:t xml:space="preserve">0984424232</w:t>
            </w:r>
            <w:r>
              <w:rPr>
                <w:sz w:val="22"/>
                <w:szCs w:val="22"/>
              </w:rPr>
              <w:t xml:space="preserve"> </w:t>
            </w:r>
            <w:r>
              <w:rPr>
                <w:sz w:val="22"/>
                <w:szCs w:val="22"/>
              </w:rPr>
              <w:br/>
              <w:t xml:space="preserve">(Chị Ý</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1.080.000.000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1.026.000.000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(129.6m²)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Bảo Vinh, Thị xã Long Khánh, Tỉnh Đồng Nai, Cách đường Hàm Nghi #600m.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129.6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606"/>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174939" cy="2125775"/>
                      <wp:effectExtent l="0" t="0" r="0" b="0"/>
                      <wp:docPr id="13" name=""/>
                      <wp:cNvGraphicFramePr/>
                      <a:graphic xmlns:a="http://schemas.openxmlformats.org/drawingml/2006/main">
                        <a:graphicData uri="http://schemas.openxmlformats.org/drawingml/2006/picture">
                          <pic:pic xmlns:pic="http://schemas.openxmlformats.org/drawingml/2006/picture">
                            <pic:nvPicPr>
                              <pic:cNvPr id="516765558" name="" descr=""/>
                              <pic:cNvPicPr/>
                              <pic:nvPr/>
                            </pic:nvPicPr>
                            <pic:blipFill rotWithShape="1">
                              <a:blip r:embed="rId25"/>
                              <a:stretch/>
                            </pic:blipFill>
                            <pic:spPr bwMode="auto">
                              <a:xfrm rot="0" flipH="0" flipV="0">
                                <a:off x="0" y="0"/>
                                <a:ext cx="1174938" cy="212577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92.51pt;height:167.38pt;mso-wrap-distance-left:0.00pt;mso-wrap-distance-top:0.00pt;mso-wrap-distance-right:0.00pt;mso-wrap-distance-bottom:0.00pt;rotation:0;z-index:1;" stroked="false">
                      <v:imagedata r:id="rId25"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left"/>
              <w:rPr>
                <w:b/>
                <w:bCs/>
              </w:rPr>
            </w:pPr>
            <w:r>
              <w:rPr>
                <w:b/>
                <w:bCs/>
              </w:rPr>
            </w:r>
            <w:r>
              <w:rPr>
                <w:b/>
                <w:bCs/>
              </w:rPr>
            </w:r>
            <w:r>
              <w:rPr>
                <w:b/>
                <w:bCs/>
              </w:rPr>
            </w:r>
          </w:p>
          <w:p>
            <w:pPr>
              <w:pBdr/>
              <w:spacing/>
              <w:ind/>
              <w:jc w:val="left"/>
              <w:rPr>
                <w:b/>
                <w:bCs/>
              </w:rPr>
            </w:pPr>
            <w:r>
              <w:rPr>
                <w:b/>
                <w:bCs/>
              </w:rPr>
            </w:r>
            <w:r>
              <w:rPr>
                <w:b/>
                <w:bCs/>
              </w:rPr>
            </w:r>
            <w:r>
              <w:rPr>
                <w:b/>
                <w:bCs/>
              </w:rPr>
            </w:r>
          </w:p>
          <w:p>
            <w:pPr>
              <w:pBdr/>
              <w:spacing/>
              <w:ind/>
              <w:jc w:val="left"/>
              <w:rPr>
                <w:b/>
                <w:bCs/>
              </w:rPr>
            </w:pPr>
            <w:r>
              <w:rPr>
                <w:b/>
                <w:bCs/>
              </w:rPr>
            </w:r>
            <w:r>
              <w:rPr>
                <w:b/>
                <w:bCs/>
              </w:rPr>
            </w:r>
            <w:r>
              <w:rPr>
                <w:b/>
                <w:bCs/>
              </w:rPr>
            </w:r>
          </w:p>
          <w:p>
            <w:pPr>
              <w:pBdr/>
              <w:spacing/>
              <w:ind/>
              <w:jc w:val="left"/>
              <w:rPr>
                <w:b/>
                <w:bCs/>
              </w:rPr>
            </w:pPr>
            <w:r>
              <w:rPr>
                <w:b/>
                <w:bCs/>
              </w:rPr>
            </w:r>
            <w:r>
              <w:rPr>
                <w:b/>
                <w:bCs/>
              </w:rPr>
            </w:r>
            <w:r>
              <w:rPr>
                <w:b/>
                <w:bCs/>
              </w:rPr>
            </w:r>
          </w:p>
          <w:p>
            <w:pPr>
              <w:pBdr/>
              <w:spacing/>
              <w:ind/>
              <w:jc w:val="left"/>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Vũ Thế Lực</w:t>
            </w:r>
            <w:r/>
          </w:p>
        </w:tc>
      </w:tr>
    </w:tbl>
    <w:p>
      <w:pPr>
        <w:pBdr/>
        <w:shd w:val="nil" w:color="auto"/>
        <w:spacing/>
        <w:ind/>
        <w:rPr>
          <w:b/>
          <w:bCs/>
          <w:lang w:val="pt-BR"/>
        </w:rPr>
      </w:pPr>
      <w:r>
        <w:rPr>
          <w:b/>
          <w:bCs/>
          <w:iCs/>
          <w:highlight w:val="none"/>
          <w:lang w:val="pt-BR"/>
        </w:rPr>
      </w:r>
      <w:r>
        <w:rPr>
          <w:b/>
          <w:bCs/>
          <w:lang w:val="pt-BR"/>
        </w:rPr>
      </w:r>
      <w:r>
        <w:rPr>
          <w:b/>
          <w:bCs/>
          <w:lang w:val="pt-BR"/>
        </w:rPr>
      </w:r>
    </w:p>
    <w:p>
      <w:pPr>
        <w:pBdr/>
        <w:spacing w:after="200" w:line="276" w:lineRule="auto"/>
        <w:ind/>
        <w:jc w:val="center"/>
        <w:rPr>
          <w:b/>
          <w:bCs/>
          <w:iCs/>
          <w:highlight w:val="none"/>
          <w:lang w:val="pt-BR"/>
        </w:rPr>
      </w:pPr>
      <w:r>
        <w:rPr>
          <w:b/>
          <w:bCs/>
          <w:iCs/>
          <w:lang w:val="pt-BR"/>
        </w:rPr>
      </w:r>
      <w:r>
        <w:rPr>
          <w:b/>
          <w:bCs/>
          <w:iCs/>
          <w:lang w:val="pt-BR"/>
        </w:rPr>
        <w:t xml:space="preserve">TSSS2</w:t>
      </w:r>
      <w:r>
        <w:rPr>
          <w:b/>
          <w:bCs/>
          <w:iCs/>
          <w:highlight w:val="none"/>
          <w:lang w:val="pt-BR"/>
        </w:rPr>
      </w:r>
      <w:r>
        <w:rPr>
          <w:b/>
          <w:bCs/>
          <w:iCs/>
          <w:highlight w:val="none"/>
          <w:lang w:val="pt-BR"/>
        </w:rPr>
      </w:r>
    </w:p>
    <w:tbl>
      <w:tblPr>
        <w:tblW w:w="9619" w:type="dxa"/>
        <w:tblBorders/>
        <w:tblLayout w:type="fixed"/>
        <w:tblLook w:val="04A0" w:firstRow="1" w:lastRow="0" w:firstColumn="1" w:lastColumn="0" w:noHBand="0" w:noVBand="1"/>
      </w:tblPr>
      <w:tblGrid>
        <w:gridCol w:w="632"/>
        <w:gridCol w:w="3081"/>
        <w:gridCol w:w="5906"/>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jc w:val="left"/>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L</w:t>
            </w:r>
            <w:r>
              <w:rPr>
                <w:color w:val="000000" w:themeColor="text1"/>
                <w:sz w:val="22"/>
                <w:szCs w:val="22"/>
              </w:rPr>
              <w:t xml:space="preserve">iên </w:t>
            </w:r>
            <w:r>
              <w:rPr>
                <w:color w:val="000000" w:themeColor="text1"/>
                <w:sz w:val="22"/>
                <w:szCs w:val="22"/>
              </w:rPr>
              <w:t xml:space="preserve">hệ </w:t>
            </w:r>
            <w:r>
              <w:rPr>
                <w:color w:val="000000" w:themeColor="text1"/>
                <w:sz w:val="22"/>
                <w:szCs w:val="22"/>
              </w:rPr>
              <w:t xml:space="preserve">trực </w:t>
            </w:r>
            <w:r>
              <w:rPr>
                <w:color w:val="000000" w:themeColor="text1"/>
                <w:sz w:val="22"/>
                <w:szCs w:val="22"/>
              </w:rPr>
              <w:t xml:space="preserve">tiếp</w:t>
            </w:r>
            <w:r>
              <w:rPr>
                <w:color w:val="000000" w:themeColor="text1"/>
                <w:sz w:val="22"/>
                <w:szCs w:val="22"/>
              </w:rPr>
              <w:br/>
              <w:t xml:space="preserve">0984424232</w:t>
            </w:r>
            <w:r>
              <w:rPr>
                <w:sz w:val="22"/>
                <w:szCs w:val="22"/>
              </w:rPr>
              <w:t xml:space="preserve"> </w:t>
            </w:r>
            <w:r>
              <w:rPr>
                <w:sz w:val="22"/>
                <w:szCs w:val="22"/>
              </w:rPr>
              <w:br/>
              <w:t xml:space="preserve">(Chị Ý</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980.000.000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931.000.000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w:t>
            </w:r>
            <w:r>
              <w:rPr>
                <w:color w:val="000000" w:themeColor="text1"/>
                <w:sz w:val="22"/>
                <w:szCs w:val="22"/>
              </w:rPr>
              <w:t xml:space="preserve">ịch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(99.8m²)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Bảo Vinh, Thị xã Long Khánh, Tỉnh Đồng Nai. Cách đường Bảo Vinh - Bảo Quang #230m.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99.8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702051" cy="2024976"/>
                      <wp:effectExtent l="0" t="0" r="0" b="0"/>
                      <wp:docPr id="14" name=""/>
                      <wp:cNvGraphicFramePr/>
                      <a:graphic xmlns:a="http://schemas.openxmlformats.org/drawingml/2006/main">
                        <a:graphicData uri="http://schemas.openxmlformats.org/drawingml/2006/picture">
                          <pic:pic xmlns:pic="http://schemas.openxmlformats.org/drawingml/2006/picture">
                            <pic:nvPicPr>
                              <pic:cNvPr id="429397142" name="" descr=""/>
                              <pic:cNvPicPr/>
                              <pic:nvPr/>
                            </pic:nvPicPr>
                            <pic:blipFill rotWithShape="1">
                              <a:blip r:embed="rId26"/>
                              <a:stretch/>
                            </pic:blipFill>
                            <pic:spPr bwMode="auto">
                              <a:xfrm flipH="0" flipV="0">
                                <a:off x="0" y="0"/>
                                <a:ext cx="1702051" cy="202497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34.02pt;height:159.45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887108" cy="2024976"/>
                      <wp:effectExtent l="0" t="0" r="0" b="0"/>
                      <wp:docPr id="15" name=""/>
                      <wp:cNvGraphicFramePr/>
                      <a:graphic xmlns:a="http://schemas.openxmlformats.org/drawingml/2006/main">
                        <a:graphicData uri="http://schemas.openxmlformats.org/drawingml/2006/picture">
                          <pic:pic xmlns:pic="http://schemas.openxmlformats.org/drawingml/2006/picture">
                            <pic:nvPicPr>
                              <pic:cNvPr id="1831136605" name="" descr=""/>
                              <pic:cNvPicPr/>
                              <pic:nvPr/>
                            </pic:nvPicPr>
                            <pic:blipFill rotWithShape="1">
                              <a:blip r:embed="rId27"/>
                              <a:stretch/>
                            </pic:blipFill>
                            <pic:spPr bwMode="auto">
                              <a:xfrm rot="0" flipH="0" flipV="0">
                                <a:off x="0" y="0"/>
                                <a:ext cx="1887107" cy="202497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48.59pt;height:159.45pt;mso-wrap-distance-left:0.00pt;mso-wrap-distance-top:0.00pt;mso-wrap-distance-right:0.00pt;mso-wrap-distance-bottom:0.00pt;rotation:0;z-index:1;" stroked="false">
                      <v:imagedata r:id="rId27"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Vũ Thế Lực</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3648"/>
        <w:gridCol w:w="5339"/>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sz w:val="22"/>
                <w:szCs w:val="22"/>
              </w:rPr>
            </w:pPr>
            <w:r>
              <w:rPr>
                <w:color w:val="000000" w:themeColor="text1"/>
                <w:sz w:val="22"/>
                <w:szCs w:val="22"/>
              </w:rPr>
              <w:t xml:space="preserve">Anh Thiện</w:t>
            </w:r>
            <w:r>
              <w:rPr>
                <w:color w:val="000000" w:themeColor="text1"/>
                <w:sz w:val="22"/>
                <w:szCs w:val="22"/>
              </w:rPr>
              <w:br/>
            </w:r>
            <w:r>
              <w:rPr>
                <w:sz w:val="22"/>
                <w:szCs w:val="22"/>
              </w:rPr>
              <w:t xml:space="preserve">SĐT: </w:t>
            </w:r>
            <w:r>
              <w:rPr>
                <w:color w:val="000000" w:themeColor="text1"/>
                <w:sz w:val="22"/>
                <w:szCs w:val="22"/>
              </w:rPr>
              <w:t xml:space="preserve">0976269815</w:t>
            </w:r>
            <w:r>
              <w:rPr>
                <w:sz w:val="22"/>
                <w:szCs w:val="22"/>
              </w:rPr>
              <w:t xml:space="preserve"> </w:t>
            </w:r>
            <w:r>
              <w:rPr>
                <w:sz w:val="22"/>
                <w:szCs w:val="22"/>
              </w:rPr>
              <w:br/>
              <w:t xml:space="preserve">(Anh Thiện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sz w:val="22"/>
                <w:szCs w:val="22"/>
              </w:rPr>
            </w:pPr>
            <w:r>
              <w:rPr>
                <w:color w:val="000000" w:themeColor="text1"/>
                <w:sz w:val="22"/>
                <w:szCs w:val="22"/>
              </w:rPr>
              <w:t xml:space="preserve">950.000.000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sz w:val="22"/>
                <w:szCs w:val="22"/>
              </w:rPr>
            </w:pPr>
            <w:r>
              <w:rPr>
                <w:color w:val="000000" w:themeColor="text1"/>
                <w:sz w:val="22"/>
                <w:szCs w:val="22"/>
              </w:rPr>
              <w:t xml:space="preserve">902.500.000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(121m²)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Bảo Vinh, Thị xã Long Khánh, Tỉnh Đồng Nai, khoảng cách ra đường chính Cách đường Xuân Lộc - Long Khánh #300mm, độ rộng đường trước mặt tài sản 5m, mặt tiền 5m, 10.935010602795156, 107.27002432473502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sz w:val="22"/>
                <w:szCs w:val="22"/>
              </w:rPr>
            </w:pPr>
            <w:r>
              <w:rPr>
                <w:color w:val="000000" w:themeColor="text1"/>
                <w:sz w:val="22"/>
                <w:szCs w:val="22"/>
              </w:rPr>
              <w:t xml:space="preserve">121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022438" cy="2354053"/>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flipH="0" flipV="0">
                                <a:off x="0" y="0"/>
                                <a:ext cx="2022437" cy="235405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59.25pt;height:185.36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78426" cy="2354053"/>
                      <wp:effectExtent l="0" t="0" r="0" b="0"/>
                      <wp:docPr id="17" name=""/>
                      <wp:cNvGraphicFramePr/>
                      <a:graphic xmlns:a="http://schemas.openxmlformats.org/drawingml/2006/main">
                        <a:graphicData uri="http://schemas.openxmlformats.org/drawingml/2006/picture">
                          <pic:pic xmlns:pic="http://schemas.openxmlformats.org/drawingml/2006/picture">
                            <pic:nvPicPr>
                              <pic:cNvPr id="1812384098" name="" descr=""/>
                              <pic:cNvPicPr/>
                              <pic:nvPr/>
                            </pic:nvPicPr>
                            <pic:blipFill rotWithShape="1">
                              <a:blip r:embed="rId29"/>
                              <a:stretch/>
                            </pic:blipFill>
                            <pic:spPr bwMode="auto">
                              <a:xfrm rot="0" flipH="0" flipV="0">
                                <a:off x="0" y="0"/>
                                <a:ext cx="1778425" cy="235405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40.03pt;height:185.36pt;mso-wrap-distance-left:0.00pt;mso-wrap-distance-top:0.00pt;mso-wrap-distance-right:0.00pt;mso-wrap-distance-bottom:0.00pt;rotation:0;z-index:1;" stroked="false">
                      <v:imagedata r:id="rId29"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Vũ Thế Lự</w:t>
            </w:r>
            <w:r>
              <w:t xml:space="preserve">c</w:t>
            </w:r>
            <w:r>
              <w:rPr>
                <w:highlight w:val="none"/>
              </w:rPr>
            </w:r>
            <w:r>
              <w:rPr>
                <w:highlight w:val="none"/>
              </w:rP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left"/>
              <w:rPr>
                <w:b/>
                <w:bCs/>
              </w:rPr>
            </w:pPr>
            <w:r>
              <w:rPr>
                <w:b/>
                <w:bCs/>
              </w:rPr>
            </w:r>
            <w:r>
              <w:rPr>
                <w:b/>
                <w:bCs/>
              </w:rPr>
            </w:r>
            <w:r>
              <w:rPr>
                <w:b/>
                <w:bCs/>
              </w:rPr>
            </w:r>
          </w:p>
        </w:tc>
      </w:tr>
    </w:tbl>
    <w:p>
      <w:pPr>
        <w:pBdr/>
        <w:spacing w:after="200" w:line="276" w:lineRule="auto"/>
        <w:ind/>
        <w:jc w:val="center"/>
        <w:rPr>
          <w:b/>
          <w:bCs/>
          <w:iCs/>
          <w:highlight w:val="none"/>
          <w:lang w:val="pt-BR"/>
        </w:rPr>
      </w:pPr>
      <w:r>
        <w:rPr>
          <w:b/>
          <w:bCs/>
          <w:iCs/>
          <w:lang w:val="pt-BR"/>
        </w:rPr>
        <w:t xml:space="preserve">Hồ </w:t>
      </w:r>
      <w:r>
        <w:rPr>
          <w:b/>
          <w:bCs/>
          <w:iCs/>
          <w:lang w:val="pt-BR"/>
        </w:rPr>
        <w:t xml:space="preserve">sơ </w:t>
      </w:r>
      <w:r>
        <w:rPr>
          <w:b/>
          <w:bCs/>
          <w:iCs/>
          <w:lang w:val="pt-BR"/>
        </w:rPr>
        <w:t xml:space="preserve">pháp </w:t>
      </w:r>
      <w:r>
        <w:rPr>
          <w:b/>
          <w:bCs/>
          <w:iCs/>
          <w:lang w:val="pt-BR"/>
        </w:rPr>
        <w:t xml:space="preserve">lý </w:t>
      </w:r>
      <w:r>
        <w:rPr>
          <w:b/>
          <w:bCs/>
          <w:iCs/>
          <w:highlight w:val="none"/>
          <w:lang w:val="pt-BR"/>
        </w:rPr>
      </w:r>
      <w:r>
        <w:rPr>
          <w:b/>
          <w:bCs/>
          <w:iCs/>
          <w:highlight w:val="none"/>
          <w:lang w:val="pt-BR"/>
        </w:rPr>
      </w:r>
    </w:p>
    <w:p>
      <w:pPr>
        <w:pBdr/>
        <w:spacing w:after="200" w:line="276" w:lineRule="auto"/>
        <w:ind/>
        <w:jc w:val="center"/>
        <w:rPr>
          <w:b/>
          <w:bCs/>
          <w:highlight w:val="none"/>
        </w:rPr>
      </w:pPr>
      <w:r>
        <w:rPr>
          <w:b/>
          <w:bCs/>
          <w:iCs/>
          <w:highlight w:val="none"/>
          <w:lang w:val="pt-BR"/>
        </w:rPr>
      </w:r>
      <w:r>
        <mc:AlternateContent>
          <mc:Choice Requires="wpg">
            <w:drawing>
              <wp:inline xmlns:wp="http://schemas.openxmlformats.org/drawingml/2006/wordprocessingDrawing" distT="0" distB="0" distL="0" distR="0">
                <wp:extent cx="6048375" cy="8209883"/>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186190" name=""/>
                        <pic:cNvPicPr>
                          <a:picLocks noChangeAspect="1"/>
                        </pic:cNvPicPr>
                        <pic:nvPr/>
                      </pic:nvPicPr>
                      <pic:blipFill rotWithShape="1">
                        <a:blip r:embed="rId30"/>
                        <a:stretch/>
                      </pic:blipFill>
                      <pic:spPr bwMode="auto">
                        <a:xfrm>
                          <a:off x="0" y="0"/>
                          <a:ext cx="6048374" cy="820988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646.45pt;mso-wrap-distance-left:0.00pt;mso-wrap-distance-top:0.00pt;mso-wrap-distance-right:0.00pt;mso-wrap-distance-bottom:0.00pt;z-index:1;" stroked="false">
                <v:imagedata r:id="rId30" o:title=""/>
                <o:lock v:ext="edit" rotation="t"/>
              </v:shape>
            </w:pict>
          </mc:Fallback>
        </mc:AlternateContent>
      </w:r>
      <w:r>
        <w:rPr>
          <w:b/>
          <w:bCs/>
          <w:highlight w:val="none"/>
        </w:rPr>
      </w:r>
      <w:r>
        <w:rPr>
          <w:b/>
          <w:bCs/>
          <w:highlight w:val="none"/>
        </w:rPr>
      </w:r>
    </w:p>
    <w:p>
      <w:pPr>
        <w:pBdr/>
        <w:spacing w:after="200" w:line="276" w:lineRule="auto"/>
        <w:ind/>
        <w:rPr>
          <w:highlight w:val="none"/>
        </w:rPr>
      </w:pPr>
      <w:r>
        <w:rPr>
          <w:iCs/>
          <w:highlight w:val="none"/>
          <w:lang w:val="pt-BR" w:bidi="pt-BR"/>
        </w:rPr>
      </w:r>
      <w:r>
        <mc:AlternateContent>
          <mc:Choice Requires="wpg">
            <w:drawing>
              <wp:inline xmlns:wp="http://schemas.openxmlformats.org/drawingml/2006/wordprocessingDrawing" distT="0" distB="0" distL="0" distR="0">
                <wp:extent cx="6048375" cy="8738059"/>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001198" name=""/>
                        <pic:cNvPicPr>
                          <a:picLocks noChangeAspect="1"/>
                        </pic:cNvPicPr>
                        <pic:nvPr/>
                      </pic:nvPicPr>
                      <pic:blipFill rotWithShape="1">
                        <a:blip r:embed="rId31"/>
                        <a:stretch/>
                      </pic:blipFill>
                      <pic:spPr bwMode="auto">
                        <a:xfrm>
                          <a:off x="0" y="0"/>
                          <a:ext cx="6048374" cy="873805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688.04pt;mso-wrap-distance-left:0.00pt;mso-wrap-distance-top:0.00pt;mso-wrap-distance-right:0.00pt;mso-wrap-distance-bottom:0.00pt;z-index:1;" stroked="false">
                <v:imagedata r:id="rId31" o:title=""/>
                <o:lock v:ext="edit" rotation="t"/>
              </v:shape>
            </w:pict>
          </mc:Fallback>
        </mc:AlternateContent>
      </w:r>
      <w:r>
        <w:rPr>
          <w:highlight w:val="none"/>
        </w:rPr>
      </w:r>
      <w:r>
        <w:rPr>
          <w:highlight w:val="none"/>
        </w:rPr>
      </w:r>
    </w:p>
    <w:p>
      <w:pPr>
        <w:pBdr/>
        <w:spacing w:after="200" w:line="276" w:lineRule="auto"/>
        <w:ind/>
        <w:rPr>
          <w:lang w:val="pt-BR"/>
        </w:rPr>
      </w:pPr>
      <w:r>
        <w:rPr>
          <w:lang w:val="pt-BR"/>
        </w:rPr>
      </w:r>
      <w:r>
        <w:rPr>
          <w:lang w:val="pt-BR"/>
        </w:rPr>
      </w:r>
      <w:r>
        <w:rPr>
          <w:lang w:val="pt-BR"/>
        </w:rPr>
      </w:r>
    </w:p>
    <w:p>
      <w:pPr>
        <w:pBdr/>
        <w:spacing w:after="200" w:line="276" w:lineRule="auto"/>
        <w:ind/>
        <w:jc w:val="center"/>
        <w:rPr>
          <w:b/>
          <w:bCs/>
        </w:rPr>
      </w:pPr>
      <w:r>
        <w:rPr>
          <w:b/>
          <w:bCs/>
          <w:highlight w:val="none"/>
          <w:lang w:val="pt-BR" w:bidi="pt-BR"/>
        </w:rPr>
        <w:t xml:space="preserve">Biên </w:t>
      </w:r>
      <w:r>
        <w:rPr>
          <w:b/>
          <w:bCs/>
          <w:highlight w:val="none"/>
          <w:lang w:val="pt-BR" w:bidi="pt-BR"/>
        </w:rPr>
        <w:t xml:space="preserve">bả</w:t>
      </w:r>
      <w:r>
        <w:rPr>
          <w:b/>
          <w:bCs/>
          <w:highlight w:val="none"/>
          <w:lang w:val="pt-BR" w:bidi="pt-BR"/>
        </w:rPr>
        <w:t xml:space="preserve">n </w:t>
      </w:r>
      <w:r>
        <w:rPr>
          <w:b/>
          <w:bCs/>
          <w:highlight w:val="none"/>
          <w:lang w:val="pt-BR" w:bidi="pt-BR"/>
        </w:rPr>
        <w:t xml:space="preserve">khảo </w:t>
      </w:r>
      <w:r>
        <w:rPr>
          <w:b/>
          <w:bCs/>
          <w:highlight w:val="none"/>
          <w:lang w:val="pt-BR" w:bidi="pt-BR"/>
        </w:rPr>
        <w:t xml:space="preserve">sát </w: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Thuỳ Nhật Anh</cp:lastModifiedBy>
  <cp:revision>281</cp:revision>
  <dcterms:created xsi:type="dcterms:W3CDTF">2025-09-15T09:58:00Z</dcterms:created>
  <dcterms:modified xsi:type="dcterms:W3CDTF">2026-06-30T10:52:42Z</dcterms:modified>
</cp:coreProperties>
</file>