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header2.xml" ContentType="application/vnd.openxmlformats-officedocument.wordprocessingml.head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left"/>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616657</wp:posOffset>
                </wp:positionV>
                <wp:extent cx="5467350" cy="3238500"/>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23849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275/2026/1073/VFI-CT.48.A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LÊ QUANG KHẢI</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149, tờ bản đồ số: 39 có địa chỉ: Thôn Kiện Vũ, xã Trầm Lộng, huyện Ứng Hoà, thành phố Hà Nộ</w:t>
                            </w:r>
                            <w:r>
                              <w:rPr>
                                <w:color w:val="000000"/>
                              </w:rPr>
                              <w:t xml:space="preserve">i (</w:t>
                            </w:r>
                            <w:r>
                              <w:rPr>
                                <w:i/>
                                <w:iCs/>
                                <w:color w:val="000000"/>
                              </w:rPr>
                              <w:t xml:space="preserve">nay là xã Ứng Hoà, thành phố Hà Nội</w:t>
                            </w:r>
                            <w:r>
                              <w:rPr>
                                <w:color w:val="000000"/>
                              </w:rPr>
                              <w:t xml:space="preserve">) theo Giấy chứng nhận quyền sử dụng đất, quyền sở hữu nhà ở và tài sản khác gắn liền với đất số: BO 174426, số vào sổ cấp GCN: CH00426/ Ứng Hoà do Uỷ ban nhân dân huyện Ứng Hoà cấp ngày 15/5/2013 cho Ông Lê Quang Khải</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7/2026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48.56pt;mso-position-vertical:absolute;width:430.50pt;height:255.0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275/2026/1073/VFI-CT.48.A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LÊ QUANG KHẢI</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149, tờ bản đồ số: 39 có địa chỉ: Thôn Kiện Vũ, xã Trầm Lộng, huyện Ứng Hoà, thành phố Hà Nộ</w:t>
                      </w:r>
                      <w:r>
                        <w:rPr>
                          <w:color w:val="000000"/>
                        </w:rPr>
                        <w:t xml:space="preserve">i (</w:t>
                      </w:r>
                      <w:r>
                        <w:rPr>
                          <w:i/>
                          <w:iCs/>
                          <w:color w:val="000000"/>
                        </w:rPr>
                        <w:t xml:space="preserve">nay là xã Ứng Hoà, thành phố Hà Nội</w:t>
                      </w:r>
                      <w:r>
                        <w:rPr>
                          <w:color w:val="000000"/>
                        </w:rPr>
                        <w:t xml:space="preserve">) theo Giấy chứng nhận quyền sử dụng đất, quyền sở hữu nhà ở và tài sản khác gắn liền với đất số: BO 174426, số vào sổ cấp GCN: CH00426/ Ứng Hoà do Uỷ ban nhân dân huyện Ứng Hoà cấp ngày 15/5/2013 cho Ông Lê Quang Khải</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7/2026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default" r:id="rId9"/>
          <w:headerReference w:type="even" r:id="rId10"/>
          <w:footerReference w:type="default" r:id="rId11"/>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4-20</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45"/>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21</w:t>
            </w:r>
            <w:r>
              <w:rPr>
                <w:b/>
                <w:bCs/>
              </w:rPr>
            </w:r>
            <w:r>
              <w:rPr>
                <w:b/>
                <w:bCs/>
              </w:rPr>
            </w:r>
          </w:p>
        </w:tc>
      </w:tr>
      <w:tr>
        <w:trPr/>
        <w:tc>
          <w:tcPr>
            <w:tcBorders/>
            <w:tcMar>
              <w:left w:w="108" w:type="dxa"/>
              <w:right w:w="108" w:type="dxa"/>
            </w:tcMar>
            <w:tcW w:w="7280" w:type="dxa"/>
            <w:vAlign w:val="center"/>
            <w:textDirection w:val="lrTb"/>
            <w:noWrap w:val="false"/>
          </w:tcPr>
          <w:p>
            <w:pPr>
              <w:pStyle w:val="1045"/>
              <w:pBdr/>
              <w:tabs>
                <w:tab w:val="left" w:leader="none" w:pos="993"/>
              </w:tabs>
              <w:spacing w:after="120" w:before="120" w:line="288" w:lineRule="auto"/>
              <w:ind w:left="0"/>
              <w:jc w:val="both"/>
              <w:rPr>
                <w:bCs/>
                <w:lang w:val="pt-BR"/>
              </w:rPr>
            </w:pPr>
            <w:r>
              <w:rPr>
                <w:bCs/>
                <w:lang w:val="pt-BR"/>
              </w:rPr>
              <w:t xml:space="preserve">Phụ lục 2: Thông tin thu thập thị trường + </w:t>
            </w:r>
            <w:r>
              <w:rPr>
                <w:bCs/>
                <w:lang w:val="pt-BR"/>
              </w:rPr>
              <w:t xml:space="preserve">Hồ </w:t>
            </w:r>
            <w:r>
              <w:rPr>
                <w:bCs/>
                <w:lang w:val="pt-BR"/>
              </w:rPr>
              <w:t xml:space="preserve">sơ </w:t>
            </w:r>
            <w:r>
              <w:rPr>
                <w:bCs/>
                <w:lang w:val="pt-BR"/>
              </w:rPr>
              <w:t xml:space="preserve">pháp </w:t>
            </w:r>
            <w:r>
              <w:rPr>
                <w:bCs/>
                <w:lang w:val="pt-BR"/>
              </w:rPr>
              <w:t xml:space="preserve">lý + </w:t>
            </w:r>
            <w:r>
              <w:rPr>
                <w:bCs/>
                <w:lang w:val="pt-BR"/>
              </w:rPr>
              <w:t xml:space="preserve">BBKS</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22-27</w:t>
            </w:r>
            <w:r>
              <w:rPr>
                <w:b/>
                <w:bCs/>
              </w:rPr>
            </w:r>
            <w:r>
              <w:rPr>
                <w:b/>
                <w:bCs/>
              </w:rPr>
            </w:r>
          </w:p>
        </w:tc>
      </w:tr>
    </w:tbl>
    <w:p>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4"/>
        <w:pBdr/>
        <w:tabs>
          <w:tab w:val="left" w:leader="none" w:pos="5103"/>
        </w:tabs>
        <w:spacing w:line="360" w:lineRule="auto"/>
        <w:ind/>
        <w:rPr>
          <w:b/>
          <w:sz w:val="22"/>
          <w:szCs w:val="22"/>
          <w:lang w:val="vi-VN"/>
        </w:rPr>
        <w:sectPr>
          <w:footerReference w:type="first" r:id="rId12"/>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808" w:type="dxa"/>
        <w:tblBorders/>
        <w:tblLayout w:type="fixed"/>
        <w:tblLook w:val="04A0" w:firstRow="1" w:lastRow="0" w:firstColumn="1" w:lastColumn="0" w:noHBand="0" w:noVBand="1"/>
      </w:tblPr>
      <w:tblGrid>
        <w:gridCol w:w="1871"/>
        <w:gridCol w:w="3019"/>
        <w:gridCol w:w="4890"/>
        <w:gridCol w:w="29"/>
      </w:tblGrid>
      <w:tr>
        <w:trPr>
          <w:trHeight w:val="1559"/>
        </w:trPr>
        <w:tc>
          <w:tcPr>
            <w:tcBorders/>
            <w:tcW w:w="1871"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5"/>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5" o:title=""/>
                      <o:lock v:ext="edit" rotation="t"/>
                    </v:shape>
                  </w:pict>
                </mc:Fallback>
              </mc:AlternateContent>
            </w:r>
            <w:r>
              <w:rPr>
                <w:i/>
                <w:szCs w:val="26"/>
                <w:lang w:eastAsia="zh-CN"/>
              </w:rPr>
            </w:r>
            <w:r>
              <w:rPr>
                <w:i/>
                <w:szCs w:val="26"/>
                <w:lang w:eastAsia="zh-CN"/>
              </w:rPr>
            </w:r>
          </w:p>
        </w:tc>
        <w:tc>
          <w:tcPr>
            <w:gridSpan w:val="3"/>
            <w:tcBorders/>
            <w:tcW w:w="7937"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P</w:t>
            </w:r>
            <w:r>
              <w:rPr>
                <w:lang w:val="da-DK"/>
              </w:rPr>
              <w:t xml:space="preserve">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3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trHeight w:val="482"/>
        </w:trPr>
        <w:tc>
          <w:tcPr>
            <w:gridSpan w:val="2"/>
            <w:shd w:val="clear" w:color="auto" w:fill="auto"/>
            <w:tcBorders/>
            <w:tcMar>
              <w:left w:w="108" w:type="dxa"/>
              <w:top w:w="0" w:type="dxa"/>
              <w:right w:w="108" w:type="dxa"/>
              <w:bottom w:w="0" w:type="dxa"/>
            </w:tcMar>
            <w:tcW w:w="4890" w:type="dxa"/>
            <w:textDirection w:val="lrTb"/>
            <w:noWrap w:val="false"/>
          </w:tcPr>
          <w:p>
            <w:pPr>
              <w:pStyle w:val="1044"/>
              <w:pBdr/>
              <w:spacing w:after="60"/>
              <w:ind/>
              <w:rPr>
                <w:color w:val="000000" w:themeColor="text1"/>
                <w:sz w:val="24"/>
                <w:szCs w:val="24"/>
              </w:rPr>
            </w:pPr>
            <w:r>
              <w:rPr>
                <w:rStyle w:val="1043"/>
                <w:rFonts w:ascii="Times New Roman" w:hAnsi="Times New Roman"/>
                <w:color w:val="000000" w:themeColor="text1"/>
                <w:lang w:val="pt-BR"/>
              </w:rPr>
              <w:t xml:space="preserve">Số: </w:t>
            </w:r>
            <w:r>
              <w:rPr>
                <w:rStyle w:val="1043"/>
                <w:rFonts w:ascii="Times New Roman" w:hAnsi="Times New Roman"/>
                <w:color w:val="000000" w:themeColor="text1"/>
                <w:lang w:val="pt-BR"/>
              </w:rPr>
              <w:t xml:space="preserve">275/2026/1073/VFI-CT.48.A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890" w:type="dxa"/>
            <w:textDirection w:val="lrTb"/>
            <w:noWrap w:val="false"/>
          </w:tcPr>
          <w:p>
            <w:pPr>
              <w:pStyle w:val="1044"/>
              <w:pBdr/>
              <w:spacing w:after="60"/>
              <w:ind w:right="-56"/>
              <w:jc w:val="right"/>
              <w:rPr>
                <w:color w:val="000000" w:themeColor="text1"/>
                <w:sz w:val="24"/>
                <w:szCs w:val="24"/>
                <w:lang w:val="vi-VN"/>
              </w:rPr>
            </w:pPr>
            <w:r>
              <w:rPr>
                <w:rStyle w:val="1043"/>
                <w:rFonts w:ascii="Times New Roman" w:hAnsi="Times New Roman"/>
                <w:i/>
                <w:color w:val="auto"/>
              </w:rPr>
              <w:t xml:space="preserve">TP. Hà Nội</w:t>
            </w:r>
            <w:r>
              <w:rPr>
                <w:rStyle w:val="1043"/>
                <w:rFonts w:ascii="Times New Roman" w:hAnsi="Times New Roman"/>
                <w:i/>
                <w:color w:val="auto"/>
                <w:lang w:val="vi-VN"/>
              </w:rPr>
              <w:t xml:space="preserve">, </w:t>
            </w:r>
            <w:r>
              <w:rPr>
                <w:rStyle w:val="1043"/>
                <w:rFonts w:ascii="Times New Roman" w:hAnsi="Times New Roman"/>
                <w:i/>
                <w:color w:val="000000" w:themeColor="text1"/>
                <w:lang w:val="vi-VN"/>
              </w:rPr>
              <w:t xml:space="preserve">ngày 15 tháng 7 năm 2026</w:t>
            </w:r>
            <w:r>
              <w:rPr>
                <w:color w:val="000000" w:themeColor="text1"/>
                <w:sz w:val="24"/>
                <w:szCs w:val="24"/>
                <w:lang w:val="vi-VN"/>
              </w:rPr>
            </w:r>
            <w:r>
              <w:rPr>
                <w:color w:val="000000" w:themeColor="text1"/>
                <w:sz w:val="24"/>
                <w:szCs w:val="24"/>
                <w:lang w:val="vi-VN"/>
              </w:rPr>
            </w:r>
          </w:p>
        </w:tc>
      </w:tr>
    </w:tbl>
    <w:p>
      <w:pPr>
        <w:pStyle w:val="1044"/>
        <w:pBdr/>
        <w:spacing w:after="120" w:before="200" w:line="288" w:lineRule="auto"/>
        <w:ind/>
        <w:jc w:val="center"/>
        <w:rPr>
          <w:rStyle w:val="1043"/>
          <w:rFonts w:ascii="Times New Roman" w:hAnsi="Times New Roman"/>
          <w:b/>
          <w:bCs/>
          <w:color w:val="auto"/>
          <w:sz w:val="30"/>
          <w:szCs w:val="30"/>
          <w:lang w:val="vi-VN"/>
        </w:rPr>
      </w:pPr>
      <w:r>
        <w:rPr>
          <w:rStyle w:val="1043"/>
          <w:rFonts w:ascii="Times New Roman" w:hAnsi="Times New Roman"/>
          <w:b/>
          <w:bCs/>
          <w:color w:val="auto"/>
          <w:sz w:val="30"/>
          <w:szCs w:val="30"/>
          <w:lang w:val="vi-VN"/>
        </w:rPr>
        <w:t xml:space="preserve">CHỨNG THƯ THẨM ĐỊNH GIÁ</w:t>
      </w:r>
      <w:r>
        <w:rPr>
          <w:rStyle w:val="1043"/>
          <w:rFonts w:ascii="Times New Roman" w:hAnsi="Times New Roman"/>
          <w:b/>
          <w:bCs/>
          <w:color w:val="auto"/>
          <w:sz w:val="30"/>
          <w:szCs w:val="30"/>
          <w:lang w:val="vi-VN"/>
        </w:rPr>
      </w:r>
      <w:r>
        <w:rPr>
          <w:rStyle w:val="1043"/>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LÊ QUANG KHẢI</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275/2026/1073/VFI-HĐTĐ.48.A</w:t>
      </w:r>
      <w:r>
        <w:rPr>
          <w:spacing w:val="-4"/>
          <w:lang w:val="vi-VN"/>
        </w:rPr>
        <w:t xml:space="preserve"> ký ngày </w:t>
      </w:r>
      <w:r>
        <w:rPr>
          <w:color w:val="000000" w:themeColor="text1"/>
          <w:spacing w:val="-4"/>
        </w:rPr>
        <w:t xml:space="preserve">12 tháng 6 năm 2026</w:t>
      </w:r>
      <w:r>
        <w:rPr>
          <w:spacing w:val="-4"/>
          <w:lang w:val="vi-VN"/>
        </w:rPr>
        <w:t xml:space="preserve"> </w:t>
      </w:r>
      <w:r>
        <w:rPr>
          <w:spacing w:val="-4"/>
          <w:lang w:val="vi-VN"/>
        </w:rPr>
        <w:t xml:space="preserve">giữa </w:t>
      </w:r>
      <w:r>
        <w:rPr>
          <w:color w:val="000000" w:themeColor="text1"/>
          <w:spacing w:val="-4"/>
        </w:rPr>
        <w:t xml:space="preserve">Ông Lê Quang Khải</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275/2026/1073/VFI-BC.48.A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15 tháng 7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ÔNG LÊ QUANG KHẢI</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001086010816</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rFonts w:ascii="Times New Roman Bold" w:hAnsi="Times New Roman Bold"/>
                <w:b/>
                <w:bCs/>
                <w:spacing w:val="-16"/>
                <w:lang w:val="pt-BR"/>
              </w:rPr>
            </w:pPr>
            <w:r>
              <w:rPr>
                <w:b/>
                <w:bCs/>
                <w:color w:val="000000" w:themeColor="text1"/>
                <w:spacing w:val="-4"/>
                <w:lang w:val="pt-BR"/>
              </w:rPr>
              <w:t xml:space="preserve">CÔNG TY C</w:t>
            </w:r>
            <w:r>
              <w:rPr>
                <w:b/>
                <w:bCs/>
                <w:color w:val="000000" w:themeColor="text1"/>
                <w:spacing w:val="-4"/>
                <w:lang w:val="pt-BR"/>
              </w:rPr>
              <w:t xml:space="preserve">P</w:t>
            </w:r>
            <w:r>
              <w:rPr>
                <w:b/>
                <w:bCs/>
                <w:color w:val="000000" w:themeColor="text1"/>
                <w:spacing w:val="-4"/>
                <w:lang w:val="pt-BR"/>
              </w:rPr>
              <w:t xml:space="preserve">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w:t>
            </w:r>
            <w:r>
              <w:rPr>
                <w:color w:val="000000" w:themeColor="text1"/>
                <w:spacing w:val="-2"/>
              </w:rPr>
              <w:t xml:space="preserve">P</w:t>
            </w:r>
            <w:r>
              <w:rPr>
                <w:color w:val="000000" w:themeColor="text1"/>
                <w:spacing w:val="-2"/>
              </w:rPr>
              <w:t xml:space="preserve">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w:t>
            </w:r>
            <w:r>
              <w:rPr>
                <w:b/>
                <w:bCs/>
              </w:rPr>
              <w:t xml:space="preserve">Đ</w:t>
            </w:r>
            <w:r>
              <w:rPr>
                <w:b/>
                <w:bCs/>
                <w:lang w:val="vi-VN"/>
              </w:rPr>
            </w:r>
            <w:r>
              <w:rPr>
                <w:b/>
                <w:bCs/>
                <w:lang w:val="vi-VN"/>
              </w:rPr>
            </w:r>
          </w:p>
        </w:tc>
      </w:tr>
    </w:tbl>
    <w:p>
      <w:pPr>
        <w:pBdr/>
        <w:spacing w:after="120" w:before="120" w:line="336"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tại thửa đất số: 149, tờ bản đồ số: 39 có địa chỉ: Thôn Kiện Vũ, xã Trầm Lộng, huyện Ứng Hoà, thành phố Hà Nộ</w:t>
      </w:r>
      <w:r>
        <w:rPr>
          <w:color w:val="000000" w:themeColor="text1"/>
        </w:rPr>
        <w:t xml:space="preserve">i (</w:t>
      </w:r>
      <w:r>
        <w:rPr>
          <w:i/>
          <w:iCs/>
          <w:color w:val="000000" w:themeColor="text1"/>
        </w:rPr>
        <w:t xml:space="preserve">nay là xã Ứng Hoà, thành phố Hà Nội</w:t>
      </w:r>
      <w:r>
        <w:rPr>
          <w:color w:val="000000" w:themeColor="text1"/>
        </w:rPr>
        <w:t xml:space="preserve">) theo Giấy chứng nhận quyền sử dụng đất, quyền sở hữu nhà ở và tài sản khác gắn liền với đất số: BO 174426, số vào sổ cấp GCN: CH00426/ Ứng Hoà do Uỷ ban nhân dân huyện Ứng Hoà cấp ngày 15/5/2013 cho Ông Lê Quang Khải</w:t>
      </w:r>
      <w:r>
        <w:rPr>
          <w:i/>
          <w:iCs/>
        </w:rPr>
        <w:t xml:space="preserve">.</w:t>
      </w:r>
      <w:r>
        <w:rPr>
          <w:b/>
          <w:bCs/>
        </w:rPr>
      </w:r>
      <w:r>
        <w:rPr>
          <w:b/>
          <w:bCs/>
        </w:rPr>
      </w:r>
    </w:p>
    <w:p>
      <w:pPr>
        <w:pBdr/>
        <w:spacing w:after="120" w:before="120" w:line="336"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7/2026</w:t>
      </w:r>
      <w:r>
        <w:rPr>
          <w:bCs/>
          <w:lang w:val="nl-NL"/>
        </w:rPr>
        <w:t xml:space="preserve">.</w:t>
      </w:r>
      <w:r>
        <w:rPr>
          <w:b/>
          <w:bCs/>
        </w:rPr>
      </w:r>
      <w:r>
        <w:rPr>
          <w:b/>
          <w:bCs/>
        </w:rPr>
      </w:r>
    </w:p>
    <w:p>
      <w:pPr>
        <w:pBdr/>
        <w:tabs>
          <w:tab w:val="left" w:leader="none" w:pos="851"/>
        </w:tabs>
        <w:spacing w:after="120" w:before="120" w:line="336"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36"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36"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36"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36"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36"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36"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36"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36"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7/2026</w:t>
      </w:r>
      <w:r>
        <w:rPr>
          <w:lang w:val="vi-VN"/>
        </w:rPr>
        <w:t xml:space="preserve"> ước tính</w:t>
      </w:r>
      <w:r>
        <w:t xml:space="preserve"> </w:t>
      </w:r>
      <w:r>
        <w:rPr>
          <w:lang w:val="vi-VN"/>
        </w:rPr>
        <w:t xml:space="preserve">như sau:</w:t>
      </w:r>
      <w:r/>
    </w:p>
    <w:tbl>
      <w:tblPr>
        <w:tblW w:w="5038"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75"/>
        <w:gridCol w:w="2376"/>
        <w:gridCol w:w="1802"/>
        <w:gridCol w:w="2581"/>
        <w:gridCol w:w="2164"/>
      </w:tblGrid>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376"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802"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581"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759" w:type="dxa"/>
            <w:vAlign w:val="center"/>
            <w:textDirection w:val="lrTb"/>
            <w:noWrap w:val="false"/>
          </w:tcPr>
          <w:p>
            <w:pPr>
              <w:pBdr/>
              <w:spacing w:after="40" w:before="40" w:line="348" w:lineRule="auto"/>
              <w:ind/>
              <w:jc w:val="both"/>
              <w:rPr>
                <w:b/>
                <w:bCs/>
              </w:rPr>
            </w:pPr>
            <w:r>
              <w:rPr>
                <w:b/>
                <w:bCs/>
                <w:color w:val="000000"/>
              </w:rPr>
              <w:t xml:space="preserve">Quyền sử dụng đất tại thửa đất số: 149, tờ bản đồ số: 39 có địa chỉ: Thôn Kiện Vũ, xã Trầm Lộng, huyện Ứng Hoà, thành phố Hà Nộ</w:t>
            </w:r>
            <w:r>
              <w:rPr>
                <w:b/>
                <w:bCs/>
                <w:color w:val="000000"/>
              </w:rPr>
              <w:t xml:space="preserve">i (</w:t>
            </w:r>
            <w:r>
              <w:rPr>
                <w:b/>
                <w:bCs/>
                <w:i/>
                <w:iCs/>
                <w:color w:val="000000"/>
              </w:rPr>
              <w:t xml:space="preserve">nay là xã Ứng Hoà, thành phố Hà Nội</w:t>
            </w:r>
            <w:r>
              <w:rPr>
                <w:b/>
                <w:bCs/>
                <w:color w:val="000000"/>
              </w:rPr>
              <w:t xml:space="preserve">) theo Giấy chứng nhận quyền sử dụng đất, quyền sở hữu nhà ở và tài sản khác gắn liền với đất số: BO 174426, số vào sổ cấp GCN: CH00426/ Ứng Hoà do Uỷ ban nhân dân huyện Ứng Hoà cấp ngày 15/5/2013 cho Ông Lê Quang Khải</w:t>
            </w:r>
            <w:r>
              <w:rPr>
                <w:b/>
                <w:bCs/>
              </w:rPr>
              <w:t xml:space="preserve">.</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b w:val="0"/>
                <w:bCs w:val="0"/>
              </w:rPr>
            </w:pPr>
            <w:r>
              <w:rPr>
                <w:b w:val="0"/>
                <w:bCs w:val="0"/>
              </w:rPr>
            </w:r>
            <w:r>
              <w:rPr>
                <w:b w:val="0"/>
                <w:bCs w:val="0"/>
              </w:rPr>
            </w:r>
            <w:r>
              <w:rPr>
                <w:b w:val="0"/>
                <w:bCs w:val="0"/>
              </w:rPr>
            </w:r>
          </w:p>
        </w:tc>
        <w:tc>
          <w:tcPr>
            <w:shd w:val="clear" w:color="000000" w:fill="ffffff"/>
            <w:tcBorders/>
            <w:tcW w:w="2376" w:type="dxa"/>
            <w:vAlign w:val="center"/>
            <w:textDirection w:val="lrTb"/>
            <w:noWrap w:val="false"/>
          </w:tcPr>
          <w:p>
            <w:pPr>
              <w:pBdr/>
              <w:spacing w:after="40" w:before="40" w:line="288" w:lineRule="auto"/>
              <w:ind/>
              <w:rPr>
                <w:b w:val="0"/>
                <w:bCs w:val="0"/>
              </w:rPr>
            </w:pPr>
            <w:r>
              <w:rPr>
                <w:b w:val="0"/>
                <w:bCs w:val="0"/>
              </w:rPr>
              <w:t xml:space="preserve">Đất ở tại nông thôn</w:t>
            </w:r>
            <w:r>
              <w:rPr>
                <w:b w:val="0"/>
                <w:bCs w:val="0"/>
              </w:rPr>
            </w:r>
            <w:r>
              <w:rPr>
                <w:b w:val="0"/>
                <w:bCs w:val="0"/>
              </w:rPr>
            </w:r>
          </w:p>
        </w:tc>
        <w:tc>
          <w:tcPr>
            <w:tcBorders/>
            <w:tcW w:w="1802" w:type="dxa"/>
            <w:vAlign w:val="center"/>
            <w:textDirection w:val="lrTb"/>
            <w:noWrap/>
          </w:tcPr>
          <w:p>
            <w:pPr>
              <w:pBdr/>
              <w:spacing w:after="40" w:before="40" w:line="288" w:lineRule="auto"/>
              <w:ind/>
              <w:jc w:val="center"/>
              <w:rPr>
                <w:color w:val="000000"/>
              </w:rPr>
            </w:pPr>
            <w:r>
              <w:rPr>
                <w:color w:val="000000" w:themeColor="text1"/>
              </w:rPr>
              <w:t xml:space="preserve">199,7</w:t>
            </w:r>
            <w:r>
              <w:rPr>
                <w:color w:val="000000"/>
              </w:rPr>
            </w:r>
            <w:r>
              <w:rPr>
                <w:color w:val="000000"/>
              </w:rPr>
            </w:r>
          </w:p>
        </w:tc>
        <w:tc>
          <w:tcPr>
            <w:shd w:val="clear" w:color="000000" w:fill="ffffff"/>
            <w:tcBorders/>
            <w:tcW w:w="2581" w:type="dxa"/>
            <w:vAlign w:val="center"/>
            <w:textDirection w:val="lrTb"/>
            <w:noWrap w:val="false"/>
          </w:tcPr>
          <w:p>
            <w:pPr>
              <w:pBdr/>
              <w:spacing w:after="40" w:before="40" w:line="288" w:lineRule="auto"/>
              <w:ind/>
              <w:jc w:val="center"/>
              <w:rPr/>
            </w:pPr>
            <w:r>
              <w:rPr>
                <w:color w:val="000000" w:themeColor="text1"/>
              </w:rPr>
              <w:t xml:space="preserve">40.000.000</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7.988.000.000</w:t>
            </w:r>
            <w:r/>
          </w:p>
        </w:tc>
      </w:tr>
      <w:tr>
        <w:trPr>
          <w:trHeight w:val="20"/>
        </w:trPr>
        <w:tc>
          <w:tcPr>
            <w:gridSpan w:val="4"/>
            <w:tcBorders/>
            <w:tcW w:w="7434"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rPr>
              <w:t xml:space="preserve">7.988.000.000</w:t>
            </w:r>
            <w:r>
              <w:rPr>
                <w:b/>
                <w:bCs/>
                <w:color w:val="000000"/>
              </w:rPr>
            </w:r>
            <w:r>
              <w:rPr>
                <w:b/>
                <w:bCs/>
                <w:color w:val="000000"/>
              </w:rPr>
            </w:r>
          </w:p>
        </w:tc>
      </w:tr>
      <w:tr>
        <w:trPr>
          <w:trHeight w:val="20"/>
        </w:trPr>
        <w:tc>
          <w:tcPr>
            <w:gridSpan w:val="5"/>
            <w:tcBorders/>
            <w:tcW w:w="9598"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Bảy tỷ, chín trăm tám mươi tám triệu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Lê Thị Thịnh</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092" w:type="dxa"/>
        <w:tblBorders/>
        <w:tblLayout w:type="fixed"/>
        <w:tblLook w:val="04A0" w:firstRow="1" w:lastRow="0" w:firstColumn="1" w:lastColumn="0" w:noHBand="0" w:noVBand="1"/>
      </w:tblPr>
      <w:tblGrid>
        <w:gridCol w:w="1701"/>
        <w:gridCol w:w="29"/>
        <w:gridCol w:w="3302"/>
        <w:gridCol w:w="5031"/>
        <w:gridCol w:w="29"/>
      </w:tblGrid>
      <w:tr>
        <w:trPr>
          <w:trHeight w:val="1559"/>
        </w:trPr>
        <w:tc>
          <w:tcPr>
            <w:gridSpan w:val="2"/>
            <w:tcBorders/>
            <w:tcW w:w="1729"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5"/>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5" o:title=""/>
                      <o:lock v:ext="edit" rotation="t"/>
                    </v:shape>
                  </w:pict>
                </mc:Fallback>
              </mc:AlternateContent>
            </w:r>
            <w:r>
              <w:rPr>
                <w:i/>
                <w:szCs w:val="26"/>
                <w:lang w:eastAsia="zh-CN"/>
              </w:rPr>
            </w:r>
            <w:r>
              <w:rPr>
                <w:i/>
                <w:szCs w:val="26"/>
                <w:lang w:eastAsia="zh-CN"/>
              </w:rPr>
            </w:r>
          </w:p>
        </w:tc>
        <w:tc>
          <w:tcPr>
            <w:gridSpan w:val="3"/>
            <w:tcBorders/>
            <w:tcW w:w="8362"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7" w:tooltip="mailto:ilotus.contact@gmail.com" w:history="1">
              <w:r>
                <w:rPr>
                  <w:rStyle w:val="103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trHeight w:val="84"/>
        </w:trPr>
        <w:tc>
          <w:tcPr>
            <w:gridSpan w:val="3"/>
            <w:shd w:val="clear" w:color="auto" w:fill="auto"/>
            <w:tcBorders/>
            <w:tcMar>
              <w:left w:w="108" w:type="dxa"/>
              <w:top w:w="0" w:type="dxa"/>
              <w:right w:w="108" w:type="dxa"/>
              <w:bottom w:w="0" w:type="dxa"/>
            </w:tcMar>
            <w:tcW w:w="5031" w:type="dxa"/>
            <w:textDirection w:val="lrTb"/>
            <w:noWrap w:val="false"/>
          </w:tcPr>
          <w:p>
            <w:pPr>
              <w:pStyle w:val="1044"/>
              <w:pBdr/>
              <w:spacing w:after="60"/>
              <w:ind/>
              <w:rPr>
                <w:color w:val="000000" w:themeColor="text1"/>
                <w:sz w:val="24"/>
                <w:szCs w:val="24"/>
              </w:rPr>
            </w:pPr>
            <w:r>
              <w:rPr>
                <w:rStyle w:val="1043"/>
                <w:rFonts w:ascii="Times New Roman" w:hAnsi="Times New Roman"/>
                <w:color w:val="000000" w:themeColor="text1"/>
                <w:lang w:val="pt-BR"/>
              </w:rPr>
              <w:t xml:space="preserve">Số: </w:t>
            </w:r>
            <w:r>
              <w:rPr>
                <w:rStyle w:val="1043"/>
                <w:rFonts w:ascii="Times New Roman" w:hAnsi="Times New Roman"/>
                <w:color w:val="000000" w:themeColor="text1"/>
                <w:lang w:val="pt-BR"/>
              </w:rPr>
              <w:t xml:space="preserve">275/2026/1073/VFI-BC.48.A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031" w:type="dxa"/>
            <w:textDirection w:val="lrTb"/>
            <w:noWrap w:val="false"/>
          </w:tcPr>
          <w:p>
            <w:pPr>
              <w:pStyle w:val="1044"/>
              <w:pBdr/>
              <w:spacing w:after="60"/>
              <w:ind w:right="-56"/>
              <w:jc w:val="right"/>
              <w:rPr>
                <w:color w:val="000000" w:themeColor="text1"/>
                <w:sz w:val="24"/>
                <w:szCs w:val="24"/>
                <w:lang w:val="vi-VN"/>
              </w:rPr>
            </w:pPr>
            <w:r>
              <w:rPr>
                <w:rStyle w:val="1043"/>
                <w:rFonts w:ascii="Times New Roman" w:hAnsi="Times New Roman"/>
                <w:i/>
                <w:color w:val="auto"/>
              </w:rPr>
              <w:t xml:space="preserve">TP. Hà Nội</w:t>
            </w:r>
            <w:r>
              <w:rPr>
                <w:rStyle w:val="1043"/>
                <w:rFonts w:ascii="Times New Roman" w:hAnsi="Times New Roman"/>
                <w:i/>
                <w:color w:val="auto"/>
                <w:lang w:val="vi-VN"/>
              </w:rPr>
              <w:t xml:space="preserve">, </w:t>
            </w:r>
            <w:r>
              <w:rPr>
                <w:rStyle w:val="1043"/>
                <w:rFonts w:ascii="Times New Roman" w:hAnsi="Times New Roman"/>
                <w:i/>
                <w:color w:val="000000" w:themeColor="text1"/>
                <w:lang w:val="vi-VN"/>
              </w:rPr>
              <w:t xml:space="preserve">ngày 15 tháng 7 năm 2026</w:t>
            </w:r>
            <w:r>
              <w:rPr>
                <w:color w:val="000000" w:themeColor="text1"/>
                <w:sz w:val="24"/>
                <w:szCs w:val="24"/>
                <w:lang w:val="vi-VN"/>
              </w:rPr>
            </w:r>
            <w:r>
              <w:rPr>
                <w:color w:val="000000" w:themeColor="text1"/>
                <w:sz w:val="24"/>
                <w:szCs w:val="24"/>
                <w:lang w:val="vi-VN"/>
              </w:rPr>
            </w:r>
          </w:p>
        </w:tc>
      </w:tr>
    </w:tbl>
    <w:p>
      <w:pPr>
        <w:pStyle w:val="104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2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275/2026/1073/VFI-CT.48.A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15 tháng 7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2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w:t>
            </w:r>
            <w:r>
              <w:rPr>
                <w:b/>
                <w:bCs/>
                <w:color w:val="000000" w:themeColor="text1"/>
                <w:spacing w:val="-4"/>
                <w:lang w:val="pt-BR"/>
              </w:rPr>
              <w:t xml:space="preserve">P</w:t>
            </w:r>
            <w:r>
              <w:rPr>
                <w:b/>
                <w:bCs/>
                <w:color w:val="000000" w:themeColor="text1"/>
                <w:spacing w:val="-4"/>
                <w:lang w:val="pt-BR"/>
              </w:rPr>
              <w:t xml:space="preserve">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w:t>
            </w:r>
            <w:r>
              <w:rPr>
                <w:color w:val="000000" w:themeColor="text1"/>
                <w:spacing w:val="-2"/>
              </w:rPr>
              <w:t xml:space="preserve">P</w:t>
            </w:r>
            <w:r>
              <w:rPr>
                <w:color w:val="000000" w:themeColor="text1"/>
                <w:spacing w:val="-2"/>
              </w:rPr>
              <w:t xml:space="preserve">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w:t>
            </w:r>
            <w:r>
              <w:rPr>
                <w:b/>
                <w:bCs/>
              </w:rPr>
              <w:t xml:space="preserve">Đ</w:t>
            </w:r>
            <w:r>
              <w:rPr>
                <w:b/>
                <w:bCs/>
                <w:lang w:val="vi-VN"/>
              </w:rPr>
            </w:r>
            <w:r>
              <w:rPr>
                <w:b/>
                <w:bCs/>
                <w:lang w:val="vi-VN"/>
              </w:rPr>
            </w:r>
          </w:p>
        </w:tc>
      </w:tr>
    </w:tbl>
    <w:p>
      <w:pPr>
        <w:pStyle w:val="104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4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t xml:space="preserve">ÔNG LÊ QUANG KHẢI</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CCCD</w:t>
            </w:r>
            <w:r>
              <w:rPr>
                <w:bCs/>
                <w:lang w:val="pt-BR"/>
              </w:rPr>
            </w:r>
            <w:r>
              <w:rPr>
                <w:bCs/>
                <w:lang w:val="pt-BR"/>
              </w:rPr>
            </w:r>
          </w:p>
        </w:tc>
        <w:tc>
          <w:tcPr>
            <w:tcBorders/>
            <w:tcW w:w="284" w:type="dxa"/>
            <w:vAlign w:val="center"/>
            <w:textDirection w:val="lrTb"/>
            <w:noWrap w:val="false"/>
          </w:tcPr>
          <w:p>
            <w:pPr>
              <w:pStyle w:val="104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001086010816</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4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149, tờ bản đồ số: 39 có địa chỉ: Thôn Kiện Vũ, xã Trầm Lộng, huyện Ứng Hoà, thành phố Hà Nộ</w:t>
            </w:r>
            <w:r>
              <w:rPr>
                <w:bCs/>
                <w:color w:val="000000" w:themeColor="text1"/>
                <w:lang w:val="pt-BR"/>
              </w:rPr>
              <w:t xml:space="preserve">i </w:t>
            </w:r>
            <w:r>
              <w:rPr>
                <w:bCs/>
                <w:i/>
                <w:iCs/>
                <w:color w:val="000000" w:themeColor="text1"/>
                <w:lang w:val="pt-BR"/>
              </w:rPr>
              <w:t xml:space="preserve">(nay là xã Ứng Hoà, thành phố Hà Nội)</w:t>
            </w:r>
            <w:r>
              <w:rPr>
                <w:bCs/>
                <w:color w:val="000000" w:themeColor="text1"/>
                <w:lang w:val="pt-BR"/>
              </w:rPr>
              <w:t xml:space="preserve"> theo Giấy chứng nhận quyền sử dụng đất, quyền sở hữu nhà ở và tài sản khác gắn liền với đất số: BO 174426, số vào sổ cấp GCN: CH00426/ Ứng Hoà do Uỷ ban nhân dân huyện Ứng Hoà cấp ngày 15/5/2013 cho Ông Lê Quang Khải</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4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4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4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7/2026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4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Xã Ứng Hoà,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4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2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20.676277777778, 105.84788888889</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4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12/6/2026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45"/>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45"/>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45"/>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4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45"/>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4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45"/>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45"/>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45"/>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45"/>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45"/>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45"/>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45"/>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45"/>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45"/>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45"/>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45"/>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45"/>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45"/>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45"/>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4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45"/>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45"/>
        <w:numPr>
          <w:ilvl w:val="0"/>
          <w:numId w:val="2"/>
        </w:numPr>
        <w:pBdr/>
        <w:tabs>
          <w:tab w:val="left" w:leader="none" w:pos="993"/>
        </w:tabs>
        <w:spacing w:after="120" w:before="120" w:line="276" w:lineRule="auto"/>
        <w:ind/>
        <w:jc w:val="both"/>
        <w:rPr>
          <w:b w:val="0"/>
          <w:bCs w:val="0"/>
          <w:i/>
          <w:iCs/>
        </w:rPr>
      </w:pPr>
      <w:r>
        <w:rPr>
          <w:b w:val="0"/>
          <w:bCs w:val="0"/>
          <w:color w:val="000000" w:themeColor="text1"/>
          <w:lang w:val="pt-BR"/>
        </w:rPr>
      </w:r>
      <w:r>
        <w:rPr>
          <w:b w:val="0"/>
          <w:bCs w:val="0"/>
          <w:color w:val="000000"/>
        </w:rPr>
        <w:t xml:space="preserve">Giấy chứng nhận quyền sử dụng đất, quyền sở hữu nhà ở và tài sản khác gắn liền với đất số: BO 174426, số vào sổ cấp GCN: CH00426/ Ứng Hoà do Uỷ ban nhân dân huyện Ứng Hoà cấp ngày 15/5/2013 cho Ông Lê Quang Khải</w:t>
      </w:r>
      <w:r>
        <w:rPr>
          <w:b w:val="0"/>
          <w:bCs w:val="0"/>
          <w:lang w:val="pt-BR"/>
        </w:rPr>
        <w:t xml:space="preserve">.</w:t>
      </w:r>
      <w:r>
        <w:rPr>
          <w:b w:val="0"/>
          <w:bCs w:val="0"/>
          <w:i/>
          <w:iCs/>
        </w:rPr>
      </w:r>
      <w:r>
        <w:rPr>
          <w:b w:val="0"/>
          <w:bCs w:val="0"/>
          <w:i/>
          <w:iCs/>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4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w:t>
      </w:r>
      <w:r>
        <w:rPr>
          <w:color w:val="000000" w:themeColor="text1"/>
          <w:lang w:val="pt-BR"/>
        </w:rPr>
        <w:t xml:space="preserve">dịch </w:t>
      </w:r>
      <w:r>
        <w:rPr>
          <w:color w:val="000000" w:themeColor="text1"/>
          <w:lang w:val="pt-BR"/>
        </w:rPr>
        <w:t xml:space="preserve">vụ </w:t>
      </w:r>
      <w:r>
        <w:rPr>
          <w:color w:val="000000" w:themeColor="text1"/>
          <w:lang w:val="pt-BR"/>
        </w:rPr>
        <w:t xml:space="preserve">thẩm </w:t>
      </w:r>
      <w:r>
        <w:rPr>
          <w:color w:val="000000" w:themeColor="text1"/>
          <w:lang w:val="pt-BR"/>
        </w:rPr>
        <w:t xml:space="preserve">định </w:t>
      </w:r>
      <w:r>
        <w:rPr>
          <w:color w:val="000000" w:themeColor="text1"/>
          <w:lang w:val="pt-BR"/>
        </w:rPr>
        <w:t xml:space="preserve">giá</w:t>
      </w:r>
      <w:r>
        <w:rPr>
          <w:color w:val="000000" w:themeColor="text1"/>
          <w:lang w:val="pt-BR"/>
        </w:rPr>
        <w:t xml:space="preserve"> số </w:t>
      </w:r>
      <w:r>
        <w:rPr>
          <w:color w:val="000000" w:themeColor="text1"/>
          <w:spacing w:val="-4"/>
          <w:lang w:val="vi-VN"/>
        </w:rPr>
        <w:t xml:space="preserve">275/2026/1073/VFI-HĐTĐ.48.A</w:t>
      </w:r>
      <w:r>
        <w:rPr>
          <w:spacing w:val="-4"/>
          <w:lang w:val="vi-VN"/>
        </w:rPr>
        <w:t xml:space="preserve"> ký ngày </w:t>
      </w:r>
      <w:r>
        <w:rPr>
          <w:color w:val="000000" w:themeColor="text1"/>
          <w:spacing w:val="-4"/>
        </w:rPr>
        <w:t xml:space="preserve">12 tháng 6 năm 2026</w:t>
      </w:r>
      <w:r>
        <w:rPr>
          <w:spacing w:val="-4"/>
          <w:lang w:val="vi-VN"/>
        </w:rPr>
        <w:t xml:space="preserve"> </w:t>
      </w:r>
      <w:r>
        <w:rPr>
          <w:spacing w:val="-4"/>
          <w:lang w:val="vi-VN"/>
        </w:rPr>
        <w:t xml:space="preserve">giữa </w:t>
      </w:r>
      <w:r>
        <w:rPr>
          <w:color w:val="000000" w:themeColor="text1"/>
          <w:spacing w:val="-4"/>
        </w:rPr>
        <w:t xml:space="preserve">Ông Lê Quang Khải</w:t>
      </w:r>
      <w:r>
        <w:rPr>
          <w:color w:val="000000" w:themeColor="text1"/>
          <w:lang w:val="pt-BR"/>
        </w:rPr>
        <w:t xml:space="preserve"> với Công ty Cổ phần Thẩm định và Đầu tư Tài chính Hoa Sen;</w:t>
      </w:r>
      <w:r>
        <w:rPr>
          <w:b/>
          <w:lang w:val="pt-BR"/>
        </w:rPr>
      </w:r>
      <w:r>
        <w:rPr>
          <w:b/>
          <w:lang w:val="pt-BR"/>
        </w:rPr>
      </w:r>
    </w:p>
    <w:p>
      <w:pPr>
        <w:pStyle w:val="1045"/>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spacing w:line="300" w:lineRule="auto"/>
        <w:ind w:right="0" w:firstLine="283" w:left="0"/>
        <w:jc w:val="both"/>
        <w:rPr/>
      </w:pPr>
      <w:r>
        <w:rPr>
          <w:rFonts w:ascii="Times New Roman" w:hAnsi="Times New Roman" w:eastAsia="Times New Roman" w:cs="Times New Roman"/>
          <w:color w:val="000000"/>
          <w:sz w:val="24"/>
        </w:rPr>
        <w:t xml:space="preserve">Nửa đầu năm 2025, thị trường giao dịch nhà đất thổ cư Hà Nội đã ghi nhận những dấu hiệu chững lại rõ rệt. Lượng giao dịch sụt giảm, tâm lý nhà đầu tư thận trọng và nhiều khu vực từng là điểm nóng rơi vào trạng thái trầm lắng. Tuy nhiên, theo các chuyên gia</w:t>
      </w:r>
      <w:r>
        <w:rPr>
          <w:rFonts w:ascii="Times New Roman" w:hAnsi="Times New Roman" w:eastAsia="Times New Roman" w:cs="Times New Roman"/>
          <w:color w:val="000000"/>
          <w:sz w:val="24"/>
        </w:rPr>
        <w:t xml:space="preserve">, đây chỉ là giai đoạn tạm lắng của chu kỳ thị trường. Khi nhịp hồi phục quay trở lại, những quận có tiềm năng thực sự sẽ sớm bứt phá. Vậy, đâu là những điểm sáng cần theo dõi trong thời gian tới?</w:t>
      </w:r>
      <w:r/>
    </w:p>
    <w:p>
      <w:pPr>
        <w:pBdr>
          <w:top w:val="none" w:color="000000" w:sz="4" w:space="0"/>
          <w:left w:val="none" w:color="000000" w:sz="4" w:space="0"/>
          <w:bottom w:val="none" w:color="000000" w:sz="4" w:space="0"/>
          <w:right w:val="none" w:color="000000" w:sz="4" w:space="0"/>
        </w:pBdr>
        <w:spacing w:line="300" w:lineRule="auto"/>
        <w:ind w:right="0" w:firstLine="283" w:left="0"/>
        <w:jc w:val="both"/>
        <w:rPr/>
      </w:pPr>
      <w:r>
        <w:rPr>
          <w:rFonts w:ascii="Times New Roman" w:hAnsi="Times New Roman" w:eastAsia="Times New Roman" w:cs="Times New Roman"/>
          <w:b/>
          <w:color w:val="000000"/>
          <w:sz w:val="24"/>
        </w:rPr>
        <w:t xml:space="preserve">Sức mua sụt giảm đồng loạt tại nhóm quận trung tâm và vệ tinh</w:t>
      </w:r>
      <w:r/>
    </w:p>
    <w:p>
      <w:pPr>
        <w:pBdr>
          <w:top w:val="none" w:color="000000" w:sz="4" w:space="0"/>
          <w:left w:val="none" w:color="000000" w:sz="4" w:space="0"/>
          <w:bottom w:val="none" w:color="000000" w:sz="4" w:space="0"/>
          <w:right w:val="none" w:color="000000" w:sz="4" w:space="0"/>
        </w:pBdr>
        <w:spacing w:line="300" w:lineRule="auto"/>
        <w:ind w:right="0" w:firstLine="283" w:left="0"/>
        <w:jc w:val="both"/>
        <w:rPr/>
      </w:pPr>
      <w:r>
        <w:rPr>
          <w:rFonts w:ascii="Times New Roman" w:hAnsi="Times New Roman" w:eastAsia="Times New Roman" w:cs="Times New Roman"/>
          <w:color w:val="000000"/>
          <w:sz w:val="24"/>
        </w:rPr>
        <w:t xml:space="preserve">Theo báo cáo của OneHousing, giao dịch nhà đất thổ cư Hà Nội trong 6 tháng đầu năm 2025 tại 13 quận/huyện chỉ đạt khoảng 13.400 giao dịch, giảm 38% so với cùng kỳ năm ngoái. Nếu tính thêm huyện Đông Anh và huyện Đan Phượng thì tổng đạt 19.000 giao dịch.</w:t>
      </w:r>
      <w:r/>
    </w:p>
    <w:p>
      <w:pPr>
        <w:pBdr>
          <w:top w:val="none" w:color="000000" w:sz="4" w:space="0"/>
          <w:left w:val="none" w:color="000000" w:sz="4" w:space="0"/>
          <w:bottom w:val="none" w:color="000000" w:sz="4" w:space="0"/>
          <w:right w:val="none" w:color="000000" w:sz="4" w:space="0"/>
        </w:pBdr>
        <w:spacing w:line="300" w:lineRule="auto"/>
        <w:ind w:right="0" w:firstLine="283" w:left="0"/>
        <w:jc w:val="both"/>
        <w:rPr/>
      </w:pPr>
      <w:r>
        <w:rPr>
          <w:rFonts w:ascii="Times New Roman" w:hAnsi="Times New Roman" w:eastAsia="Times New Roman" w:cs="Times New Roman"/>
          <w:b/>
          <w:color w:val="000000"/>
          <w:sz w:val="24"/>
        </w:rPr>
        <w:t xml:space="preserve">5 quận dẫn đầu vẫn giảm 33–55% so với cùng kỳ năm 2024</w:t>
      </w:r>
      <w:r/>
    </w:p>
    <w:p>
      <w:pPr>
        <w:pBdr>
          <w:top w:val="none" w:color="000000" w:sz="4" w:space="0"/>
          <w:left w:val="none" w:color="000000" w:sz="4" w:space="0"/>
          <w:bottom w:val="none" w:color="000000" w:sz="4" w:space="0"/>
          <w:right w:val="none" w:color="000000" w:sz="4" w:space="0"/>
        </w:pBdr>
        <w:spacing w:line="300" w:lineRule="auto"/>
        <w:ind w:right="0" w:firstLine="283" w:left="0"/>
        <w:jc w:val="both"/>
        <w:rPr/>
      </w:pPr>
      <w:r>
        <w:rPr>
          <w:rFonts w:ascii="Times New Roman" w:hAnsi="Times New Roman" w:eastAsia="Times New Roman" w:cs="Times New Roman"/>
          <w:color w:val="000000"/>
          <w:sz w:val="24"/>
        </w:rPr>
        <w:t xml:space="preserve">Tình trạng sụt giảm giao dịch thổ cư không phải là hiện tượng cục bộ mà diễn ra trên diện rộng. Số liệu từ Hội Môi giới Bất động sản Việt Nam cho thấy, trong quý I - II/2025 lượng giao dịch thành công tại Hà Nội giảm hơn 45% so với cùng kỳ năm ngoái. Nhiều</w:t>
      </w:r>
      <w:r>
        <w:rPr>
          <w:rFonts w:ascii="Times New Roman" w:hAnsi="Times New Roman" w:eastAsia="Times New Roman" w:cs="Times New Roman"/>
          <w:color w:val="000000"/>
          <w:sz w:val="24"/>
        </w:rPr>
        <w:t xml:space="preserve"> khu vực vốn là điểm nóng như: Đông Anh, Thanh Trì, Hoài Đức nay ghi nhận mức giao dịch gần như bằng 0.</w:t>
      </w:r>
      <w:r/>
    </w:p>
    <w:p>
      <w:pPr>
        <w:pBdr>
          <w:top w:val="none" w:color="000000" w:sz="4" w:space="0"/>
          <w:left w:val="none" w:color="000000" w:sz="4" w:space="0"/>
          <w:bottom w:val="none" w:color="000000" w:sz="4" w:space="0"/>
          <w:right w:val="none" w:color="000000" w:sz="4" w:space="0"/>
        </w:pBdr>
        <w:spacing w:line="300" w:lineRule="auto"/>
        <w:ind w:right="0" w:firstLine="283" w:left="0"/>
        <w:jc w:val="both"/>
        <w:rPr/>
      </w:pPr>
      <w:r>
        <w:rPr>
          <w:rFonts w:ascii="Times New Roman" w:hAnsi="Times New Roman" w:eastAsia="Times New Roman" w:cs="Times New Roman"/>
          <w:color w:val="000000"/>
          <w:sz w:val="24"/>
        </w:rPr>
        <w:t xml:space="preserve">Ngay cả nhóm 5 quận dẫn đầu về lượng giao dịch cũng rơi vào tình cảnh ảm đạm. Cụ thể:</w:t>
      </w:r>
      <w:r/>
    </w:p>
    <w:p>
      <w:pPr>
        <w:pBdr>
          <w:top w:val="none" w:color="000000" w:sz="4" w:space="0"/>
          <w:left w:val="none" w:color="000000" w:sz="4" w:space="0"/>
          <w:bottom w:val="none" w:color="000000" w:sz="4" w:space="0"/>
          <w:right w:val="none" w:color="000000" w:sz="4" w:space="0"/>
        </w:pBdr>
        <w:spacing w:line="300" w:lineRule="auto"/>
        <w:ind w:right="0" w:firstLine="283" w:left="0"/>
        <w:jc w:val="both"/>
        <w:rPr/>
      </w:pPr>
      <w:r>
        <w:rPr>
          <w:rFonts w:ascii="Times New Roman" w:hAnsi="Times New Roman" w:eastAsia="Times New Roman" w:cs="Times New Roman"/>
          <w:color w:val="000000"/>
          <w:sz w:val="24"/>
        </w:rPr>
        <w:t xml:space="preserve">Quận Long Biên và quận Hà Đông: 2 quận có lượng giao dịch lớn nhất nửa đầu năm 2025, lần lượt đạt 2.670 và 2.170 căn. Lượng giao dịch tại 2 quận này đều giảm so với cùng kỳ năm ngoái, trong đó quận Hà Đông có mức giảm mạnh 55% so với năm 2024. Lý do bởi nh</w:t>
      </w:r>
      <w:r>
        <w:rPr>
          <w:rFonts w:ascii="Times New Roman" w:hAnsi="Times New Roman" w:eastAsia="Times New Roman" w:cs="Times New Roman"/>
          <w:color w:val="000000"/>
          <w:sz w:val="24"/>
        </w:rPr>
        <w:t xml:space="preserve">iều phường tại Hà Đông như Dương Nội, Yên Nghĩa, Biên Giang,... đã tăng giá mạnh trong năm 2024, khiến nhu cầu mua đầu tư chững lại.</w:t>
      </w:r>
      <w:r/>
    </w:p>
    <w:p>
      <w:pPr>
        <w:pBdr>
          <w:top w:val="none" w:color="000000" w:sz="4" w:space="0"/>
          <w:left w:val="none" w:color="000000" w:sz="4" w:space="0"/>
          <w:bottom w:val="none" w:color="000000" w:sz="4" w:space="0"/>
          <w:right w:val="none" w:color="000000" w:sz="4" w:space="0"/>
        </w:pBdr>
        <w:spacing w:line="300" w:lineRule="auto"/>
        <w:ind w:right="0" w:firstLine="283" w:left="0"/>
        <w:jc w:val="both"/>
        <w:rPr/>
      </w:pPr>
      <w:r>
        <w:rPr>
          <w:rFonts w:ascii="Times New Roman" w:hAnsi="Times New Roman" w:eastAsia="Times New Roman" w:cs="Times New Roman"/>
          <w:color w:val="000000"/>
          <w:sz w:val="24"/>
        </w:rPr>
        <w:t xml:space="preserve">Quận Bắc Từ Liêm, Hoàng Mai và Đống Đa: Đạt lần lượt 960; 1.280 và 1.000 giao dịch trong nửa đầu năm 2025, giảm lần lượt 33%, 36% và 34%.</w:t>
      </w:r>
      <w:r/>
    </w:p>
    <w:p>
      <w:pPr>
        <w:pBdr>
          <w:top w:val="none" w:color="000000" w:sz="4" w:space="0"/>
          <w:left w:val="none" w:color="000000" w:sz="4" w:space="0"/>
          <w:bottom w:val="none" w:color="000000" w:sz="4" w:space="0"/>
          <w:right w:val="none" w:color="000000" w:sz="4" w:space="0"/>
        </w:pBdr>
        <w:spacing w:line="300" w:lineRule="auto"/>
        <w:ind w:right="0" w:firstLine="283" w:left="0"/>
        <w:jc w:val="both"/>
        <w:rPr/>
      </w:pPr>
      <w:r>
        <w:rPr>
          <w:rFonts w:ascii="Times New Roman" w:hAnsi="Times New Roman" w:eastAsia="Times New Roman" w:cs="Times New Roman"/>
          <w:b/>
          <w:color w:val="000000"/>
          <w:sz w:val="24"/>
        </w:rPr>
        <w:t xml:space="preserve">Lý giải nguyên nhân khiến giao dịch nhà đất thổ cư Hà Nội sụt giảm</w:t>
      </w:r>
      <w:r/>
    </w:p>
    <w:p>
      <w:pPr>
        <w:pBdr>
          <w:top w:val="none" w:color="000000" w:sz="4" w:space="0"/>
          <w:left w:val="none" w:color="000000" w:sz="4" w:space="0"/>
          <w:bottom w:val="none" w:color="000000" w:sz="4" w:space="0"/>
          <w:right w:val="none" w:color="000000" w:sz="4" w:space="0"/>
        </w:pBdr>
        <w:spacing w:line="300" w:lineRule="auto"/>
        <w:ind w:right="0" w:firstLine="283" w:left="0"/>
        <w:jc w:val="both"/>
        <w:rPr/>
      </w:pPr>
      <w:r>
        <w:rPr>
          <w:rFonts w:ascii="Times New Roman" w:hAnsi="Times New Roman" w:eastAsia="Times New Roman" w:cs="Times New Roman"/>
          <w:color w:val="000000"/>
          <w:sz w:val="24"/>
        </w:rPr>
        <w:t xml:space="preserve">Thị trường giao dịch nhà đất thổ cư Hà Nội trong nửa đầu năm 2025 chứng kiến sự sụt giảm rõ rệt về thanh khoản. Nguyên nhân chính bắt nguồn từ hiện tượng lệch pha cung – cầu: nguồn cung hạn chế trong khi mặt bằng giá tiếp tục neo cao, vượt xa khả năng chi</w:t>
      </w:r>
      <w:r>
        <w:rPr>
          <w:rFonts w:ascii="Times New Roman" w:hAnsi="Times New Roman" w:eastAsia="Times New Roman" w:cs="Times New Roman"/>
          <w:color w:val="000000"/>
          <w:sz w:val="24"/>
        </w:rPr>
        <w:t xml:space="preserve"> trả của nhóm mua ở thực. Điều này khiến nhiều người dù có nhu cầu thật nhưng vẫn buộc phải trì hoãn kế hoạch mua nhà, kéo theo lượng giao dịch lao dốc.</w:t>
      </w:r>
      <w:r/>
    </w:p>
    <w:p>
      <w:pPr>
        <w:pBdr>
          <w:top w:val="none" w:color="000000" w:sz="4" w:space="0"/>
          <w:left w:val="none" w:color="000000" w:sz="4" w:space="0"/>
          <w:bottom w:val="none" w:color="000000" w:sz="4" w:space="0"/>
          <w:right w:val="none" w:color="000000" w:sz="4" w:space="0"/>
        </w:pBdr>
        <w:spacing w:line="300" w:lineRule="auto"/>
        <w:ind w:right="0" w:firstLine="283" w:left="0"/>
        <w:jc w:val="both"/>
        <w:rPr/>
      </w:pPr>
      <w:r>
        <w:rPr>
          <w:rFonts w:ascii="Times New Roman" w:hAnsi="Times New Roman" w:eastAsia="Times New Roman" w:cs="Times New Roman"/>
          <w:b/>
          <w:color w:val="000000"/>
          <w:sz w:val="24"/>
        </w:rPr>
        <w:t xml:space="preserve">Giá bán neo cao dù giao dịch gần như đóng băng</w:t>
      </w:r>
      <w:r/>
    </w:p>
    <w:p>
      <w:pPr>
        <w:pBdr>
          <w:top w:val="none" w:color="000000" w:sz="4" w:space="0"/>
          <w:left w:val="none" w:color="000000" w:sz="4" w:space="0"/>
          <w:bottom w:val="none" w:color="000000" w:sz="4" w:space="0"/>
          <w:right w:val="none" w:color="000000" w:sz="4" w:space="0"/>
        </w:pBdr>
        <w:spacing w:line="300" w:lineRule="auto"/>
        <w:ind w:right="0" w:firstLine="283" w:left="0"/>
        <w:jc w:val="both"/>
        <w:rPr/>
      </w:pPr>
      <w:r>
        <w:rPr>
          <w:rFonts w:ascii="Times New Roman" w:hAnsi="Times New Roman" w:eastAsia="Times New Roman" w:cs="Times New Roman"/>
          <w:color w:val="000000"/>
          <w:sz w:val="24"/>
        </w:rPr>
        <w:t xml:space="preserve">Một nghịch lý đang diễn ra là giá chào bán trên thị trường vẫn tiếp tục tăng bất chấp lượng giao dịch giảm mạnh.</w:t>
      </w:r>
      <w:r/>
    </w:p>
    <w:p>
      <w:pPr>
        <w:pBdr>
          <w:top w:val="none" w:color="000000" w:sz="4" w:space="0"/>
          <w:left w:val="none" w:color="000000" w:sz="4" w:space="0"/>
          <w:bottom w:val="none" w:color="000000" w:sz="4" w:space="0"/>
          <w:right w:val="none" w:color="000000" w:sz="4" w:space="0"/>
        </w:pBdr>
        <w:spacing w:line="300" w:lineRule="auto"/>
        <w:ind w:right="0" w:firstLine="283" w:left="0"/>
        <w:jc w:val="both"/>
        <w:rPr/>
      </w:pPr>
      <w:r>
        <w:rPr>
          <w:rFonts w:ascii="Times New Roman" w:hAnsi="Times New Roman" w:eastAsia="Times New Roman" w:cs="Times New Roman"/>
          <w:color w:val="000000"/>
          <w:sz w:val="24"/>
        </w:rPr>
        <w:t xml:space="preserve">Theo báo cáo quý I/2025 của Savills Việt Nam, giá chào bán nhà đất thổ cư tại khu vực Hà Nội tăng trung bình 3 – 5% so với cùng kỳ năm 2024 dù giao dịch giảm sâu.</w:t>
      </w:r>
      <w:r/>
    </w:p>
    <w:p>
      <w:pPr>
        <w:pBdr>
          <w:top w:val="none" w:color="000000" w:sz="4" w:space="0"/>
          <w:left w:val="none" w:color="000000" w:sz="4" w:space="0"/>
          <w:bottom w:val="none" w:color="000000" w:sz="4" w:space="0"/>
          <w:right w:val="none" w:color="000000" w:sz="4" w:space="0"/>
        </w:pBdr>
        <w:spacing w:line="300" w:lineRule="auto"/>
        <w:ind w:right="0" w:firstLine="283" w:left="0"/>
        <w:jc w:val="both"/>
        <w:rPr/>
      </w:pPr>
      <w:r>
        <w:rPr>
          <w:rFonts w:ascii="Times New Roman" w:hAnsi="Times New Roman" w:eastAsia="Times New Roman" w:cs="Times New Roman"/>
          <w:color w:val="000000"/>
          <w:sz w:val="24"/>
        </w:rPr>
        <w:t xml:space="preserve">Giá nhà trong ngõ rộng, có sổ đỏ tại các quận như Thanh Xuân, Cầu Giấy, Đống Đa vẫn giữ ở mức 130 – 180 triệu đồng/m2. Tại các phường trung tâm như Kim Mã (Ba Đình), Hàng Bông (Hoàn Kiếm) giá đã vượt mốc 350 triệu đồng/m2, dù không phát sinh giao dịch tro</w:t>
      </w:r>
      <w:r>
        <w:rPr>
          <w:rFonts w:ascii="Times New Roman" w:hAnsi="Times New Roman" w:eastAsia="Times New Roman" w:cs="Times New Roman"/>
          <w:color w:val="000000"/>
          <w:sz w:val="24"/>
        </w:rPr>
        <w:t xml:space="preserve">ng nhiều tháng.</w:t>
      </w:r>
      <w:r/>
    </w:p>
    <w:p>
      <w:pPr>
        <w:pBdr>
          <w:top w:val="none" w:color="000000" w:sz="4" w:space="0"/>
          <w:left w:val="none" w:color="000000" w:sz="4" w:space="0"/>
          <w:bottom w:val="none" w:color="000000" w:sz="4" w:space="0"/>
          <w:right w:val="none" w:color="000000" w:sz="4" w:space="0"/>
        </w:pBdr>
        <w:spacing w:line="300" w:lineRule="auto"/>
        <w:ind w:right="0" w:firstLine="283" w:left="0"/>
        <w:jc w:val="both"/>
        <w:rPr/>
      </w:pPr>
      <w:r>
        <w:rPr>
          <w:rFonts w:ascii="Times New Roman" w:hAnsi="Times New Roman" w:eastAsia="Times New Roman" w:cs="Times New Roman"/>
          <w:b/>
          <w:color w:val="000000"/>
          <w:sz w:val="24"/>
        </w:rPr>
        <w:t xml:space="preserve">Quỹ đất nội đô khan hiếm đẩy giá bán lên cao</w:t>
      </w:r>
      <w:r/>
    </w:p>
    <w:p>
      <w:pPr>
        <w:pBdr>
          <w:top w:val="none" w:color="000000" w:sz="4" w:space="0"/>
          <w:left w:val="none" w:color="000000" w:sz="4" w:space="0"/>
          <w:bottom w:val="none" w:color="000000" w:sz="4" w:space="0"/>
          <w:right w:val="none" w:color="000000" w:sz="4" w:space="0"/>
        </w:pBdr>
        <w:spacing w:line="300" w:lineRule="auto"/>
        <w:ind w:right="0" w:firstLine="283" w:left="0"/>
        <w:jc w:val="both"/>
        <w:rPr/>
      </w:pPr>
      <w:r>
        <w:rPr>
          <w:rFonts w:ascii="Times New Roman" w:hAnsi="Times New Roman" w:eastAsia="Times New Roman" w:cs="Times New Roman"/>
          <w:color w:val="000000"/>
          <w:sz w:val="24"/>
        </w:rPr>
        <w:t xml:space="preserve">Một yếu tố quan trọng khác tác động đến thị trường là tình trạng thiếu hụt nguồn cung nhà thấp tầng. Ông Nguyễn Văn Đính - Chủ tịch Hội Môi giới Bất động sản Việt Nam cho biết: “Vài năm gần đây, nguồn cung nhà ở thấp tầng tại Hà Nội gần như không tăng. Tro</w:t>
      </w:r>
      <w:r>
        <w:rPr>
          <w:rFonts w:ascii="Times New Roman" w:hAnsi="Times New Roman" w:eastAsia="Times New Roman" w:cs="Times New Roman"/>
          <w:color w:val="000000"/>
          <w:sz w:val="24"/>
        </w:rPr>
        <w:t xml:space="preserve">ng khi đó, quy hoạch mở rộng đô thị mới chưa đi vào thực tế khiến nguồn cung khan hiếm, đẩy giá nhà đất lên cao và giữ ổn định". (Nguồn: Báo Tiền Phong)</w:t>
      </w:r>
      <w:r/>
    </w:p>
    <w:p>
      <w:pPr>
        <w:pBdr>
          <w:top w:val="none" w:color="000000" w:sz="4" w:space="0"/>
          <w:left w:val="none" w:color="000000" w:sz="4" w:space="0"/>
          <w:bottom w:val="none" w:color="000000" w:sz="4" w:space="0"/>
          <w:right w:val="none" w:color="000000" w:sz="4" w:space="0"/>
        </w:pBdr>
        <w:spacing w:line="300" w:lineRule="auto"/>
        <w:ind w:right="0" w:firstLine="283" w:left="0"/>
        <w:jc w:val="both"/>
        <w:rPr/>
      </w:pPr>
      <w:r>
        <w:rPr>
          <w:rFonts w:ascii="Times New Roman" w:hAnsi="Times New Roman" w:eastAsia="Times New Roman" w:cs="Times New Roman"/>
          <w:b/>
          <w:color w:val="000000"/>
          <w:sz w:val="24"/>
        </w:rPr>
        <w:t xml:space="preserve">Tâm lý chờ đợi chính sách và chi phí vốn cao khiến giao dịch trì trệ</w:t>
      </w:r>
      <w:r/>
    </w:p>
    <w:p>
      <w:pPr>
        <w:pBdr>
          <w:top w:val="none" w:color="000000" w:sz="4" w:space="0"/>
          <w:left w:val="none" w:color="000000" w:sz="4" w:space="0"/>
          <w:bottom w:val="none" w:color="000000" w:sz="4" w:space="0"/>
          <w:right w:val="none" w:color="000000" w:sz="4" w:space="0"/>
        </w:pBdr>
        <w:spacing w:line="300" w:lineRule="auto"/>
        <w:ind w:right="0" w:firstLine="283" w:left="0"/>
        <w:jc w:val="both"/>
        <w:rPr/>
      </w:pPr>
      <w:r>
        <w:rPr>
          <w:rFonts w:ascii="Times New Roman" w:hAnsi="Times New Roman" w:eastAsia="Times New Roman" w:cs="Times New Roman"/>
          <w:color w:val="000000"/>
          <w:sz w:val="24"/>
        </w:rPr>
        <w:t xml:space="preserve">Không chỉ lệch pha cung – cầu, giao dịch nhà đất thổ cư Hà Nội còn bị ảnh hưởng bởi tâm lý chờ đợi từ cả phía người mua lẫn nhà đầu tư. Họ đang đợi các quyết sách mới về sáp nhập hành chính, quy hoạch đô thị, cùng với việc cập nhật khung giá đất theo Luật </w:t>
      </w:r>
      <w:r>
        <w:rPr>
          <w:rFonts w:ascii="Times New Roman" w:hAnsi="Times New Roman" w:eastAsia="Times New Roman" w:cs="Times New Roman"/>
          <w:color w:val="000000"/>
          <w:sz w:val="24"/>
        </w:rPr>
        <w:t xml:space="preserve">Đất đai mới có hiệu lực từ 1/7/2025.</w:t>
      </w:r>
      <w:r/>
    </w:p>
    <w:p>
      <w:pPr>
        <w:pBdr>
          <w:top w:val="none" w:color="000000" w:sz="4" w:space="0"/>
          <w:left w:val="none" w:color="000000" w:sz="4" w:space="0"/>
          <w:bottom w:val="none" w:color="000000" w:sz="4" w:space="0"/>
          <w:right w:val="none" w:color="000000" w:sz="4" w:space="0"/>
        </w:pBdr>
        <w:spacing w:line="300" w:lineRule="auto"/>
        <w:ind w:right="0" w:firstLine="283" w:left="0"/>
        <w:jc w:val="both"/>
        <w:rPr/>
      </w:pPr>
      <w:r>
        <w:rPr>
          <w:rFonts w:ascii="Times New Roman" w:hAnsi="Times New Roman" w:eastAsia="Times New Roman" w:cs="Times New Roman"/>
          <w:color w:val="000000"/>
          <w:sz w:val="24"/>
        </w:rPr>
        <w:t xml:space="preserve">Song song đó, lãi suất vay mua nhà vẫn duy trì ở mức cao, trong khi chưa có gói hỗ trợ tín dụng đủ hấp dẫn để kích cầu. Điều này càng khiến nhu cầu vay mua suy giảm, kéo theo thanh khoản thị trường tiếp tục sụt giảm sâu.</w:t>
      </w:r>
      <w:r/>
    </w:p>
    <w:p>
      <w:pPr>
        <w:pBdr>
          <w:top w:val="none" w:color="000000" w:sz="4" w:space="0"/>
          <w:left w:val="none" w:color="000000" w:sz="4" w:space="0"/>
          <w:bottom w:val="none" w:color="000000" w:sz="4" w:space="0"/>
          <w:right w:val="none" w:color="000000" w:sz="4" w:space="0"/>
        </w:pBdr>
        <w:spacing w:line="300" w:lineRule="auto"/>
        <w:ind w:right="0" w:firstLine="283" w:left="0"/>
        <w:jc w:val="both"/>
        <w:rPr/>
      </w:pPr>
      <w:r>
        <w:rPr>
          <w:rFonts w:ascii="Times New Roman" w:hAnsi="Times New Roman" w:eastAsia="Times New Roman" w:cs="Times New Roman"/>
          <w:b/>
          <w:color w:val="000000"/>
          <w:sz w:val="24"/>
        </w:rPr>
        <w:t xml:space="preserve">Các huyện mới nổi chiếm sóng thị trường nhờ tiềm năng dài hạn</w:t>
      </w:r>
      <w:r/>
    </w:p>
    <w:p>
      <w:pPr>
        <w:pBdr>
          <w:top w:val="none" w:color="000000" w:sz="4" w:space="0"/>
          <w:left w:val="none" w:color="000000" w:sz="4" w:space="0"/>
          <w:bottom w:val="none" w:color="000000" w:sz="4" w:space="0"/>
          <w:right w:val="none" w:color="000000" w:sz="4" w:space="0"/>
        </w:pBdr>
        <w:spacing w:line="300" w:lineRule="auto"/>
        <w:ind w:right="0" w:firstLine="283" w:left="0"/>
        <w:jc w:val="both"/>
        <w:rPr/>
      </w:pPr>
      <w:r>
        <w:rPr>
          <w:rFonts w:ascii="Times New Roman" w:hAnsi="Times New Roman" w:eastAsia="Times New Roman" w:cs="Times New Roman"/>
          <w:color w:val="000000"/>
          <w:sz w:val="24"/>
        </w:rPr>
        <w:t xml:space="preserve">Trong bối cảnh giao dịch tại các quận trung tâm và vệ tinh giảm sâu, giao dịch nhà đất thổ cư Hà Nội trong 6 tháng đầu năm 2025 tại các huyện ngoại thành như Đông Anh, Đan Phượng và Gia Lâm lại trở thành điểm sáng, thu hút sự quan tâm đầu tư nhờ tiềm năng </w:t>
      </w:r>
      <w:r>
        <w:rPr>
          <w:rFonts w:ascii="Times New Roman" w:hAnsi="Times New Roman" w:eastAsia="Times New Roman" w:cs="Times New Roman"/>
          <w:color w:val="000000"/>
          <w:sz w:val="24"/>
        </w:rPr>
        <w:t xml:space="preserve">tăng trưởng dài hạn.</w:t>
      </w:r>
      <w:r/>
    </w:p>
    <w:p>
      <w:pPr>
        <w:pBdr>
          <w:top w:val="none" w:color="000000" w:sz="4" w:space="0"/>
          <w:left w:val="none" w:color="000000" w:sz="4" w:space="0"/>
          <w:bottom w:val="none" w:color="000000" w:sz="4" w:space="0"/>
          <w:right w:val="none" w:color="000000" w:sz="4" w:space="0"/>
        </w:pBdr>
        <w:spacing w:line="300" w:lineRule="auto"/>
        <w:ind w:right="0" w:firstLine="283" w:left="0"/>
        <w:jc w:val="both"/>
        <w:rPr/>
      </w:pPr>
      <w:r>
        <w:rPr>
          <w:rFonts w:ascii="Times New Roman" w:hAnsi="Times New Roman" w:eastAsia="Times New Roman" w:cs="Times New Roman"/>
          <w:color w:val="000000"/>
          <w:sz w:val="24"/>
        </w:rPr>
        <w:t xml:space="preserve">Huyện Đông Anh có lượng giao dịch lớn nhất, đạt 4.200 giao dịch. </w:t>
      </w:r>
      <w:r/>
    </w:p>
    <w:p>
      <w:pPr>
        <w:pBdr>
          <w:top w:val="none" w:color="000000" w:sz="4" w:space="0"/>
          <w:left w:val="none" w:color="000000" w:sz="4" w:space="0"/>
          <w:bottom w:val="none" w:color="000000" w:sz="4" w:space="0"/>
          <w:right w:val="none" w:color="000000" w:sz="4" w:space="0"/>
        </w:pBdr>
        <w:spacing w:line="300" w:lineRule="auto"/>
        <w:ind w:right="0" w:firstLine="283" w:left="0"/>
        <w:jc w:val="both"/>
        <w:rPr/>
      </w:pPr>
      <w:r>
        <w:rPr>
          <w:rFonts w:ascii="Times New Roman" w:hAnsi="Times New Roman" w:eastAsia="Times New Roman" w:cs="Times New Roman"/>
          <w:color w:val="000000"/>
          <w:sz w:val="24"/>
        </w:rPr>
        <w:t xml:space="preserve">Giao dịch tại huyện Đan Phượng và huyện Gia Lâm gần tương đương nhau đạt 1.390 và 1.210 giao dịch, phản ánh xu hướng dịch chuyển dòng tiền về các khu vực giàu tiềm năng phát triển dài hạn.</w:t>
      </w:r>
      <w:r/>
    </w:p>
    <w:p>
      <w:pPr>
        <w:pBdr>
          <w:top w:val="none" w:color="000000" w:sz="4" w:space="0"/>
          <w:left w:val="none" w:color="000000" w:sz="4" w:space="0"/>
          <w:bottom w:val="none" w:color="000000" w:sz="4" w:space="0"/>
          <w:right w:val="none" w:color="000000" w:sz="4" w:space="0"/>
        </w:pBdr>
        <w:spacing w:line="300" w:lineRule="auto"/>
        <w:ind w:right="0" w:firstLine="283" w:left="0"/>
        <w:jc w:val="both"/>
        <w:rPr/>
      </w:pPr>
      <w:r>
        <w:rPr>
          <w:rFonts w:ascii="Times New Roman" w:hAnsi="Times New Roman" w:eastAsia="Times New Roman" w:cs="Times New Roman"/>
          <w:color w:val="000000"/>
          <w:sz w:val="24"/>
        </w:rPr>
        <w:t xml:space="preserve">So với các quận nội đô đã thiết lập mặt bằng giá cao và ít dư địa tăng trưởng, giá đất thổ cư tại những huyện mới nổi này vẫn còn khá “mềm”. Điều này không chỉ phù hợp với khả năng tài chính của người mua có nhu cầu ở thực mà còn tạo ra cơ hội sinh lời hấp</w:t>
      </w:r>
      <w:r>
        <w:rPr>
          <w:rFonts w:ascii="Times New Roman" w:hAnsi="Times New Roman" w:eastAsia="Times New Roman" w:cs="Times New Roman"/>
          <w:color w:val="000000"/>
          <w:sz w:val="24"/>
        </w:rPr>
        <w:t xml:space="preserve"> dẫn cho các nhà đầu tư trung và dài hạn.</w:t>
      </w:r>
      <w:r/>
    </w:p>
    <w:p>
      <w:pPr>
        <w:pBdr>
          <w:top w:val="none" w:color="000000" w:sz="4" w:space="0"/>
          <w:left w:val="none" w:color="000000" w:sz="4" w:space="0"/>
          <w:bottom w:val="none" w:color="000000" w:sz="4" w:space="0"/>
          <w:right w:val="none" w:color="000000" w:sz="4" w:space="0"/>
        </w:pBdr>
        <w:spacing w:line="300" w:lineRule="auto"/>
        <w:ind w:right="0" w:firstLine="283" w:left="0"/>
        <w:jc w:val="both"/>
        <w:rPr/>
      </w:pPr>
      <w:r>
        <w:rPr>
          <w:rFonts w:ascii="Times New Roman" w:hAnsi="Times New Roman" w:eastAsia="Times New Roman" w:cs="Times New Roman"/>
          <w:color w:val="000000"/>
          <w:sz w:val="24"/>
        </w:rPr>
        <w:t xml:space="preserve">Không chỉ có lợi thế về giá, các huyện này còn đang nằm trong lộ trình đô thị hóa, với mục tiêu trở thành quận trong giai đoạn 2020–2025. Việc nâng cấp hành chính sẽ kéo theo sự hoàn thiện đồng bộ về hạ tầng, tiện ích và hệ thống dịch vụ, thúc đẩy giá trị </w:t>
      </w:r>
      <w:r>
        <w:rPr>
          <w:rFonts w:ascii="Times New Roman" w:hAnsi="Times New Roman" w:eastAsia="Times New Roman" w:cs="Times New Roman"/>
          <w:color w:val="000000"/>
          <w:sz w:val="24"/>
        </w:rPr>
        <w:t xml:space="preserve">bất động sản tăng theo thời gian.</w:t>
      </w:r>
      <w:r/>
    </w:p>
    <w:p>
      <w:pPr>
        <w:pBdr>
          <w:top w:val="none" w:color="000000" w:sz="4" w:space="0"/>
          <w:left w:val="none" w:color="000000" w:sz="4" w:space="0"/>
          <w:bottom w:val="none" w:color="000000" w:sz="4" w:space="0"/>
          <w:right w:val="none" w:color="000000" w:sz="4" w:space="0"/>
        </w:pBdr>
        <w:spacing w:line="300" w:lineRule="auto"/>
        <w:ind w:right="0" w:firstLine="283" w:left="0"/>
        <w:jc w:val="both"/>
        <w:rPr/>
      </w:pPr>
      <w:r>
        <w:rPr>
          <w:rFonts w:ascii="Times New Roman" w:hAnsi="Times New Roman" w:eastAsia="Times New Roman" w:cs="Times New Roman"/>
          <w:color w:val="000000"/>
          <w:sz w:val="24"/>
        </w:rPr>
        <w:t xml:space="preserve">Đặc biệt, nhiều dự án giao thông trọng điểm đang được triển khai tại đây như vành đai 4, đại lộ Tây Thăng Long, tuyến đường sắt đô thị cùng với hệ thống cầu vượt sông Hồng mới, đã và đang cải thiện đáng kể khả năng kết nối từ các huyện này tới trung tâm th</w:t>
      </w:r>
      <w:r>
        <w:rPr>
          <w:rFonts w:ascii="Times New Roman" w:hAnsi="Times New Roman" w:eastAsia="Times New Roman" w:cs="Times New Roman"/>
          <w:color w:val="000000"/>
          <w:sz w:val="24"/>
        </w:rPr>
        <w:t xml:space="preserve">ành phố cũng như các vùng kinh tế vệ tinh.</w:t>
      </w:r>
      <w:r/>
    </w:p>
    <w:p>
      <w:pPr>
        <w:pBdr>
          <w:top w:val="none" w:color="000000" w:sz="4" w:space="0"/>
          <w:left w:val="none" w:color="000000" w:sz="4" w:space="0"/>
          <w:bottom w:val="none" w:color="000000" w:sz="4" w:space="0"/>
          <w:right w:val="none" w:color="000000" w:sz="4" w:space="0"/>
        </w:pBdr>
        <w:spacing w:line="300" w:lineRule="auto"/>
        <w:ind w:right="0" w:firstLine="283" w:left="0"/>
        <w:jc w:val="both"/>
        <w:rPr/>
      </w:pPr>
      <w:r>
        <w:rPr>
          <w:rFonts w:ascii="Times New Roman" w:hAnsi="Times New Roman" w:eastAsia="Times New Roman" w:cs="Times New Roman"/>
          <w:color w:val="000000"/>
          <w:sz w:val="24"/>
        </w:rPr>
        <w:t xml:space="preserve">Sự đồng bộ này chính là đòn bẩy giúp các khu vực như Đông Anh, Đan Phượng và Gia Lâm vươn lên trở thành những “điểm nóng” tiếp theo trên bản đồ giao dịch nhà đất thổ cư Hà Nội.</w:t>
      </w:r>
      <w:r/>
    </w:p>
    <w:p>
      <w:pPr>
        <w:pBdr/>
        <w:tabs>
          <w:tab w:val="left" w:leader="none" w:pos="426"/>
        </w:tabs>
        <w:spacing w:after="120" w:before="120" w:line="300" w:lineRule="auto"/>
        <w:ind/>
        <w:jc w:val="center"/>
        <w:rPr>
          <w:bCs/>
          <w:i/>
        </w:rPr>
      </w:pPr>
      <w:r>
        <w:rPr>
          <w:rFonts w:ascii="Times New Roman" w:hAnsi="Times New Roman" w:eastAsia="Times New Roman" w:cs="Times New Roman"/>
          <w:i/>
          <w:iCs/>
          <w:color w:val="000000"/>
          <w:sz w:val="24"/>
        </w:rPr>
        <w:t xml:space="preserve">(Nguồn </w:t>
      </w:r>
      <w:r>
        <w:rPr>
          <w:rFonts w:ascii="Times New Roman" w:hAnsi="Times New Roman" w:eastAsia="Times New Roman" w:cs="Times New Roman"/>
          <w:i/>
          <w:iCs/>
          <w:color w:val="000000"/>
          <w:sz w:val="24"/>
        </w:rPr>
        <w:t xml:space="preserve">tham </w:t>
      </w:r>
      <w:r>
        <w:rPr>
          <w:rFonts w:ascii="Times New Roman" w:hAnsi="Times New Roman" w:eastAsia="Times New Roman" w:cs="Times New Roman"/>
          <w:i/>
          <w:iCs/>
          <w:color w:val="000000"/>
          <w:sz w:val="24"/>
        </w:rPr>
        <w:t xml:space="preserve">khảo</w:t>
      </w:r>
      <w:r>
        <w:rPr>
          <w:rFonts w:ascii="Times New Roman" w:hAnsi="Times New Roman" w:eastAsia="Times New Roman" w:cs="Times New Roman"/>
          <w:i/>
          <w:iCs/>
          <w:color w:val="000000"/>
          <w:sz w:val="24"/>
        </w:rPr>
        <w:t xml:space="preserve">: https://onehousing.vn/blog/giao-dich-nha-dat-tho-cu-ha-noi-chung-lai-trong-1h2025-dau-la-quan-dang-chu-y-khi-thi-truong-phuc-hoi-n17t?utm_source=social_share&amp;utm_medium=copyurl&amp;utm_campaign=efc31d7e-04f8-4713-9ae1-5036060f4085)</w:t>
      </w:r>
      <w:r>
        <w:rPr>
          <w:bCs/>
          <w:i/>
          <w:iCs/>
          <w:lang w:val="pt-BR"/>
        </w:rPr>
      </w:r>
      <w:r>
        <w:rPr>
          <w:bCs/>
          <w:i/>
        </w:rPr>
      </w:r>
    </w:p>
    <w:p>
      <w:pPr>
        <w:pStyle w:val="104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sử dụng đất tại thửa đất số: 149, tờ bản đồ số: 39 có địa chỉ: Thôn Kiện Vũ, xã Trầm Lộng, huyện Ứng Hoà, thành phố Hà Nộ</w:t>
            </w:r>
            <w:r>
              <w:rPr>
                <w:b/>
                <w:bCs/>
                <w:color w:val="000000"/>
              </w:rPr>
              <w:t xml:space="preserve">i (</w:t>
            </w:r>
            <w:r>
              <w:rPr>
                <w:b/>
                <w:bCs/>
                <w:i/>
                <w:iCs/>
                <w:color w:val="000000"/>
              </w:rPr>
              <w:t xml:space="preserve">nay là xã Ứng Hoà, thành phố Hà Nội)</w:t>
            </w:r>
            <w:r>
              <w:rPr>
                <w:b/>
                <w:bCs/>
                <w:color w:val="000000"/>
              </w:rPr>
              <w:t xml:space="preserve"> theo Giấy chứng nhận quyền sử dụng đất, quyền sở hữu nhà ở và tài sản khác gắn liền với đất số: BO 174426, số vào sổ cấp GCN: CH00426/ Ứng Hoà do Uỷ ban nhân dân huyện Ứng Hoà cấp ngày 15/5/2013 cho Ông Lê Quang Khải</w:t>
            </w:r>
            <w:r>
              <w:rPr>
                <w:b/>
                <w:bCs/>
                <w:color w:val="000000"/>
              </w:rPr>
              <w:t xml:space="preserve">.</w:t>
            </w:r>
            <w:r>
              <w:rPr>
                <w:b/>
                <w:bCs/>
                <w:color w:val="000000"/>
              </w:rPr>
            </w:r>
            <w:r>
              <w:rPr>
                <w:b/>
                <w:bCs/>
                <w:color w:val="000000"/>
              </w:rPr>
            </w:r>
          </w:p>
        </w:tc>
      </w:tr>
      <w:tr>
        <w:trPr>
          <w:trHeight w:val="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149</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39</w:t>
            </w:r>
            <w:r>
              <w:rPr>
                <w:color w:val="ee0000"/>
              </w:rPr>
            </w:r>
            <w:r>
              <w:rPr>
                <w:color w:val="ee0000"/>
              </w:rPr>
            </w:r>
          </w:p>
        </w:tc>
      </w:tr>
      <w:tr>
        <w:trPr>
          <w:trHeight w:val="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Thôn Kiện Vũ, xã Trầm Lộng, huyện Ứng Hoà, thành phố Hà Nội (</w:t>
            </w:r>
            <w:r>
              <w:rPr>
                <w:rFonts w:ascii="Times New Roman" w:hAnsi="Times New Roman" w:eastAsia="Times New Roman" w:cs="Times New Roman"/>
                <w:i/>
                <w:iCs/>
                <w:color w:val="000000"/>
                <w:sz w:val="24"/>
              </w:rPr>
              <w:t xml:space="preserve">nay là xã Ứng Hoà, thành phố Hà Nội</w:t>
            </w:r>
            <w:r>
              <w:rPr>
                <w:rFonts w:ascii="Times New Roman" w:hAnsi="Times New Roman" w:eastAsia="Times New Roman" w:cs="Times New Roman"/>
                <w:color w:val="000000"/>
                <w:sz w:val="24"/>
              </w:rPr>
              <w:t xml:space="preserve">)</w:t>
            </w:r>
            <w:r/>
          </w:p>
        </w:tc>
      </w:tr>
      <w:tr>
        <w:trPr>
          <w:trHeight w:val="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199,7</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nông thôn</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Nhà nước giao đất có thu tiền sử dụng đất.</w:t>
            </w:r>
            <w:r>
              <w:rPr>
                <w:color w:val="000000"/>
              </w:rPr>
            </w:r>
            <w:r>
              <w:rPr>
                <w:color w:val="000000"/>
              </w:rPr>
            </w:r>
          </w:p>
        </w:tc>
      </w:tr>
      <w:tr>
        <w:trPr>
          <w:trHeight w:val="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Tại thời điểm thẩm định giá, </w:t>
            </w:r>
            <w:r>
              <w:rPr>
                <w:rFonts w:ascii="Times New Roman" w:hAnsi="Times New Roman" w:eastAsia="Times New Roman" w:cs="Times New Roman"/>
                <w:color w:val="000000"/>
                <w:sz w:val="24"/>
              </w:rPr>
              <w:t xml:space="preserve">T</w:t>
            </w:r>
            <w:r>
              <w:rPr>
                <w:rFonts w:ascii="Times New Roman" w:hAnsi="Times New Roman" w:eastAsia="Times New Roman" w:cs="Times New Roman"/>
                <w:color w:val="000000"/>
                <w:sz w:val="24"/>
              </w:rPr>
              <w:t xml:space="preserve">ổ thẩm định không được Khách hàng cung cấp các thông tin quy hoạch liên quan đến thửa đất, dựa trên định vị của tài sản sau khi khảo sát, </w:t>
            </w:r>
            <w:r>
              <w:rPr>
                <w:rFonts w:ascii="Times New Roman" w:hAnsi="Times New Roman" w:eastAsia="Times New Roman" w:cs="Times New Roman"/>
                <w:color w:val="000000"/>
                <w:sz w:val="24"/>
              </w:rPr>
              <w:t xml:space="preserve">T</w:t>
            </w:r>
            <w:r>
              <w:rPr>
                <w:rFonts w:ascii="Times New Roman" w:hAnsi="Times New Roman" w:eastAsia="Times New Roman" w:cs="Times New Roman"/>
                <w:color w:val="000000"/>
                <w:sz w:val="24"/>
              </w:rPr>
              <w:t xml:space="preserve">ổ thẩm định kiểm tra quy hoạch online thông qua các trang mạng như Meeymap xác </w:t>
            </w:r>
            <w:r>
              <w:rPr>
                <w:rFonts w:ascii="Times New Roman" w:hAnsi="Times New Roman" w:eastAsia="Times New Roman" w:cs="Times New Roman"/>
                <w:color w:val="000000"/>
                <w:sz w:val="24"/>
              </w:rPr>
              <w:t xml:space="preserve">định vị trí tài sản thuộc quy hoạch đất ở.</w:t>
            </w:r>
            <w:r>
              <w:rPr>
                <w:color w:val="000000"/>
              </w:rPr>
            </w:r>
            <w:r>
              <w:rPr>
                <w:color w:val="000000"/>
              </w:rPr>
            </w:r>
          </w:p>
        </w:tc>
      </w:tr>
      <w:tr>
        <w:trPr>
          <w:trHeight w:val="0"/>
        </w:trPr>
        <w:tc>
          <w:tcPr>
            <w:tcBorders/>
            <w:tcW w:w="734" w:type="dxa"/>
            <w:vAlign w:val="center"/>
            <w:vMerge w:val="restart"/>
            <w:textDirection w:val="lrTb"/>
            <w:noWrap w:val="false"/>
          </w:tcPr>
          <w:p>
            <w:pPr>
              <w:pBdr/>
              <w:spacing/>
              <w:ind/>
              <w:jc w:val="center"/>
              <w:rPr>
                <w:color w:val="000000"/>
              </w:rPr>
            </w:pPr>
            <w:r>
              <w:rPr>
                <w:color w:val="000000"/>
              </w:rPr>
            </w:r>
            <w:r>
              <w:rPr>
                <w:color w:val="000000"/>
              </w:rPr>
            </w:r>
            <w:r>
              <w:rPr>
                <w:color w:val="000000"/>
              </w:rPr>
            </w:r>
          </w:p>
        </w:tc>
        <w:tc>
          <w:tcPr>
            <w:gridSpan w:val="4"/>
            <w:tcBorders/>
            <w:tcW w:w="8781" w:type="dxa"/>
            <w:vAlign w:val="center"/>
            <w:vMerge w:val="restart"/>
            <w:textDirection w:val="lrTb"/>
            <w:noWrap w:val="false"/>
          </w:tcPr>
          <w:p>
            <w:pPr>
              <w:pBdr/>
              <w:spacing/>
              <w:ind/>
              <w:jc w:val="center"/>
              <w:rPr>
                <w:color w:val="000000"/>
              </w:rPr>
            </w:pPr>
            <w:r>
              <w:rPr>
                <w:color w:val="000000"/>
              </w:rPr>
            </w:r>
            <w:r>
              <mc:AlternateContent>
                <mc:Choice Requires="wpg">
                  <w:drawing>
                    <wp:inline xmlns:wp="http://schemas.openxmlformats.org/drawingml/2006/wordprocessingDrawing" distT="0" distB="0" distL="0" distR="0">
                      <wp:extent cx="5339207" cy="2325420"/>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837253" name=""/>
                              <pic:cNvPicPr>
                                <a:picLocks noChangeAspect="1"/>
                              </pic:cNvPicPr>
                              <pic:nvPr/>
                            </pic:nvPicPr>
                            <pic:blipFill rotWithShape="1">
                              <a:blip r:embed="rId18"/>
                              <a:stretch/>
                            </pic:blipFill>
                            <pic:spPr bwMode="auto">
                              <a:xfrm flipH="0" flipV="0">
                                <a:off x="0" y="0"/>
                                <a:ext cx="5339207" cy="232542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0.41pt;height:183.10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nhựa có vỉa hè</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2 mặt tiền</w:t>
            </w:r>
            <w:r>
              <w:rPr>
                <w:color w:val="000000"/>
              </w:rPr>
            </w:r>
            <w:r>
              <w:rPr>
                <w:color w:val="000000"/>
              </w:rPr>
            </w:r>
          </w:p>
        </w:tc>
      </w:tr>
      <w:tr>
        <w:trPr>
          <w:trHeight w:val="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8,0m + vỉa hè 3,5m</w:t>
            </w: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8,0m + vỉa hè 3,5m</w:t>
            </w:r>
            <w:r/>
          </w:p>
        </w:tc>
      </w:tr>
      <w:tr>
        <w:trPr>
          <w:trHeight w:val="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sz w:val="24"/>
                <w:szCs w:val="24"/>
              </w:rPr>
            </w:pPr>
            <w:r>
              <w:rPr>
                <w:color w:val="000000" w:themeColor="text1"/>
                <w:sz w:val="24"/>
                <w:szCs w:val="24"/>
              </w:rPr>
            </w:r>
            <w:r>
              <w:rPr>
                <w:color w:val="000000" w:themeColor="text1"/>
                <w:sz w:val="24"/>
                <w:szCs w:val="24"/>
              </w:rPr>
              <w:t xml:space="preserve">Tài sản tiếp giáp đường Hoàng Quốc Việt.</w:t>
            </w:r>
            <w:r>
              <w:rPr>
                <w:color w:val="000000"/>
                <w:sz w:val="24"/>
                <w:szCs w:val="24"/>
              </w:rPr>
            </w:r>
            <w:r>
              <w:rPr>
                <w:color w:val="000000"/>
                <w:sz w:val="24"/>
                <w:szCs w:val="24"/>
              </w:rPr>
            </w:r>
          </w:p>
        </w:tc>
      </w:tr>
      <w:tr>
        <w:trPr>
          <w:trHeight w:val="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pPr>
              <w:pBdr/>
              <w:spacing w:after="0" w:before="0" w:line="240" w:lineRule="auto"/>
              <w:ind/>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 Hướng Tây Nam: Tiếp giáp ngõ rộng khoảng 8,0m + vỉa hè 3,5m;</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Bdr/>
              <w:spacing w:after="0" w:before="0" w:line="240" w:lineRule="auto"/>
              <w:ind/>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z w:val="24"/>
              </w:rPr>
              <w:t xml:space="preserve">Hướng Đông Nam: Tiếp giáp ngõ rộng 4,5m (Hiện trạng đang làm đường);</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Bdr/>
              <w:spacing w:after="0" w:before="0" w:line="240" w:lineRule="auto"/>
              <w:ind/>
              <w:rPr/>
            </w:pPr>
            <w:r>
              <w:rPr>
                <w:rFonts w:ascii="Times New Roman" w:hAnsi="Times New Roman" w:eastAsia="Times New Roman" w:cs="Times New Roman"/>
                <w:color w:val="000000"/>
                <w:sz w:val="24"/>
              </w:rPr>
              <w:t xml:space="preserve">+ Các hướng khác: Tiếp giáp thửa đất khác</w:t>
            </w:r>
            <w:r/>
          </w:p>
        </w:tc>
      </w:tr>
      <w:tr>
        <w:trPr>
          <w:trHeight w:val="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20.676277777778</w:t>
            </w:r>
            <w:r>
              <w:rPr>
                <w:color w:val="000000"/>
              </w:rPr>
              <w:t xml:space="preserve">, </w:t>
            </w:r>
            <w:r>
              <w:rPr>
                <w:color w:val="000000"/>
              </w:rPr>
              <w:t xml:space="preserve">105.84788888889</w:t>
            </w:r>
            <w:r>
              <w:rPr>
                <w:color w:val="000000"/>
              </w:rPr>
              <w:t xml:space="preserve">)</w:t>
            </w:r>
            <w:r>
              <w:rPr>
                <w:color w:val="000000"/>
              </w:rPr>
            </w:r>
            <w:r>
              <w:rPr>
                <w:color w:val="000000"/>
              </w:rPr>
            </w:r>
          </w:p>
        </w:tc>
      </w:tr>
      <w:tr>
        <w:trPr>
          <w:trHeight w:val="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r>
            <w:r>
              <w:rPr>
                <w:color w:val="000000"/>
              </w:rPr>
              <mc:AlternateContent>
                <mc:Choice Requires="wpg">
                  <w:drawing>
                    <wp:inline xmlns:wp="http://schemas.openxmlformats.org/drawingml/2006/wordprocessingDrawing" distT="0" distB="0" distL="0" distR="0">
                      <wp:extent cx="5494832" cy="2612317"/>
                      <wp:effectExtent l="0" t="0" r="0" b="0"/>
                      <wp:docPr id="6" name=""/>
                      <wp:cNvGraphicFramePr/>
                      <a:graphic xmlns:a="http://schemas.openxmlformats.org/drawingml/2006/main">
                        <a:graphicData uri="http://schemas.openxmlformats.org/drawingml/2006/picture">
                          <pic:pic xmlns:pic="http://schemas.openxmlformats.org/drawingml/2006/picture">
                            <pic:nvPicPr>
                              <pic:cNvPr id="1227252930" name="" descr=""/>
                              <pic:cNvPicPr/>
                              <pic:nvPr/>
                            </pic:nvPicPr>
                            <pic:blipFill rotWithShape="1">
                              <a:blip r:embed="rId19"/>
                              <a:stretch/>
                            </pic:blipFill>
                            <pic:spPr bwMode="auto">
                              <a:xfrm flipH="0" flipV="0">
                                <a:off x="0" y="0"/>
                                <a:ext cx="5494831" cy="261231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32.66pt;height:205.69pt;mso-wrap-distance-left:0.00pt;mso-wrap-distance-top:0.00pt;mso-wrap-distance-right:0.00pt;mso-wrap-distance-bottom:0.00pt;z-index:1;" stroked="false">
                      <v:imagedata r:id="rId19" o:title=""/>
                      <o:lock v:ext="edit" rotation="t"/>
                    </v:shape>
                  </w:pict>
                </mc:Fallback>
              </mc:AlternateContent>
            </w:r>
            <w:r>
              <w:rPr>
                <w:color w:val="000000"/>
              </w:rPr>
            </w:r>
            <w:r>
              <w:rPr>
                <w:color w:val="000000"/>
              </w:rPr>
            </w:r>
          </w:p>
        </w:tc>
      </w:tr>
      <w:tr>
        <w:trPr>
          <w:trHeight w:val="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199,7</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0</w:t>
            </w:r>
            <w:r>
              <w:rPr>
                <w:color w:val="000000"/>
              </w:rPr>
            </w:r>
            <w:r>
              <w:rPr>
                <w:color w:val="000000"/>
              </w:rPr>
            </w:r>
          </w:p>
        </w:tc>
      </w:tr>
      <w:tr>
        <w:trPr>
          <w:trHeight w:val="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8,33</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24,0</w:t>
            </w:r>
            <w:r>
              <w:rPr>
                <w:color w:val="000000" w:themeColor="text1"/>
              </w:rPr>
            </w:r>
            <w:r>
              <w:rPr>
                <w:color w:val="000000" w:themeColor="text1"/>
              </w:rPr>
            </w:r>
          </w:p>
        </w:tc>
      </w:tr>
      <w:tr>
        <w:trPr>
          <w:trHeight w:val="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Tây Nam</w:t>
            </w:r>
            <w:r>
              <w:rPr>
                <w:color w:val="000000"/>
              </w:rPr>
            </w:r>
            <w:r>
              <w:rPr>
                <w:color w:val="000000"/>
              </w:rPr>
            </w:r>
          </w:p>
        </w:tc>
      </w:tr>
      <w:tr>
        <w:trPr>
          <w:trHeight w:val="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Khu tập trung dân cư</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Trung </w:t>
            </w:r>
            <w:r>
              <w:rPr>
                <w:color w:val="000000"/>
              </w:rPr>
              <w:t xml:space="preserve">bình </w:t>
            </w:r>
            <w:r>
              <w:rPr>
                <w:color w:val="000000"/>
              </w:rPr>
              <w:t xml:space="preserve">khá</w:t>
            </w:r>
            <w:r>
              <w:rPr>
                <w:color w:val="000000"/>
              </w:rPr>
            </w:r>
            <w:r>
              <w:rPr>
                <w:color w:val="000000"/>
              </w:rPr>
            </w:r>
          </w:p>
        </w:tc>
      </w:tr>
      <w:tr>
        <w:trPr>
          <w:trHeight w:val="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Khá</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r>
        <w:trPr>
          <w:trHeight w:val="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 Nhà </w:t>
            </w:r>
            <w:r>
              <w:rPr>
                <w:b/>
                <w:bCs/>
                <w:color w:val="000000"/>
              </w:rPr>
              <w:t xml:space="preserve">0</w:t>
            </w:r>
            <w:r>
              <w:rPr>
                <w:b/>
                <w:bCs/>
                <w:color w:val="000000"/>
              </w:rPr>
              <w:t xml:space="preserve">2 tầng</w:t>
            </w:r>
            <w:r>
              <w:rPr>
                <w:b/>
                <w:bCs/>
                <w:color w:val="000000"/>
              </w:rPr>
            </w:r>
            <w:r>
              <w:rPr>
                <w:b/>
                <w:bCs/>
                <w:color w:val="000000"/>
              </w:rPr>
            </w:r>
          </w:p>
        </w:tc>
      </w:tr>
      <w:tr>
        <w:trPr>
          <w:trHeight w:val="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Tại thời điểm khảo sát, trên đất có công trình trên đất có công trình nhà </w:t>
            </w:r>
            <w:r>
              <w:rPr>
                <w:rFonts w:ascii="Times New Roman" w:hAnsi="Times New Roman" w:eastAsia="Times New Roman" w:cs="Times New Roman"/>
                <w:color w:val="000000"/>
                <w:sz w:val="24"/>
              </w:rPr>
              <w:t xml:space="preserve">0</w:t>
            </w:r>
            <w:r>
              <w:rPr>
                <w:rFonts w:ascii="Times New Roman" w:hAnsi="Times New Roman" w:eastAsia="Times New Roman" w:cs="Times New Roman"/>
                <w:color w:val="000000"/>
                <w:sz w:val="24"/>
              </w:rPr>
              <w:t xml:space="preserve">2 tầng, kết cấu BTCT, tường xây gạch chịu lực, sàn lát gạch men, ngoại quan khá. Diện tích xây dựng tầng </w:t>
            </w:r>
            <w:r>
              <w:rPr>
                <w:rFonts w:ascii="Times New Roman" w:hAnsi="Times New Roman" w:eastAsia="Times New Roman" w:cs="Times New Roman"/>
                <w:color w:val="000000"/>
                <w:sz w:val="24"/>
              </w:rPr>
              <w:t xml:space="preserve">0</w:t>
            </w:r>
            <w:r>
              <w:rPr>
                <w:rFonts w:ascii="Times New Roman" w:hAnsi="Times New Roman" w:eastAsia="Times New Roman" w:cs="Times New Roman"/>
                <w:color w:val="000000"/>
                <w:sz w:val="24"/>
              </w:rPr>
              <w:t xml:space="preserve">1 khoảng 120,0 m</w:t>
            </w:r>
            <w:r>
              <w:rPr>
                <w:rFonts w:ascii="Times New Roman" w:hAnsi="Times New Roman" w:eastAsia="Times New Roman" w:cs="Times New Roman"/>
                <w:color w:val="000000"/>
                <w:sz w:val="24"/>
                <w:vertAlign w:val="superscript"/>
              </w:rPr>
              <w:t xml:space="preserve">2</w:t>
            </w:r>
            <w:r>
              <w:rPr>
                <w:rFonts w:ascii="Times New Roman" w:hAnsi="Times New Roman" w:eastAsia="Times New Roman" w:cs="Times New Roman"/>
                <w:color w:val="000000"/>
                <w:sz w:val="24"/>
                <w:vertAlign w:val="baseline"/>
              </w:rPr>
              <w:t xml:space="preserve">, diện tích xây dựng tầng </w:t>
            </w:r>
            <w:r>
              <w:rPr>
                <w:rFonts w:ascii="Times New Roman" w:hAnsi="Times New Roman" w:eastAsia="Times New Roman" w:cs="Times New Roman"/>
                <w:color w:val="000000"/>
                <w:sz w:val="24"/>
                <w:vertAlign w:val="baseline"/>
              </w:rPr>
              <w:t xml:space="preserve">00</w:t>
            </w:r>
            <w:r>
              <w:rPr>
                <w:rFonts w:ascii="Times New Roman" w:hAnsi="Times New Roman" w:eastAsia="Times New Roman" w:cs="Times New Roman"/>
                <w:color w:val="000000"/>
                <w:sz w:val="24"/>
                <w:vertAlign w:val="baseline"/>
              </w:rPr>
              <w:t xml:space="preserve">2  khoảng 80m</w:t>
            </w:r>
            <w:r>
              <w:rPr>
                <w:rFonts w:ascii="Times New Roman" w:hAnsi="Times New Roman" w:eastAsia="Times New Roman" w:cs="Times New Roman"/>
                <w:color w:val="000000"/>
                <w:sz w:val="24"/>
                <w:vertAlign w:val="superscript"/>
              </w:rPr>
              <w:t xml:space="preserve">2</w:t>
            </w:r>
            <w:r>
              <w:rPr>
                <w:rFonts w:ascii="Times New Roman" w:hAnsi="Times New Roman" w:eastAsia="Times New Roman" w:cs="Times New Roman"/>
                <w:color w:val="000000"/>
                <w:sz w:val="24"/>
              </w:rPr>
              <w:t xml:space="preserve">. Công trình được xây dựng vào năm 2024. Công trình ch</w:t>
            </w:r>
            <w:r>
              <w:rPr>
                <w:rFonts w:ascii="Times New Roman" w:hAnsi="Times New Roman" w:eastAsia="Times New Roman" w:cs="Times New Roman"/>
                <w:color w:val="000000"/>
                <w:sz w:val="24"/>
              </w:rPr>
              <w:t xml:space="preserve">ưa được chứng  nhận trên GCN số BO 174426.</w:t>
            </w:r>
            <w:r>
              <w:rPr>
                <w:color w:val="000000"/>
              </w:rPr>
            </w:r>
            <w:r>
              <w:rPr>
                <w:color w:val="000000"/>
              </w:rPr>
            </w:r>
          </w:p>
        </w:tc>
      </w:tr>
    </w:tbl>
    <w:p>
      <w:pPr>
        <w:pBdr/>
        <w:spacing w:line="235" w:lineRule="auto"/>
        <w:ind w:left="284"/>
        <w:jc w:val="both"/>
        <w:rPr>
          <w:b/>
          <w:bCs/>
          <w:sz w:val="18"/>
          <w:szCs w:val="18"/>
          <w:u w:val="single"/>
        </w:rPr>
      </w:pPr>
      <w:r>
        <w:rPr>
          <w:b/>
          <w:bCs/>
          <w:highlight w:val="none"/>
          <w:u w:val="single"/>
        </w:rPr>
      </w:r>
      <w:r>
        <w:rPr>
          <w:b/>
          <w:bCs/>
          <w:sz w:val="18"/>
          <w:szCs w:val="18"/>
          <w:u w:val="single"/>
        </w:rPr>
      </w:r>
      <w:r>
        <w:rPr>
          <w:b/>
          <w:bCs/>
          <w:sz w:val="18"/>
          <w:szCs w:val="18"/>
          <w:u w:val="single"/>
        </w:rPr>
      </w:r>
    </w:p>
    <w:p>
      <w:pPr>
        <w:pBdr/>
        <w:spacing w:line="235" w:lineRule="auto"/>
        <w:ind w:left="284"/>
        <w:jc w:val="both"/>
        <w:rPr>
          <w:b/>
          <w:bCs/>
          <w:highlight w:val="none"/>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highlight w:val="none"/>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296"/>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4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45"/>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45"/>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Style w:val="1045"/>
        <w:numPr>
          <w:ilvl w:val="0"/>
          <w:numId w:val="3"/>
        </w:numPr>
        <w:pBdr/>
        <w:tabs>
          <w:tab w:val="left" w:leader="none" w:pos="993"/>
        </w:tabs>
        <w:spacing w:after="120" w:before="120" w:line="264" w:lineRule="auto"/>
        <w:ind/>
        <w:jc w:val="both"/>
        <w:rPr>
          <w:spacing w:val="-2"/>
          <w:lang w:val="pt-BR"/>
        </w:rPr>
      </w:pPr>
      <w:r>
        <w:rPr>
          <w:highlight w:val="none"/>
          <w:lang w:val="pt-BR" w:bidi="pt-BR"/>
        </w:rPr>
      </w:r>
      <w:r>
        <w:rPr>
          <w:rFonts w:ascii="Times New Roman" w:hAnsi="Times New Roman" w:eastAsia="Times New Roman" w:cs="Times New Roman"/>
          <w:color w:val="000000"/>
          <w:sz w:val="24"/>
        </w:rPr>
        <w:t xml:space="preserve">Tại thời điểm khảo sát, trên đất có công trình trên đất có công trình nhà </w:t>
      </w:r>
      <w:r>
        <w:rPr>
          <w:rFonts w:ascii="Times New Roman" w:hAnsi="Times New Roman" w:eastAsia="Times New Roman" w:cs="Times New Roman"/>
          <w:color w:val="000000"/>
          <w:sz w:val="24"/>
        </w:rPr>
        <w:t xml:space="preserve">0</w:t>
      </w:r>
      <w:r>
        <w:rPr>
          <w:rFonts w:ascii="Times New Roman" w:hAnsi="Times New Roman" w:eastAsia="Times New Roman" w:cs="Times New Roman"/>
          <w:color w:val="000000"/>
          <w:sz w:val="24"/>
        </w:rPr>
        <w:t xml:space="preserve">2 tầng, kết cấu BTCT, tường xây gạch chịu lực, sàn lát gạch men, ngoại quan khá. Diện tích xây dựng tầng </w:t>
      </w:r>
      <w:r>
        <w:rPr>
          <w:rFonts w:ascii="Times New Roman" w:hAnsi="Times New Roman" w:eastAsia="Times New Roman" w:cs="Times New Roman"/>
          <w:color w:val="000000"/>
          <w:sz w:val="24"/>
        </w:rPr>
        <w:t xml:space="preserve">00</w:t>
      </w:r>
      <w:r>
        <w:rPr>
          <w:rFonts w:ascii="Times New Roman" w:hAnsi="Times New Roman" w:eastAsia="Times New Roman" w:cs="Times New Roman"/>
          <w:color w:val="000000"/>
          <w:sz w:val="24"/>
        </w:rPr>
        <w:t xml:space="preserve">1 khoảng 120,0 m</w:t>
      </w:r>
      <w:r>
        <w:rPr>
          <w:rFonts w:ascii="Times New Roman" w:hAnsi="Times New Roman" w:eastAsia="Times New Roman" w:cs="Times New Roman"/>
          <w:color w:val="000000"/>
          <w:sz w:val="24"/>
          <w:vertAlign w:val="superscript"/>
        </w:rPr>
        <w:t xml:space="preserve">2</w:t>
      </w:r>
      <w:r>
        <w:rPr>
          <w:rFonts w:ascii="Times New Roman" w:hAnsi="Times New Roman" w:eastAsia="Times New Roman" w:cs="Times New Roman"/>
          <w:color w:val="000000"/>
          <w:sz w:val="24"/>
          <w:vertAlign w:val="baseline"/>
        </w:rPr>
        <w:t xml:space="preserve">, diện tích xây dựng tầng </w:t>
      </w:r>
      <w:r>
        <w:rPr>
          <w:rFonts w:ascii="Times New Roman" w:hAnsi="Times New Roman" w:eastAsia="Times New Roman" w:cs="Times New Roman"/>
          <w:color w:val="000000"/>
          <w:sz w:val="24"/>
          <w:vertAlign w:val="baseline"/>
        </w:rPr>
        <w:t xml:space="preserve">0</w:t>
      </w:r>
      <w:r>
        <w:rPr>
          <w:rFonts w:ascii="Times New Roman" w:hAnsi="Times New Roman" w:eastAsia="Times New Roman" w:cs="Times New Roman"/>
          <w:color w:val="000000"/>
          <w:sz w:val="24"/>
          <w:vertAlign w:val="baseline"/>
        </w:rPr>
        <w:t xml:space="preserve">2 khoảng 80m</w:t>
      </w:r>
      <w:r>
        <w:rPr>
          <w:rFonts w:ascii="Times New Roman" w:hAnsi="Times New Roman" w:eastAsia="Times New Roman" w:cs="Times New Roman"/>
          <w:color w:val="000000"/>
          <w:sz w:val="24"/>
          <w:vertAlign w:val="superscript"/>
        </w:rPr>
        <w:t xml:space="preserve">2</w:t>
      </w:r>
      <w:r>
        <w:rPr>
          <w:rFonts w:ascii="Times New Roman" w:hAnsi="Times New Roman" w:eastAsia="Times New Roman" w:cs="Times New Roman"/>
          <w:color w:val="000000"/>
          <w:sz w:val="24"/>
        </w:rPr>
        <w:t xml:space="preserve">. Công trình được xây dựng vào năm 2024. Công trình ch</w:t>
      </w:r>
      <w:r>
        <w:rPr>
          <w:rFonts w:ascii="Times New Roman" w:hAnsi="Times New Roman" w:eastAsia="Times New Roman" w:cs="Times New Roman"/>
          <w:color w:val="000000"/>
          <w:sz w:val="24"/>
        </w:rPr>
        <w:t xml:space="preserve">ư</w:t>
      </w:r>
      <w:r>
        <w:rPr>
          <w:rFonts w:ascii="Times New Roman" w:hAnsi="Times New Roman" w:eastAsia="Times New Roman" w:cs="Times New Roman"/>
          <w:color w:val="000000"/>
          <w:sz w:val="24"/>
        </w:rPr>
        <w:t xml:space="preserve">a được chứng  nhận trên GCN số BO 174426. Đồng thời, </w:t>
      </w:r>
      <w:r>
        <w:rPr>
          <w:rFonts w:ascii="Times New Roman" w:hAnsi="Times New Roman" w:eastAsia="Times New Roman" w:cs="Times New Roman"/>
          <w:color w:val="000000"/>
          <w:sz w:val="24"/>
        </w:rPr>
        <w:t xml:space="preserve">T</w:t>
      </w:r>
      <w:r>
        <w:rPr>
          <w:rFonts w:ascii="Times New Roman" w:hAnsi="Times New Roman" w:eastAsia="Times New Roman" w:cs="Times New Roman"/>
          <w:color w:val="000000"/>
          <w:sz w:val="24"/>
        </w:rPr>
        <w:t xml:space="preserve">ổ thẩm định cũng không nhận được bất kỳ hồ sơ pháp lý nào liên quan tới CTXD hiện có này. Do đó, theo đề nghị của ngân hàng/khách hàng, </w:t>
      </w:r>
      <w:r>
        <w:rPr>
          <w:rFonts w:ascii="Times New Roman" w:hAnsi="Times New Roman" w:eastAsia="Times New Roman" w:cs="Times New Roman"/>
          <w:color w:val="000000"/>
          <w:sz w:val="24"/>
        </w:rPr>
        <w:t xml:space="preserve">T</w:t>
      </w:r>
      <w:r>
        <w:rPr>
          <w:rFonts w:ascii="Times New Roman" w:hAnsi="Times New Roman" w:eastAsia="Times New Roman" w:cs="Times New Roman"/>
          <w:color w:val="000000"/>
          <w:sz w:val="24"/>
        </w:rPr>
        <w:t xml:space="preserve">ổ thẩm định chỉ xác định giá trị quyền sử dụng đất, không xác định</w:t>
      </w:r>
      <w:r>
        <w:rPr>
          <w:rFonts w:ascii="Times New Roman" w:hAnsi="Times New Roman" w:eastAsia="Times New Roman" w:cs="Times New Roman"/>
          <w:color w:val="000000"/>
          <w:sz w:val="24"/>
        </w:rPr>
        <w:t xml:space="preserve"> giá trị của công trình xây dựng hiện có vào tổng giá trị nhưng vẫn coi công trình xây dựng là phần không thể tách rời của tài sản thẩm định. Kính đề nghị đơn vị sử dụng kết quả lưu ý</w:t>
      </w:r>
      <w:r>
        <w:rPr>
          <w:spacing w:val="-2"/>
          <w:lang w:val="pt-BR"/>
        </w:rPr>
        <w:t xml:space="preserve">.</w:t>
      </w:r>
      <w:r>
        <w:rPr>
          <w:spacing w:val="-2"/>
          <w:lang w:val="pt-BR"/>
        </w:rPr>
      </w:r>
      <w:r>
        <w:rPr>
          <w:spacing w:val="-2"/>
          <w:lang w:val="pt-BR"/>
        </w:rPr>
      </w:r>
    </w:p>
    <w:p>
      <w:pPr>
        <w:pStyle w:val="1045"/>
        <w:numPr>
          <w:ilvl w:val="0"/>
          <w:numId w:val="3"/>
        </w:numPr>
        <w:pBdr/>
        <w:tabs>
          <w:tab w:val="left" w:leader="none" w:pos="993"/>
        </w:tabs>
        <w:spacing w:after="120" w:before="120" w:line="264" w:lineRule="auto"/>
        <w:ind/>
        <w:jc w:val="both"/>
        <w:rPr>
          <w:spacing w:val="-2"/>
          <w:lang w:val="pt-BR"/>
        </w:rPr>
      </w:pPr>
      <w:r>
        <w:rPr>
          <w:highlight w:val="none"/>
          <w:lang w:val="pt-BR" w:bidi="pt-BR"/>
        </w:rPr>
      </w:r>
      <w:r>
        <w:rPr>
          <w:rFonts w:ascii="Times New Roman" w:hAnsi="Times New Roman" w:eastAsia="Times New Roman" w:cs="Times New Roman"/>
          <w:color w:val="000000"/>
          <w:sz w:val="24"/>
        </w:rPr>
        <w:t xml:space="preserve">Tại thời điểm khảo sát, tổ thẩm định không được Khách hàng cung cấp các thông tin quy hoạch liên quan đến thửa đất, dựa trên định vị của tài sản sau khi khảo sát, </w:t>
      </w:r>
      <w:r>
        <w:rPr>
          <w:rFonts w:ascii="Times New Roman" w:hAnsi="Times New Roman" w:eastAsia="Times New Roman" w:cs="Times New Roman"/>
          <w:color w:val="000000"/>
          <w:sz w:val="24"/>
        </w:rPr>
        <w:t xml:space="preserve">T</w:t>
      </w:r>
      <w:r>
        <w:rPr>
          <w:rFonts w:ascii="Times New Roman" w:hAnsi="Times New Roman" w:eastAsia="Times New Roman" w:cs="Times New Roman"/>
          <w:color w:val="000000"/>
          <w:sz w:val="24"/>
        </w:rPr>
        <w:t xml:space="preserve">ổ thẩm định kiểm tra quy hoạch online thông qua các trang mạng như Meeymap xác định</w:t>
      </w:r>
      <w:r>
        <w:rPr>
          <w:rFonts w:ascii="Times New Roman" w:hAnsi="Times New Roman" w:eastAsia="Times New Roman" w:cs="Times New Roman"/>
          <w:color w:val="000000"/>
          <w:sz w:val="24"/>
        </w:rPr>
        <w:t xml:space="preserve"> vị trí tài sản thuộc quy hoạch đất ở. Tổ thẩm định giả định thửa đất phù hợp quy hoạch. Đề nghị Khách hàng sử dụng kết quả lưu ý kiểm tra xác minh thêm thông tin quy hoạch nếu thấy cần thiết. Trong trường hợp Khách hàng/Ngân hàng cung cấp được Văn bản xác</w:t>
      </w:r>
      <w:r>
        <w:rPr>
          <w:rFonts w:ascii="Times New Roman" w:hAnsi="Times New Roman" w:eastAsia="Times New Roman" w:cs="Times New Roman"/>
          <w:color w:val="000000"/>
          <w:sz w:val="24"/>
        </w:rPr>
        <w:t xml:space="preserve"> nhận rõ tình trạng quy hoạch thì kết quả thẩm định giá cần được xem xét, điều chỉnh phù hợp, đồng thời chúng tôi bảo lưu quyền xem xét lại kết quả thẩm định giá.</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45"/>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45"/>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45"/>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45"/>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45"/>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45"/>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4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45"/>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45"/>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45"/>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75"/>
        <w:gridCol w:w="1710"/>
        <w:gridCol w:w="1742"/>
        <w:gridCol w:w="1742"/>
        <w:gridCol w:w="1742"/>
      </w:tblGrid>
      <w:tr>
        <w:trPr>
          <w:trHeight w:val="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75"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75"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10"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sz w:val="22"/>
                <w:szCs w:val="22"/>
              </w:rPr>
            </w:pPr>
            <w:r>
              <w:rPr>
                <w:color w:val="000000" w:themeColor="text1"/>
                <w:sz w:val="22"/>
                <w:szCs w:val="22"/>
              </w:rPr>
              <w:t xml:space="preserve">Xã Ứng Hoà,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Ứng Hoà,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Ứng Hoà,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Ứng Hoà, thành phố Hà Nội</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https://www.facebook.com/share/p/1H9HRN2vsL/</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0989263938</w:t>
            </w:r>
            <w:r>
              <w:rPr>
                <w:sz w:val="22"/>
                <w:szCs w:val="22"/>
              </w:rPr>
              <w:t xml:space="preserve"> </w:t>
            </w:r>
            <w:r>
              <w:rPr>
                <w:sz w:val="22"/>
                <w:szCs w:val="22"/>
              </w:rPr>
              <w:br/>
              <w:t xml:space="preserve">(</w:t>
            </w:r>
            <w:r>
              <w:rPr>
                <w:sz w:val="22"/>
                <w:szCs w:val="22"/>
              </w:rPr>
              <w:t xml:space="preserve">Trang Loan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0978.270.148</w:t>
            </w:r>
            <w:r>
              <w:rPr>
                <w:sz w:val="22"/>
                <w:szCs w:val="22"/>
              </w:rPr>
              <w:br/>
            </w:r>
            <w:r>
              <w:rPr>
                <w:sz w:val="22"/>
                <w:szCs w:val="22"/>
              </w:rPr>
              <w:t xml:space="preserve">(</w:t>
            </w:r>
            <w:r>
              <w:rPr>
                <w:sz w:val="22"/>
                <w:szCs w:val="22"/>
              </w:rPr>
              <w:t xml:space="preserve">Nguyễn Văn Thao</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0978.270.148</w:t>
            </w:r>
            <w:r>
              <w:rPr>
                <w:sz w:val="22"/>
                <w:szCs w:val="22"/>
              </w:rPr>
              <w:br/>
            </w:r>
            <w:r>
              <w:rPr>
                <w:sz w:val="22"/>
                <w:szCs w:val="22"/>
              </w:rPr>
              <w:t xml:space="preserve">(</w:t>
            </w:r>
            <w:r>
              <w:rPr>
                <w:sz w:val="22"/>
                <w:szCs w:val="22"/>
              </w:rPr>
              <w:t xml:space="preserve">Nguyễn Văn Thao</w:t>
            </w:r>
            <w:r>
              <w:rPr>
                <w:sz w:val="22"/>
                <w:szCs w:val="22"/>
              </w:rPr>
              <w:t xml:space="preserve">)</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Tháng 6/2026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Tháng 6/2026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Tháng 6/2026</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QSDĐ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QSDĐ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QSDĐ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QSDĐ</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tiếp giáp đường Hoàng Quốc Việt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đường 426 khoảng 100m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đường Hoàng Quốc Việt (trục liên thôn) khoảng 110m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đường Hoàng Quốc Việt (trục liên thôn) khoảng 110m</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themeColor="text1"/>
                <w:sz w:val="22"/>
                <w:szCs w:val="22"/>
              </w:rPr>
              <w:t xml:space="preserve">8,0 + vỉa hè 3,5m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themeColor="text1"/>
                <w:sz w:val="22"/>
                <w:szCs w:val="22"/>
              </w:rPr>
              <w:t xml:space="preserve">199,7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79,8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59,6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55,7</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themeColor="text1"/>
                <w:sz w:val="22"/>
                <w:szCs w:val="22"/>
              </w:rPr>
              <w:t xml:space="preserve">8,33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4,75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4,35</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2 mặt ngõ</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3 mặt đường, phố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2 mặt đường trước sau</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sz w:val="22"/>
                <w:szCs w:val="22"/>
              </w:rPr>
              <w:t xml:space="preserve">Tài sản trên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Đất trống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2.700.000.000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2.700.000.000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2.250.000.000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2.430.000.000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2.430.000.000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2.025.000.000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2.430.000.000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2.430.000.000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2.025.000.000</w:t>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30.451.128</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40.771.812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36.355.476</w:t>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pPr>
        <w:pBdr/>
        <w:tabs>
          <w:tab w:val="left" w:leader="none" w:pos="90"/>
          <w:tab w:val="left" w:leader="none" w:pos="180"/>
        </w:tabs>
        <w:spacing w:after="120" w:before="120" w:line="240"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40"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45"/>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2.430.000.000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2.430.000.000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2.025.000.000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30.451.128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40.771.812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36.355.476</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Có Giấy chứng nhận QSDĐ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Có Giấy chứng nhận QSDĐ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Có Giấy chứng nhận QSDĐ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Có Giấy chứng nhận QSDĐ</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30.451.128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40.771.812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36.355.476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tiếp giáp đường Hoàng Quốc Việt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cách đường 426 khoảng 100m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cách đường Hoàng Quốc Việt (trục liên thôn) khoảng 110m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cách đường Hoàng Quốc Việt (trục liên thôn) khoảng 110m</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1.522.556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2.038.591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1.817.774</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31.973.684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42.810.403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38.173.250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3.045.113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4.077.181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3.635.548</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35.018.797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46.887.584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41.808.798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(m)</w:t>
            </w: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8,0 + vỉa hè 3,5m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4.567.669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2.038.591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1.817.774</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39.586.466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48.926.175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43.626.572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(m²)</w:t>
            </w: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199,7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79,8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59,6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55,7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-4.567.669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-6.115.772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-5.453.321</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35.018.797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42.810.403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38.173.251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themeColor="text1"/>
                <w:sz w:val="22"/>
                <w:szCs w:val="22"/>
              </w:rPr>
              <w:t xml:space="preserve">(m)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8,33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4,75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4,35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1.218.045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1.223.154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1.454.219</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36.236.842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44.033.557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39.627.470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2 mặt ngõ</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3 mặt đường, phố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2 mặt đường trước sau</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2.436.090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-4.077.181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1.817.774</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38.672.932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39.956.376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41.445.244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619"/>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38.672.932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39.956.376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41.445.244</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38.672.932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39.956.376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41.445.244</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40.024.851</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-3,38%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-0,17%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3,55%</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gridSpan w:val="6"/>
            <w:shd w:val="clear" w:color="000000" w:fill="ffffff"/>
            <w:tcBorders/>
            <w:tcW w:w="8883"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17.357.142</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19.570.470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15.996.410</w:t>
            </w:r>
            <w:r>
              <w:rPr>
                <w:b/>
                <w:bCs/>
                <w:color w:val="000000"/>
                <w:sz w:val="22"/>
                <w:szCs w:val="22"/>
              </w:rPr>
            </w:r>
            <w:r>
              <w:rPr>
                <w:b/>
                <w:bCs/>
                <w:color w:val="000000"/>
                <w:sz w:val="22"/>
                <w:szCs w:val="22"/>
              </w:rPr>
            </w:r>
          </w:p>
        </w:tc>
      </w:tr>
      <w:tr>
        <w:trPr>
          <w:trHeight w:val="64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- 15%</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8.221.804</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815.436</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5.089.768</w:t>
            </w:r>
            <w:r>
              <w:rPr>
                <w:sz w:val="22"/>
                <w:szCs w:val="22"/>
              </w:rPr>
            </w:r>
            <w:r>
              <w:rPr>
                <w:sz w:val="22"/>
                <w:szCs w:val="22"/>
              </w:rPr>
            </w:r>
          </w:p>
        </w:tc>
      </w:tr>
    </w:tbl>
    <w:p>
      <w:pPr>
        <w:pBdr/>
        <w:spacing w:after="120" w:before="120" w:line="240"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40"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0,17% đến</w:t>
      </w:r>
      <w:r>
        <w:t xml:space="preserve"> 3,38%,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40"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0"/>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sz w:val="24"/>
                <w:szCs w:val="24"/>
              </w:rPr>
            </w:pPr>
            <w:r>
              <w:rPr>
                <w:b/>
                <w:bCs/>
                <w:color w:val="000000"/>
                <w:sz w:val="24"/>
                <w:szCs w:val="24"/>
              </w:rPr>
              <w:t xml:space="preserve">TT</w:t>
            </w:r>
            <w:r>
              <w:rPr>
                <w:b/>
                <w:bCs/>
                <w:color w:val="000000"/>
                <w:sz w:val="24"/>
                <w:szCs w:val="24"/>
              </w:rPr>
            </w:r>
            <w:r>
              <w:rPr>
                <w:b/>
                <w:bCs/>
                <w:color w:val="000000"/>
                <w:sz w:val="24"/>
                <w:szCs w:val="24"/>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sz w:val="24"/>
                <w:szCs w:val="24"/>
              </w:rPr>
            </w:pPr>
            <w:r>
              <w:rPr>
                <w:b/>
                <w:bCs/>
                <w:color w:val="000000"/>
                <w:sz w:val="24"/>
                <w:szCs w:val="24"/>
              </w:rPr>
              <w:t xml:space="preserve">Tài sản</w:t>
            </w:r>
            <w:r>
              <w:rPr>
                <w:b/>
                <w:bCs/>
                <w:color w:val="000000"/>
                <w:sz w:val="24"/>
                <w:szCs w:val="24"/>
              </w:rPr>
            </w:r>
            <w:r>
              <w:rPr>
                <w:b/>
                <w:bCs/>
                <w:color w:val="000000"/>
                <w:sz w:val="24"/>
                <w:szCs w:val="24"/>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sz w:val="24"/>
                <w:szCs w:val="24"/>
              </w:rPr>
            </w:pPr>
            <w:r>
              <w:rPr>
                <w:b/>
                <w:bCs/>
                <w:color w:val="000000"/>
                <w:sz w:val="24"/>
                <w:szCs w:val="24"/>
              </w:rPr>
              <w:t xml:space="preserve">Mức giá chỉ dẫn của các TSSS</w:t>
            </w:r>
            <w:r>
              <w:rPr>
                <w:b/>
                <w:bCs/>
                <w:color w:val="000000"/>
                <w:sz w:val="24"/>
                <w:szCs w:val="24"/>
              </w:rPr>
            </w:r>
            <w:r>
              <w:rPr>
                <w:b/>
                <w:bCs/>
                <w:color w:val="000000"/>
                <w:sz w:val="24"/>
                <w:szCs w:val="24"/>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sz w:val="24"/>
                <w:szCs w:val="24"/>
              </w:rPr>
            </w:pPr>
            <w:r>
              <w:rPr>
                <w:b/>
                <w:bCs/>
                <w:color w:val="000000"/>
                <w:sz w:val="24"/>
                <w:szCs w:val="24"/>
              </w:rPr>
              <w:t xml:space="preserve">Trọng số của các TSSS sau điều chỉnh</w:t>
            </w:r>
            <w:r>
              <w:rPr>
                <w:b/>
                <w:bCs/>
                <w:color w:val="000000"/>
                <w:sz w:val="24"/>
                <w:szCs w:val="24"/>
              </w:rPr>
            </w:r>
            <w:r>
              <w:rPr>
                <w:b/>
                <w:bCs/>
                <w:color w:val="000000"/>
                <w:sz w:val="24"/>
                <w:szCs w:val="24"/>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sz w:val="24"/>
                <w:szCs w:val="24"/>
              </w:rPr>
            </w:pPr>
            <w:r>
              <w:rPr>
                <w:b/>
                <w:bCs/>
                <w:color w:val="000000"/>
                <w:sz w:val="24"/>
                <w:szCs w:val="24"/>
              </w:rPr>
              <w:t xml:space="preserve">Giá trị trung bình của mức giá chỉ dẫn sau điều chỉnh</w:t>
            </w:r>
            <w:r>
              <w:rPr>
                <w:b/>
                <w:bCs/>
                <w:color w:val="000000"/>
                <w:sz w:val="24"/>
                <w:szCs w:val="24"/>
              </w:rPr>
            </w:r>
            <w:r>
              <w:rPr>
                <w:b/>
                <w:bCs/>
                <w:color w:val="000000"/>
                <w:sz w:val="24"/>
                <w:szCs w:val="24"/>
              </w:rPr>
            </w:r>
          </w:p>
        </w:tc>
      </w:tr>
      <w:tr>
        <w:trPr>
          <w:trHeight w:val="0"/>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sz w:val="24"/>
                <w:szCs w:val="24"/>
              </w:rPr>
            </w:pPr>
            <w:r>
              <w:rPr>
                <w:color w:val="000000"/>
                <w:sz w:val="24"/>
                <w:szCs w:val="24"/>
              </w:rPr>
              <w:t xml:space="preserve">1</w:t>
            </w:r>
            <w:r>
              <w:rPr>
                <w:color w:val="000000"/>
                <w:sz w:val="24"/>
                <w:szCs w:val="24"/>
              </w:rPr>
            </w:r>
            <w:r>
              <w:rPr>
                <w:color w:val="000000"/>
                <w:sz w:val="24"/>
                <w:szCs w:val="24"/>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sz w:val="24"/>
                <w:szCs w:val="24"/>
              </w:rPr>
            </w:pPr>
            <w:r>
              <w:rPr>
                <w:color w:val="000000"/>
                <w:sz w:val="24"/>
                <w:szCs w:val="24"/>
              </w:rPr>
              <w:t xml:space="preserve">Tài sản so sánh 1</w:t>
            </w:r>
            <w:r>
              <w:rPr>
                <w:color w:val="000000"/>
                <w:sz w:val="24"/>
                <w:szCs w:val="24"/>
              </w:rPr>
            </w:r>
            <w:r>
              <w:rPr>
                <w:color w:val="000000"/>
                <w:sz w:val="24"/>
                <w:szCs w:val="24"/>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sz w:val="24"/>
                <w:szCs w:val="24"/>
              </w:rPr>
            </w:pPr>
            <w:r>
              <w:rPr>
                <w:color w:val="000000"/>
                <w:sz w:val="24"/>
                <w:szCs w:val="24"/>
              </w:rPr>
              <w:t xml:space="preserve">38.672.932</w:t>
            </w:r>
            <w:r>
              <w:rPr>
                <w:color w:val="000000"/>
                <w:sz w:val="24"/>
                <w:szCs w:val="24"/>
              </w:rPr>
            </w:r>
            <w:r>
              <w:rPr>
                <w:color w:val="000000"/>
                <w:sz w:val="24"/>
                <w:szCs w:val="24"/>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sz w:val="24"/>
                <w:szCs w:val="24"/>
              </w:rPr>
            </w:pPr>
            <w:r>
              <w:rPr>
                <w:color w:val="000000"/>
                <w:sz w:val="24"/>
                <w:szCs w:val="24"/>
              </w:rPr>
              <w:t xml:space="preserve">33,33</w:t>
            </w:r>
            <w:r>
              <w:rPr>
                <w:color w:val="000000"/>
                <w:sz w:val="24"/>
                <w:szCs w:val="24"/>
              </w:rPr>
              <w:t xml:space="preserve">%</w:t>
            </w:r>
            <w:r>
              <w:rPr>
                <w:color w:val="000000"/>
                <w:sz w:val="24"/>
                <w:szCs w:val="24"/>
              </w:rPr>
            </w:r>
            <w:r>
              <w:rPr>
                <w:color w:val="000000"/>
                <w:sz w:val="24"/>
                <w:szCs w:val="24"/>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sz w:val="24"/>
                <w:szCs w:val="24"/>
              </w:rPr>
            </w:pPr>
            <w:r>
              <w:rPr>
                <w:color w:val="000000"/>
                <w:sz w:val="24"/>
                <w:szCs w:val="24"/>
              </w:rPr>
              <w:t xml:space="preserve">12.893.556</w:t>
            </w:r>
            <w:r>
              <w:rPr>
                <w:color w:val="000000"/>
                <w:sz w:val="24"/>
                <w:szCs w:val="24"/>
              </w:rPr>
            </w:r>
            <w:r>
              <w:rPr>
                <w:color w:val="000000"/>
                <w:sz w:val="24"/>
                <w:szCs w:val="24"/>
              </w:rPr>
            </w:r>
          </w:p>
        </w:tc>
      </w:tr>
      <w:tr>
        <w:trPr>
          <w:trHeight w:val="0"/>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sz w:val="24"/>
                <w:szCs w:val="24"/>
              </w:rPr>
            </w:pPr>
            <w:r>
              <w:rPr>
                <w:color w:val="000000"/>
                <w:sz w:val="24"/>
                <w:szCs w:val="24"/>
              </w:rPr>
              <w:t xml:space="preserve">2</w:t>
            </w:r>
            <w:r>
              <w:rPr>
                <w:color w:val="000000"/>
                <w:sz w:val="24"/>
                <w:szCs w:val="24"/>
              </w:rPr>
            </w:r>
            <w:r>
              <w:rPr>
                <w:color w:val="000000"/>
                <w:sz w:val="24"/>
                <w:szCs w:val="24"/>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sz w:val="24"/>
                <w:szCs w:val="24"/>
              </w:rPr>
            </w:pPr>
            <w:r>
              <w:rPr>
                <w:color w:val="000000"/>
                <w:sz w:val="24"/>
                <w:szCs w:val="24"/>
              </w:rPr>
              <w:t xml:space="preserve">Tài sản so sánh 2</w:t>
            </w:r>
            <w:r>
              <w:rPr>
                <w:color w:val="000000"/>
                <w:sz w:val="24"/>
                <w:szCs w:val="24"/>
              </w:rPr>
            </w:r>
            <w:r>
              <w:rPr>
                <w:color w:val="000000"/>
                <w:sz w:val="24"/>
                <w:szCs w:val="24"/>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sz w:val="24"/>
                <w:szCs w:val="24"/>
              </w:rPr>
            </w:pPr>
            <w:r>
              <w:rPr>
                <w:color w:val="000000"/>
                <w:sz w:val="24"/>
                <w:szCs w:val="24"/>
              </w:rPr>
              <w:t xml:space="preserve">39.956.376</w:t>
            </w:r>
            <w:r>
              <w:rPr>
                <w:color w:val="000000"/>
                <w:sz w:val="24"/>
                <w:szCs w:val="24"/>
              </w:rPr>
            </w:r>
            <w:r>
              <w:rPr>
                <w:color w:val="000000"/>
                <w:sz w:val="24"/>
                <w:szCs w:val="24"/>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sz w:val="24"/>
                <w:szCs w:val="24"/>
              </w:rPr>
            </w:pPr>
            <w:r>
              <w:rPr>
                <w:color w:val="000000"/>
                <w:sz w:val="24"/>
                <w:szCs w:val="24"/>
              </w:rPr>
              <w:t xml:space="preserve">33,33</w:t>
            </w:r>
            <w:r>
              <w:rPr>
                <w:color w:val="000000"/>
                <w:sz w:val="24"/>
                <w:szCs w:val="24"/>
              </w:rPr>
              <w:t xml:space="preserve">%</w:t>
            </w:r>
            <w:r>
              <w:rPr>
                <w:color w:val="000000"/>
                <w:sz w:val="24"/>
                <w:szCs w:val="24"/>
              </w:rPr>
            </w:r>
            <w:r>
              <w:rPr>
                <w:color w:val="000000"/>
                <w:sz w:val="24"/>
                <w:szCs w:val="24"/>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sz w:val="24"/>
                <w:szCs w:val="24"/>
              </w:rPr>
            </w:pPr>
            <w:r>
              <w:rPr>
                <w:color w:val="000000"/>
                <w:sz w:val="24"/>
                <w:szCs w:val="24"/>
              </w:rPr>
              <w:t xml:space="preserve">13.317.460</w:t>
            </w:r>
            <w:r>
              <w:rPr>
                <w:color w:val="000000"/>
                <w:sz w:val="24"/>
                <w:szCs w:val="24"/>
              </w:rPr>
            </w:r>
            <w:r>
              <w:rPr>
                <w:color w:val="000000"/>
                <w:sz w:val="24"/>
                <w:szCs w:val="24"/>
              </w:rPr>
            </w:r>
          </w:p>
        </w:tc>
      </w:tr>
      <w:tr>
        <w:trPr>
          <w:trHeight w:val="0"/>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sz w:val="24"/>
                <w:szCs w:val="24"/>
              </w:rPr>
            </w:pPr>
            <w:r>
              <w:rPr>
                <w:color w:val="000000"/>
                <w:sz w:val="24"/>
                <w:szCs w:val="24"/>
              </w:rPr>
              <w:t xml:space="preserve">3</w:t>
            </w:r>
            <w:r>
              <w:rPr>
                <w:color w:val="000000"/>
                <w:sz w:val="24"/>
                <w:szCs w:val="24"/>
              </w:rPr>
            </w:r>
            <w:r>
              <w:rPr>
                <w:color w:val="000000"/>
                <w:sz w:val="24"/>
                <w:szCs w:val="24"/>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sz w:val="24"/>
                <w:szCs w:val="24"/>
              </w:rPr>
            </w:pPr>
            <w:r>
              <w:rPr>
                <w:color w:val="000000"/>
                <w:sz w:val="24"/>
                <w:szCs w:val="24"/>
              </w:rPr>
              <w:t xml:space="preserve">Tài sản so sánh 3</w:t>
            </w:r>
            <w:r>
              <w:rPr>
                <w:color w:val="000000"/>
                <w:sz w:val="24"/>
                <w:szCs w:val="24"/>
              </w:rPr>
            </w:r>
            <w:r>
              <w:rPr>
                <w:color w:val="000000"/>
                <w:sz w:val="24"/>
                <w:szCs w:val="24"/>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sz w:val="24"/>
                <w:szCs w:val="24"/>
              </w:rPr>
            </w:pPr>
            <w:r>
              <w:rPr>
                <w:color w:val="000000"/>
                <w:sz w:val="24"/>
                <w:szCs w:val="24"/>
              </w:rPr>
              <w:t xml:space="preserve">41.445.244</w:t>
            </w:r>
            <w:r>
              <w:rPr>
                <w:color w:val="000000"/>
                <w:sz w:val="24"/>
                <w:szCs w:val="24"/>
              </w:rPr>
            </w:r>
            <w:r>
              <w:rPr>
                <w:color w:val="000000"/>
                <w:sz w:val="24"/>
                <w:szCs w:val="24"/>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sz w:val="24"/>
                <w:szCs w:val="24"/>
              </w:rPr>
            </w:pPr>
            <w:r>
              <w:rPr>
                <w:color w:val="000000"/>
                <w:sz w:val="24"/>
                <w:szCs w:val="24"/>
              </w:rPr>
              <w:t xml:space="preserve">33,33</w:t>
            </w:r>
            <w:r>
              <w:rPr>
                <w:color w:val="000000"/>
                <w:sz w:val="24"/>
                <w:szCs w:val="24"/>
              </w:rPr>
              <w:t xml:space="preserve">%</w:t>
            </w:r>
            <w:r>
              <w:rPr>
                <w:color w:val="000000"/>
                <w:sz w:val="24"/>
                <w:szCs w:val="24"/>
              </w:rPr>
            </w:r>
            <w:r>
              <w:rPr>
                <w:color w:val="000000"/>
                <w:sz w:val="24"/>
                <w:szCs w:val="24"/>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sz w:val="24"/>
                <w:szCs w:val="24"/>
              </w:rPr>
            </w:pPr>
            <w:r>
              <w:rPr>
                <w:color w:val="000000"/>
                <w:sz w:val="24"/>
                <w:szCs w:val="24"/>
              </w:rPr>
              <w:t xml:space="preserve">13.813.700</w:t>
            </w:r>
            <w:r>
              <w:rPr>
                <w:color w:val="000000"/>
                <w:sz w:val="24"/>
                <w:szCs w:val="24"/>
              </w:rPr>
            </w:r>
            <w:r>
              <w:rPr>
                <w:color w:val="000000"/>
                <w:sz w:val="24"/>
                <w:szCs w:val="24"/>
              </w:rPr>
            </w:r>
          </w:p>
        </w:tc>
      </w:tr>
      <w:tr>
        <w:trPr>
          <w:trHeight w:val="0"/>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sz w:val="24"/>
                <w:szCs w:val="24"/>
              </w:rPr>
            </w:pPr>
            <w:r>
              <w:rPr>
                <w:b/>
                <w:bCs/>
                <w:color w:val="000000"/>
                <w:sz w:val="24"/>
                <w:szCs w:val="24"/>
              </w:rPr>
              <w:t xml:space="preserve">Giá trị bình quân theo trọng số:</w:t>
            </w:r>
            <w:r>
              <w:rPr>
                <w:b/>
                <w:bCs/>
                <w:color w:val="000000"/>
                <w:sz w:val="24"/>
                <w:szCs w:val="24"/>
              </w:rPr>
            </w:r>
            <w:r>
              <w:rPr>
                <w:b/>
                <w:bCs/>
                <w:color w:val="000000"/>
                <w:sz w:val="24"/>
                <w:szCs w:val="24"/>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sz w:val="24"/>
                <w:szCs w:val="24"/>
              </w:rPr>
            </w:pPr>
            <w:r>
              <w:rPr>
                <w:b/>
                <w:bCs/>
                <w:color w:val="000000" w:themeColor="text1"/>
                <w:sz w:val="24"/>
                <w:szCs w:val="24"/>
                <w:lang w:val="vi-VN"/>
              </w:rPr>
              <w:t xml:space="preserve">40.024.716</w:t>
            </w:r>
            <w:r>
              <w:rPr>
                <w:b/>
                <w:bCs/>
                <w:color w:val="000000"/>
                <w:sz w:val="24"/>
                <w:szCs w:val="24"/>
              </w:rPr>
            </w:r>
            <w:r>
              <w:rPr>
                <w:b/>
                <w:bCs/>
                <w:color w:val="000000"/>
                <w:sz w:val="24"/>
                <w:szCs w:val="24"/>
              </w:rPr>
            </w:r>
          </w:p>
        </w:tc>
      </w:tr>
      <w:tr>
        <w:trPr>
          <w:trHeight w:val="0"/>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sz w:val="24"/>
                <w:szCs w:val="24"/>
              </w:rPr>
            </w:pPr>
            <w:r>
              <w:rPr>
                <w:b/>
                <w:bCs/>
                <w:color w:val="000000"/>
                <w:sz w:val="24"/>
                <w:szCs w:val="24"/>
              </w:rPr>
              <w:t xml:space="preserve">Làm tròn:</w:t>
            </w:r>
            <w:r>
              <w:rPr>
                <w:b/>
                <w:bCs/>
                <w:color w:val="000000"/>
                <w:sz w:val="24"/>
                <w:szCs w:val="24"/>
              </w:rPr>
            </w:r>
            <w:r>
              <w:rPr>
                <w:b/>
                <w:bCs/>
                <w:color w:val="000000"/>
                <w:sz w:val="24"/>
                <w:szCs w:val="24"/>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sz w:val="24"/>
                <w:szCs w:val="24"/>
              </w:rPr>
            </w:pPr>
            <w:r>
              <w:rPr>
                <w:b/>
                <w:bCs/>
                <w:color w:val="000000" w:themeColor="text1"/>
                <w:sz w:val="24"/>
                <w:szCs w:val="24"/>
                <w:lang w:val="vi-VN"/>
              </w:rPr>
              <w:t xml:space="preserve">40.000.000</w:t>
            </w:r>
            <w:r>
              <w:rPr>
                <w:b/>
                <w:bCs/>
                <w:color w:val="000000"/>
                <w:sz w:val="24"/>
                <w:szCs w:val="24"/>
              </w:rPr>
            </w:r>
            <w:r>
              <w:rPr>
                <w:b/>
                <w:bCs/>
                <w:color w:val="000000"/>
                <w:sz w:val="24"/>
                <w:szCs w:val="24"/>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40.000.000</w:t>
      </w:r>
      <w:r>
        <w:rPr>
          <w:b/>
          <w:bCs/>
          <w:color w:val="000000" w:themeColor="text1"/>
        </w:rPr>
        <w:t xml:space="preserve"> </w:t>
      </w:r>
      <w:r>
        <w:rPr>
          <w:b/>
          <w:bCs/>
        </w:rPr>
        <w:t xml:space="preserve">đồng/m².</w:t>
      </w:r>
      <w:r>
        <w:rPr>
          <w:b/>
          <w:bCs/>
        </w:rPr>
      </w:r>
      <w:r>
        <w:rPr>
          <w:b/>
          <w:bCs/>
        </w:rPr>
      </w:r>
    </w:p>
    <w:p>
      <w:pPr>
        <w:pStyle w:val="1045"/>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45"/>
        <w:pBdr/>
        <w:tabs>
          <w:tab w:val="left" w:leader="none" w:pos="993"/>
        </w:tabs>
        <w:spacing w:after="120" w:before="120" w:line="276" w:lineRule="auto"/>
        <w:ind w:left="0"/>
        <w:jc w:val="both"/>
        <w:rPr>
          <w:highlight w:val="none"/>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7/2026</w:t>
      </w:r>
      <w:r>
        <w:t xml:space="preserve"> </w:t>
      </w:r>
      <w:r>
        <w:t xml:space="preserve">ước tính </w:t>
      </w:r>
      <w:r>
        <w:t xml:space="preserve">như sau</w:t>
      </w:r>
      <w:r>
        <w:rPr>
          <w:highlight w:val="none"/>
        </w:rPr>
      </w:r>
    </w:p>
    <w:tbl>
      <w:tblPr>
        <w:tblW w:w="5038"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675"/>
        <w:gridCol w:w="2376"/>
        <w:gridCol w:w="1802"/>
        <w:gridCol w:w="2581"/>
        <w:gridCol w:w="2164"/>
      </w:tblGrid>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376"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802"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581"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759" w:type="dxa"/>
            <w:vAlign w:val="center"/>
            <w:textDirection w:val="lrTb"/>
            <w:noWrap w:val="false"/>
          </w:tcPr>
          <w:p>
            <w:pPr>
              <w:pBdr/>
              <w:spacing w:after="40" w:before="40" w:line="348" w:lineRule="auto"/>
              <w:ind/>
              <w:jc w:val="both"/>
              <w:rPr>
                <w:b/>
                <w:bCs/>
              </w:rPr>
            </w:pPr>
            <w:r>
              <w:rPr>
                <w:b/>
                <w:bCs/>
                <w:color w:val="000000"/>
              </w:rPr>
              <w:t xml:space="preserve">Quyền sử dụng đất tại thửa đất số: 149, tờ bản đồ số: 39 có địa chỉ: Thôn Kiện Vũ, xã Trầm Lộng, huyện Ứng Hoà, thành phố Hà Nộ</w:t>
            </w:r>
            <w:r>
              <w:rPr>
                <w:b/>
                <w:bCs/>
                <w:color w:val="000000"/>
              </w:rPr>
              <w:t xml:space="preserve">i (</w:t>
            </w:r>
            <w:r>
              <w:rPr>
                <w:b/>
                <w:bCs/>
                <w:i/>
                <w:iCs/>
                <w:color w:val="000000"/>
              </w:rPr>
              <w:t xml:space="preserve">nay là xã Ứng Hoà, thành phố Hà Nội</w:t>
            </w:r>
            <w:r>
              <w:rPr>
                <w:b/>
                <w:bCs/>
                <w:color w:val="000000"/>
              </w:rPr>
              <w:t xml:space="preserve">) theo Giấy chứng nhận quyền sử dụng đất, quyền sở hữu nhà ở và tài sản khác gắn liền với đất số: BO 174426, số vào sổ cấp GCN: CH00426/ Ứng Hoà do Uỷ ban nhân dân huyện Ứng Hoà cấp ngày 15/5/2013 cho Ông Lê Quang Khải</w:t>
            </w:r>
            <w:r>
              <w:rPr>
                <w:b/>
                <w:bCs/>
              </w:rPr>
              <w:t xml:space="preserve">.</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b w:val="0"/>
                <w:bCs w:val="0"/>
              </w:rPr>
            </w:pPr>
            <w:r>
              <w:rPr>
                <w:b w:val="0"/>
                <w:bCs w:val="0"/>
              </w:rPr>
            </w:r>
            <w:r>
              <w:rPr>
                <w:b w:val="0"/>
                <w:bCs w:val="0"/>
              </w:rPr>
            </w:r>
            <w:r>
              <w:rPr>
                <w:b w:val="0"/>
                <w:bCs w:val="0"/>
              </w:rPr>
            </w:r>
          </w:p>
        </w:tc>
        <w:tc>
          <w:tcPr>
            <w:shd w:val="clear" w:color="000000" w:fill="ffffff"/>
            <w:tcBorders/>
            <w:tcW w:w="2376" w:type="dxa"/>
            <w:vAlign w:val="center"/>
            <w:textDirection w:val="lrTb"/>
            <w:noWrap w:val="false"/>
          </w:tcPr>
          <w:p>
            <w:pPr>
              <w:pBdr/>
              <w:spacing w:after="40" w:before="40" w:line="288" w:lineRule="auto"/>
              <w:ind/>
              <w:rPr>
                <w:b w:val="0"/>
                <w:bCs w:val="0"/>
              </w:rPr>
            </w:pPr>
            <w:r>
              <w:rPr>
                <w:b w:val="0"/>
                <w:bCs w:val="0"/>
              </w:rPr>
              <w:t xml:space="preserve">Đất ở tại nông thôn</w:t>
            </w:r>
            <w:r>
              <w:rPr>
                <w:b w:val="0"/>
                <w:bCs w:val="0"/>
              </w:rPr>
            </w:r>
            <w:r>
              <w:rPr>
                <w:b w:val="0"/>
                <w:bCs w:val="0"/>
              </w:rPr>
            </w:r>
          </w:p>
        </w:tc>
        <w:tc>
          <w:tcPr>
            <w:tcBorders/>
            <w:tcW w:w="1802" w:type="dxa"/>
            <w:vAlign w:val="center"/>
            <w:textDirection w:val="lrTb"/>
            <w:noWrap/>
          </w:tcPr>
          <w:p>
            <w:pPr>
              <w:pBdr/>
              <w:spacing w:after="40" w:before="40" w:line="288" w:lineRule="auto"/>
              <w:ind/>
              <w:jc w:val="center"/>
              <w:rPr>
                <w:color w:val="000000"/>
              </w:rPr>
            </w:pPr>
            <w:r>
              <w:rPr>
                <w:color w:val="000000" w:themeColor="text1"/>
              </w:rPr>
              <w:t xml:space="preserve">199,7</w:t>
            </w:r>
            <w:r>
              <w:rPr>
                <w:color w:val="000000"/>
              </w:rPr>
            </w:r>
            <w:r>
              <w:rPr>
                <w:color w:val="000000"/>
              </w:rPr>
            </w:r>
          </w:p>
        </w:tc>
        <w:tc>
          <w:tcPr>
            <w:shd w:val="clear" w:color="000000" w:fill="ffffff"/>
            <w:tcBorders/>
            <w:tcW w:w="2581" w:type="dxa"/>
            <w:vAlign w:val="center"/>
            <w:textDirection w:val="lrTb"/>
            <w:noWrap w:val="false"/>
          </w:tcPr>
          <w:p>
            <w:pPr>
              <w:pBdr/>
              <w:spacing w:after="40" w:before="40" w:line="288" w:lineRule="auto"/>
              <w:ind/>
              <w:jc w:val="center"/>
              <w:rPr/>
            </w:pPr>
            <w:r>
              <w:rPr>
                <w:color w:val="000000" w:themeColor="text1"/>
              </w:rPr>
              <w:t xml:space="preserve">40.000.000</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7.988.000.000</w:t>
            </w:r>
            <w:r/>
          </w:p>
        </w:tc>
      </w:tr>
      <w:tr>
        <w:trPr>
          <w:trHeight w:val="20"/>
        </w:trPr>
        <w:tc>
          <w:tcPr>
            <w:gridSpan w:val="4"/>
            <w:tcBorders/>
            <w:tcW w:w="7434"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rPr>
              <w:t xml:space="preserve">7.988.000.000</w:t>
            </w:r>
            <w:r>
              <w:rPr>
                <w:b/>
                <w:bCs/>
                <w:color w:val="000000"/>
              </w:rPr>
            </w:r>
            <w:r>
              <w:rPr>
                <w:b/>
                <w:bCs/>
                <w:color w:val="000000"/>
              </w:rPr>
            </w:r>
          </w:p>
        </w:tc>
      </w:tr>
      <w:tr>
        <w:trPr>
          <w:trHeight w:val="20"/>
        </w:trPr>
        <w:tc>
          <w:tcPr>
            <w:gridSpan w:val="5"/>
            <w:tcBorders/>
            <w:tcW w:w="9598"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Bảy tỷ, chín trăm tám mươi tám triệu đồng</w:t>
            </w:r>
            <w:r>
              <w:rPr>
                <w:b/>
                <w:bCs/>
                <w:i/>
                <w:iCs/>
                <w:color w:val="000000"/>
              </w:rPr>
              <w:t xml:space="preserve">./.)</w:t>
            </w:r>
            <w:r>
              <w:rPr>
                <w:b/>
                <w:bCs/>
                <w:i/>
                <w:iCs/>
                <w:color w:val="000000"/>
              </w:rPr>
            </w:r>
            <w:r>
              <w:rPr>
                <w:b/>
                <w:bCs/>
                <w:i/>
                <w:iCs/>
                <w:color w:val="000000"/>
              </w:rPr>
            </w:r>
          </w:p>
        </w:tc>
      </w:tr>
    </w:tbl>
    <w:p>
      <w:pPr>
        <w:pStyle w:val="1045"/>
        <w:pBdr/>
        <w:tabs>
          <w:tab w:val="left" w:leader="none" w:pos="993"/>
        </w:tabs>
        <w:spacing w:after="120" w:before="120" w:line="319"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45"/>
        <w:numPr>
          <w:ilvl w:val="0"/>
          <w:numId w:val="4"/>
        </w:numPr>
        <w:pBdr/>
        <w:tabs>
          <w:tab w:val="left" w:leader="none" w:pos="993"/>
        </w:tabs>
        <w:spacing w:after="120" w:before="120" w:line="319"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45"/>
        <w:pBdr/>
        <w:tabs>
          <w:tab w:val="left" w:leader="none" w:pos="993"/>
        </w:tabs>
        <w:spacing w:after="120" w:before="120" w:line="319"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45"/>
        <w:numPr>
          <w:ilvl w:val="0"/>
          <w:numId w:val="5"/>
        </w:numPr>
        <w:pBdr/>
        <w:tabs>
          <w:tab w:val="left" w:leader="none" w:pos="993"/>
        </w:tabs>
        <w:spacing w:after="120" w:before="120" w:line="319"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45"/>
        <w:numPr>
          <w:ilvl w:val="0"/>
          <w:numId w:val="5"/>
        </w:numPr>
        <w:pBdr/>
        <w:tabs>
          <w:tab w:val="left" w:leader="none" w:pos="993"/>
        </w:tabs>
        <w:spacing w:after="120" w:before="120" w:line="319"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45"/>
        <w:numPr>
          <w:ilvl w:val="0"/>
          <w:numId w:val="5"/>
        </w:numPr>
        <w:pBdr/>
        <w:tabs>
          <w:tab w:val="left" w:leader="none" w:pos="993"/>
        </w:tabs>
        <w:spacing w:after="120" w:before="120" w:line="319"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45"/>
        <w:numPr>
          <w:ilvl w:val="0"/>
          <w:numId w:val="5"/>
        </w:numPr>
        <w:pBdr/>
        <w:tabs>
          <w:tab w:val="left" w:leader="none" w:pos="993"/>
        </w:tabs>
        <w:spacing w:after="120" w:before="120" w:line="319"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45"/>
        <w:numPr>
          <w:ilvl w:val="0"/>
          <w:numId w:val="10"/>
        </w:numPr>
        <w:pBdr/>
        <w:spacing w:after="120" w:before="120" w:line="319"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45"/>
        <w:numPr>
          <w:ilvl w:val="0"/>
          <w:numId w:val="10"/>
        </w:numPr>
        <w:pBdr/>
        <w:spacing w:after="120" w:before="120" w:line="319"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45"/>
        <w:numPr>
          <w:ilvl w:val="0"/>
          <w:numId w:val="10"/>
        </w:numPr>
        <w:pBdr/>
        <w:spacing w:after="120" w:before="120" w:line="319"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45"/>
        <w:pBdr/>
        <w:tabs>
          <w:tab w:val="left" w:leader="none" w:pos="993"/>
        </w:tabs>
        <w:spacing w:after="120" w:before="120" w:line="319"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45"/>
        <w:numPr>
          <w:ilvl w:val="0"/>
          <w:numId w:val="5"/>
        </w:numPr>
        <w:pBdr/>
        <w:tabs>
          <w:tab w:val="left" w:leader="none" w:pos="993"/>
        </w:tabs>
        <w:spacing w:after="120" w:before="120" w:line="319"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45"/>
        <w:numPr>
          <w:ilvl w:val="0"/>
          <w:numId w:val="5"/>
        </w:numPr>
        <w:pBdr/>
        <w:tabs>
          <w:tab w:val="left" w:leader="none" w:pos="993"/>
        </w:tabs>
        <w:spacing w:after="120" w:before="120" w:line="319"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45"/>
        <w:numPr>
          <w:ilvl w:val="0"/>
          <w:numId w:val="5"/>
        </w:numPr>
        <w:pBdr/>
        <w:tabs>
          <w:tab w:val="left" w:leader="none" w:pos="993"/>
        </w:tabs>
        <w:spacing w:after="120" w:before="120" w:line="319"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45"/>
        <w:numPr>
          <w:ilvl w:val="0"/>
          <w:numId w:val="5"/>
        </w:numPr>
        <w:pBdr/>
        <w:tabs>
          <w:tab w:val="left" w:leader="none" w:pos="993"/>
        </w:tabs>
        <w:spacing w:after="120" w:before="120" w:line="319"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45"/>
        <w:numPr>
          <w:ilvl w:val="0"/>
          <w:numId w:val="5"/>
        </w:numPr>
        <w:pBdr/>
        <w:tabs>
          <w:tab w:val="left" w:leader="none" w:pos="993"/>
        </w:tabs>
        <w:spacing w:after="120" w:before="120" w:line="319"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45"/>
        <w:numPr>
          <w:ilvl w:val="0"/>
          <w:numId w:val="5"/>
        </w:numPr>
        <w:pBdr/>
        <w:tabs>
          <w:tab w:val="left" w:leader="none" w:pos="993"/>
        </w:tabs>
        <w:spacing w:after="120" w:before="120" w:line="319"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45"/>
        <w:numPr>
          <w:ilvl w:val="0"/>
          <w:numId w:val="5"/>
        </w:numPr>
        <w:pBdr/>
        <w:spacing w:after="120" w:before="120" w:line="319"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45"/>
        <w:numPr>
          <w:ilvl w:val="0"/>
          <w:numId w:val="5"/>
        </w:numPr>
        <w:pBdr/>
        <w:tabs>
          <w:tab w:val="left" w:leader="none" w:pos="993"/>
        </w:tabs>
        <w:spacing w:after="120" w:before="120" w:line="319"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45"/>
        <w:numPr>
          <w:ilvl w:val="0"/>
          <w:numId w:val="43"/>
        </w:numPr>
        <w:pBdr/>
        <w:tabs>
          <w:tab w:val="left" w:leader="none" w:pos="993"/>
        </w:tabs>
        <w:spacing w:after="120" w:before="120" w:line="319" w:lineRule="auto"/>
        <w:ind/>
        <w:jc w:val="both"/>
        <w:rPr>
          <w:spacing w:val="-2"/>
          <w:lang w:val="pt-BR"/>
        </w:rPr>
      </w:pPr>
      <w:r>
        <w:rPr>
          <w:highlight w:val="none"/>
          <w:lang w:val="pt-BR" w:bidi="pt-BR"/>
        </w:rPr>
      </w:r>
      <w:r>
        <w:rPr>
          <w:rFonts w:ascii="Times New Roman" w:hAnsi="Times New Roman" w:eastAsia="Times New Roman" w:cs="Times New Roman"/>
          <w:color w:val="000000"/>
          <w:sz w:val="24"/>
        </w:rPr>
        <w:t xml:space="preserve">Tại thời điểm khảo sát, trên đất có công trình trên đất có công trình nhà </w:t>
      </w:r>
      <w:r>
        <w:rPr>
          <w:rFonts w:ascii="Times New Roman" w:hAnsi="Times New Roman" w:eastAsia="Times New Roman" w:cs="Times New Roman"/>
          <w:color w:val="000000"/>
          <w:sz w:val="24"/>
        </w:rPr>
        <w:t xml:space="preserve">0</w:t>
      </w:r>
      <w:r>
        <w:rPr>
          <w:rFonts w:ascii="Times New Roman" w:hAnsi="Times New Roman" w:eastAsia="Times New Roman" w:cs="Times New Roman"/>
          <w:color w:val="000000"/>
          <w:sz w:val="24"/>
        </w:rPr>
        <w:t xml:space="preserve">2 tầng, kết cấu BTCT, tường xây gạch chịu lực, sàn lát gạch men, ngoại quan khá. Diện tích xây dựng tầng </w:t>
      </w:r>
      <w:r>
        <w:rPr>
          <w:rFonts w:ascii="Times New Roman" w:hAnsi="Times New Roman" w:eastAsia="Times New Roman" w:cs="Times New Roman"/>
          <w:color w:val="000000"/>
          <w:sz w:val="24"/>
        </w:rPr>
        <w:t xml:space="preserve">00</w:t>
      </w:r>
      <w:r>
        <w:rPr>
          <w:rFonts w:ascii="Times New Roman" w:hAnsi="Times New Roman" w:eastAsia="Times New Roman" w:cs="Times New Roman"/>
          <w:color w:val="000000"/>
          <w:sz w:val="24"/>
        </w:rPr>
        <w:t xml:space="preserve">1 khoảng 120,0 m</w:t>
      </w:r>
      <w:r>
        <w:rPr>
          <w:rFonts w:ascii="Times New Roman" w:hAnsi="Times New Roman" w:eastAsia="Times New Roman" w:cs="Times New Roman"/>
          <w:color w:val="000000"/>
          <w:sz w:val="24"/>
          <w:vertAlign w:val="superscript"/>
        </w:rPr>
        <w:t xml:space="preserve">2</w:t>
      </w:r>
      <w:r>
        <w:rPr>
          <w:rFonts w:ascii="Times New Roman" w:hAnsi="Times New Roman" w:eastAsia="Times New Roman" w:cs="Times New Roman"/>
          <w:color w:val="000000"/>
          <w:sz w:val="24"/>
          <w:vertAlign w:val="baseline"/>
        </w:rPr>
        <w:t xml:space="preserve">, diện tích xây dựng tầng </w:t>
      </w:r>
      <w:r>
        <w:rPr>
          <w:rFonts w:ascii="Times New Roman" w:hAnsi="Times New Roman" w:eastAsia="Times New Roman" w:cs="Times New Roman"/>
          <w:color w:val="000000"/>
          <w:sz w:val="24"/>
          <w:vertAlign w:val="baseline"/>
        </w:rPr>
        <w:t xml:space="preserve">000</w:t>
      </w:r>
      <w:r>
        <w:rPr>
          <w:rFonts w:ascii="Times New Roman" w:hAnsi="Times New Roman" w:eastAsia="Times New Roman" w:cs="Times New Roman"/>
          <w:color w:val="000000"/>
          <w:sz w:val="24"/>
          <w:vertAlign w:val="baseline"/>
        </w:rPr>
        <w:t xml:space="preserve">2 khoảng 80m</w:t>
      </w:r>
      <w:r>
        <w:rPr>
          <w:rFonts w:ascii="Times New Roman" w:hAnsi="Times New Roman" w:eastAsia="Times New Roman" w:cs="Times New Roman"/>
          <w:color w:val="000000"/>
          <w:sz w:val="24"/>
          <w:vertAlign w:val="superscript"/>
        </w:rPr>
        <w:t xml:space="preserve">2</w:t>
      </w:r>
      <w:r>
        <w:rPr>
          <w:rFonts w:ascii="Times New Roman" w:hAnsi="Times New Roman" w:eastAsia="Times New Roman" w:cs="Times New Roman"/>
          <w:color w:val="000000"/>
          <w:sz w:val="24"/>
        </w:rPr>
        <w:t xml:space="preserve">. Công trình được xây dựng vào năm 2024. Công trình ch</w:t>
      </w:r>
      <w:r>
        <w:rPr>
          <w:rFonts w:ascii="Times New Roman" w:hAnsi="Times New Roman" w:eastAsia="Times New Roman" w:cs="Times New Roman"/>
          <w:color w:val="000000"/>
          <w:sz w:val="24"/>
        </w:rPr>
        <w:t xml:space="preserve">ư</w:t>
      </w:r>
      <w:r>
        <w:rPr>
          <w:rFonts w:ascii="Times New Roman" w:hAnsi="Times New Roman" w:eastAsia="Times New Roman" w:cs="Times New Roman"/>
          <w:color w:val="000000"/>
          <w:sz w:val="24"/>
        </w:rPr>
        <w:t xml:space="preserve">a được chứng  nhận trên GCN số BO 174426. Đồng thời, </w:t>
      </w:r>
      <w:r>
        <w:rPr>
          <w:rFonts w:ascii="Times New Roman" w:hAnsi="Times New Roman" w:eastAsia="Times New Roman" w:cs="Times New Roman"/>
          <w:color w:val="000000"/>
          <w:sz w:val="24"/>
        </w:rPr>
        <w:t xml:space="preserve">T</w:t>
      </w:r>
      <w:r>
        <w:rPr>
          <w:rFonts w:ascii="Times New Roman" w:hAnsi="Times New Roman" w:eastAsia="Times New Roman" w:cs="Times New Roman"/>
          <w:color w:val="000000"/>
          <w:sz w:val="24"/>
        </w:rPr>
        <w:t xml:space="preserve">ổ thẩm định cũng không nhận được bất kỳ hồ sơ pháp lý nào liên quan tới CTXD hiện có này. Do đó, theo đề nghị của ngân hàng/khách hàng, </w:t>
      </w:r>
      <w:r>
        <w:rPr>
          <w:rFonts w:ascii="Times New Roman" w:hAnsi="Times New Roman" w:eastAsia="Times New Roman" w:cs="Times New Roman"/>
          <w:color w:val="000000"/>
          <w:sz w:val="24"/>
        </w:rPr>
        <w:t xml:space="preserve">T</w:t>
      </w:r>
      <w:r>
        <w:rPr>
          <w:rFonts w:ascii="Times New Roman" w:hAnsi="Times New Roman" w:eastAsia="Times New Roman" w:cs="Times New Roman"/>
          <w:color w:val="000000"/>
          <w:sz w:val="24"/>
        </w:rPr>
        <w:t xml:space="preserve">ổ thẩm định chỉ xác định giá trị quyền sử dụng đất, không xác định</w:t>
      </w:r>
      <w:r>
        <w:rPr>
          <w:rFonts w:ascii="Times New Roman" w:hAnsi="Times New Roman" w:eastAsia="Times New Roman" w:cs="Times New Roman"/>
          <w:color w:val="000000"/>
          <w:sz w:val="24"/>
        </w:rPr>
        <w:t xml:space="preserve"> giá trị của công trình xây dựng hiện có vào tổng giá trị nhưng vẫn coi công trình xây dựng là phần không thể tách rời của tài sản thẩm định. Kính đề nghị đơn vị sử dụng kết quả lưu ý</w:t>
      </w:r>
      <w:r>
        <w:rPr>
          <w:spacing w:val="-2"/>
          <w:lang w:val="pt-BR"/>
        </w:rPr>
      </w:r>
      <w:r>
        <w:rPr>
          <w:spacing w:val="-2"/>
          <w:lang w:val="pt-BR"/>
        </w:rPr>
      </w:r>
    </w:p>
    <w:p>
      <w:pPr>
        <w:pStyle w:val="1045"/>
        <w:numPr>
          <w:ilvl w:val="0"/>
          <w:numId w:val="42"/>
        </w:numPr>
        <w:pBdr/>
        <w:tabs>
          <w:tab w:val="left" w:leader="none" w:pos="993"/>
        </w:tabs>
        <w:spacing w:after="120" w:before="120" w:line="319" w:lineRule="auto"/>
        <w:ind w:hanging="357" w:left="357"/>
        <w:jc w:val="both"/>
        <w:rPr>
          <w:lang w:val="pt-BR"/>
        </w:rPr>
      </w:pPr>
      <w:r>
        <w:rPr>
          <w:highlight w:val="none"/>
          <w:lang w:val="pt-BR" w:bidi="pt-BR"/>
        </w:rPr>
      </w:r>
      <w:r>
        <w:rPr>
          <w:rFonts w:ascii="Times New Roman" w:hAnsi="Times New Roman" w:eastAsia="Times New Roman" w:cs="Times New Roman"/>
          <w:color w:val="000000"/>
          <w:sz w:val="24"/>
        </w:rPr>
        <w:t xml:space="preserve">Tại thời điểm khảo sát, tổ thẩm định không được Khách hàng cung cấp các thông tin quy hoạch liên quan đến thửa đất, dựa trên định vị của tài sản sau khi khảo sát, tổ thẩm định kiểm tra quy hoạch online thông qua các trang mạng như Meeymap xác định</w:t>
      </w:r>
      <w:r>
        <w:rPr>
          <w:rFonts w:ascii="Times New Roman" w:hAnsi="Times New Roman" w:eastAsia="Times New Roman" w:cs="Times New Roman"/>
          <w:color w:val="000000"/>
          <w:sz w:val="24"/>
        </w:rPr>
        <w:t xml:space="preserve"> vị trí tài sản thuộc quy hoạch đất ở. Tổ thẩm định giả định thửa đất phù hợp quy hoạch. Đề nghị Khách hàng sử dụng kết quả lưu ý kiểm tra xác minh thêm thông tin quy hoạch nếu thấy cần thiết. Trong trường hợp Khách hàng/Ngân hàng cung cấp được Văn bản xác</w:t>
      </w:r>
      <w:r>
        <w:rPr>
          <w:rFonts w:ascii="Times New Roman" w:hAnsi="Times New Roman" w:eastAsia="Times New Roman" w:cs="Times New Roman"/>
          <w:color w:val="000000"/>
          <w:sz w:val="24"/>
        </w:rPr>
        <w:t xml:space="preserve"> nhận rõ tình trạng quy hoạch thì kết quả thẩm định giá cần được xem xét, điều chỉnh phù hợp, đồng thời chúng tôi bảo lưu quyền xem xét lại kết quả thẩm định giá</w:t>
      </w:r>
      <w:r>
        <w:rPr>
          <w:lang w:val="pt-BR"/>
        </w:rPr>
        <w:t xml:space="preserve">.</w:t>
      </w:r>
      <w:r>
        <w:rPr>
          <w:lang w:val="pt-BR"/>
        </w:rPr>
      </w:r>
      <w:r>
        <w:rPr>
          <w:lang w:val="pt-BR"/>
        </w:rPr>
      </w:r>
    </w:p>
    <w:p>
      <w:pPr>
        <w:pStyle w:val="1045"/>
        <w:numPr>
          <w:ilvl w:val="0"/>
          <w:numId w:val="5"/>
        </w:numPr>
        <w:pBdr/>
        <w:spacing w:after="120" w:before="120" w:line="319"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45"/>
        <w:numPr>
          <w:ilvl w:val="0"/>
          <w:numId w:val="3"/>
        </w:numPr>
        <w:pBdr/>
        <w:tabs>
          <w:tab w:val="left" w:leader="none" w:pos="993"/>
        </w:tabs>
        <w:spacing w:after="120" w:before="120" w:line="319"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45"/>
        <w:numPr>
          <w:ilvl w:val="0"/>
          <w:numId w:val="5"/>
        </w:numPr>
        <w:pBdr/>
        <w:tabs>
          <w:tab w:val="left" w:leader="none" w:pos="993"/>
        </w:tabs>
        <w:spacing w:after="120" w:before="120" w:line="319"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45"/>
        <w:numPr>
          <w:ilvl w:val="0"/>
          <w:numId w:val="5"/>
        </w:numPr>
        <w:pBdr/>
        <w:tabs>
          <w:tab w:val="left" w:leader="none" w:pos="993"/>
        </w:tabs>
        <w:spacing w:after="120" w:before="120" w:line="319"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319"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45"/>
        <w:pBdr/>
        <w:tabs>
          <w:tab w:val="left" w:leader="none" w:pos="993"/>
        </w:tabs>
        <w:spacing w:after="120" w:before="120" w:line="319"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45"/>
        <w:pBdr/>
        <w:tabs>
          <w:tab w:val="left" w:leader="none" w:pos="993"/>
        </w:tabs>
        <w:spacing w:after="120" w:before="120" w:line="319"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Bdr/>
        <w:shd w:val="nil" w:color="auto"/>
        <w:spacing/>
        <w:ind/>
        <w:rPr>
          <w:lang w:val="vi-VN"/>
        </w:rPr>
      </w:pPr>
      <w:r>
        <w:rPr>
          <w:highlight w:val="none"/>
          <w:lang w:val="vi-VN"/>
        </w:rPr>
        <w:br w:type="page" w:clear="all"/>
      </w:r>
      <w:r>
        <w:rPr>
          <w:lang w:val="vi-VN"/>
        </w:rPr>
      </w:r>
      <w:r>
        <w:rPr>
          <w:lang w:val="vi-VN"/>
        </w:rPr>
      </w:r>
    </w:p>
    <w:p>
      <w:pPr>
        <w:pStyle w:val="1045"/>
        <w:pBdr/>
        <w:tabs>
          <w:tab w:val="left" w:leader="none" w:pos="993"/>
        </w:tabs>
        <w:spacing w:after="120" w:before="120" w:line="288" w:lineRule="auto"/>
        <w:ind w:left="0"/>
        <w:jc w:val="both"/>
        <w:rPr>
          <w:highlight w:val="none"/>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275/2026/1073/VFI-CT.48.A</w:t>
      </w:r>
      <w:r>
        <w:rPr>
          <w:color w:val="ff0000"/>
          <w:lang w:val="vi-VN"/>
        </w:rPr>
        <w:t xml:space="preserve"> </w:t>
      </w:r>
      <w:r>
        <w:rPr>
          <w:color w:val="000000" w:themeColor="text1"/>
        </w:rPr>
        <w:t xml:space="preserve">ngày 15 tháng 7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highlight w:val="none"/>
          <w:lang w:val="vi-VN"/>
        </w:rPr>
      </w:r>
      <w:r>
        <w:rPr>
          <w:highlight w:val="non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Thịnh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Phạm Thị Dung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275/2026/1073/VFI-BC.48.A</w:t>
      </w:r>
      <w:r>
        <w:rPr>
          <w:i/>
          <w:lang w:val="pt-BR"/>
        </w:rPr>
        <w:t xml:space="preserve"> </w:t>
      </w:r>
      <w:r>
        <w:rPr>
          <w:i/>
          <w:lang w:val="pt-BR"/>
        </w:rPr>
        <w:t xml:space="preserve">ngày </w:t>
      </w:r>
      <w:r>
        <w:rPr>
          <w:i/>
          <w:lang w:val="pt-BR"/>
        </w:rPr>
        <w:t xml:space="preserve">15 tháng 7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4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087490" cy="2360256"/>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794598" name=""/>
                              <pic:cNvPicPr>
                                <a:picLocks noChangeAspect="1"/>
                              </pic:cNvPicPr>
                              <pic:nvPr/>
                            </pic:nvPicPr>
                            <pic:blipFill rotWithShape="1">
                              <a:blip r:embed="rId20"/>
                              <a:stretch/>
                            </pic:blipFill>
                            <pic:spPr bwMode="auto">
                              <a:xfrm flipH="0" flipV="0">
                                <a:off x="0" y="0"/>
                                <a:ext cx="1087490" cy="236025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85.63pt;height:185.85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94461" cy="2095846"/>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71331" name=""/>
                              <pic:cNvPicPr>
                                <a:picLocks noChangeAspect="1"/>
                              </pic:cNvPicPr>
                              <pic:nvPr/>
                            </pic:nvPicPr>
                            <pic:blipFill rotWithShape="1">
                              <a:blip r:embed="rId21"/>
                              <a:stretch/>
                            </pic:blipFill>
                            <pic:spPr bwMode="auto">
                              <a:xfrm flipH="0" flipV="0">
                                <a:off x="0" y="0"/>
                                <a:ext cx="2794461" cy="209584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20.04pt;height:165.03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 rộng 8,0m</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55366" cy="1991525"/>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856236" name=""/>
                              <pic:cNvPicPr>
                                <a:picLocks noChangeAspect="1"/>
                              </pic:cNvPicPr>
                              <pic:nvPr/>
                            </pic:nvPicPr>
                            <pic:blipFill rotWithShape="1">
                              <a:blip r:embed="rId22"/>
                              <a:stretch/>
                            </pic:blipFill>
                            <pic:spPr bwMode="auto">
                              <a:xfrm flipH="0" flipV="0">
                                <a:off x="0" y="0"/>
                                <a:ext cx="2655366" cy="19915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09.08pt;height:156.81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34248" cy="2050686"/>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265140" name=""/>
                              <pic:cNvPicPr>
                                <a:picLocks noChangeAspect="1"/>
                              </pic:cNvPicPr>
                              <pic:nvPr/>
                            </pic:nvPicPr>
                            <pic:blipFill rotWithShape="1">
                              <a:blip r:embed="rId23"/>
                              <a:stretch/>
                            </pic:blipFill>
                            <pic:spPr bwMode="auto">
                              <a:xfrm flipH="0" flipV="0">
                                <a:off x="0" y="0"/>
                                <a:ext cx="2734247" cy="205068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15.30pt;height:161.47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r>
            <w:r>
              <w:rPr>
                <w:b/>
                <w:bCs/>
                <w:i/>
                <w:lang w:val="pt-BR"/>
              </w:rPr>
              <w:t xml:space="preserve">Đường trước tài sản rộng 4,0m</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17401" cy="2038051"/>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598311" name=""/>
                              <pic:cNvPicPr>
                                <a:picLocks noChangeAspect="1"/>
                              </pic:cNvPicPr>
                              <pic:nvPr/>
                            </pic:nvPicPr>
                            <pic:blipFill rotWithShape="1">
                              <a:blip r:embed="rId24"/>
                              <a:stretch/>
                            </pic:blipFill>
                            <pic:spPr bwMode="auto">
                              <a:xfrm flipH="0" flipV="0">
                                <a:off x="0" y="0"/>
                                <a:ext cx="2717401" cy="203805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13.97pt;height:160.48pt;mso-wrap-distance-left:0.00pt;mso-wrap-distance-top:0.00pt;mso-wrap-distance-right:0.00pt;mso-wrap-distance-bottom:0.00pt;z-index:1;" stroked="false">
                      <v:imagedata r:id="rId24"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744522" cy="2058391"/>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280055" name=""/>
                              <pic:cNvPicPr>
                                <a:picLocks noChangeAspect="1"/>
                              </pic:cNvPicPr>
                              <pic:nvPr/>
                            </pic:nvPicPr>
                            <pic:blipFill rotWithShape="1">
                              <a:blip r:embed="rId25"/>
                              <a:stretch/>
                            </pic:blipFill>
                            <pic:spPr bwMode="auto">
                              <a:xfrm flipH="0" flipV="0">
                                <a:off x="0" y="0"/>
                                <a:ext cx="2744521" cy="205839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16.10pt;height:162.08pt;mso-wrap-distance-left:0.00pt;mso-wrap-distance-top:0.00pt;mso-wrap-distance-right:0.00pt;mso-wrap-distance-bottom:0.00pt;z-index:1;" stroked="false">
                      <v:imagedata r:id="rId25"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275/2026/1073/VFI-BC.48.A</w:t>
      </w:r>
      <w:r>
        <w:rPr>
          <w:i/>
          <w:lang w:val="pt-BR"/>
        </w:rPr>
        <w:t xml:space="preserve"> </w:t>
      </w:r>
      <w:r>
        <w:rPr>
          <w:i/>
          <w:lang w:val="pt-BR"/>
        </w:rPr>
        <w:t xml:space="preserve">ngày </w:t>
      </w:r>
      <w:r>
        <w:rPr>
          <w:i/>
          <w:lang w:val="pt-BR"/>
        </w:rPr>
        <w:t xml:space="preserve">15 tháng 7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0989.263938</w:t>
            </w:r>
            <w:r>
              <w:rPr>
                <w:sz w:val="22"/>
                <w:szCs w:val="22"/>
              </w:rPr>
              <w:t xml:space="preserve"> </w:t>
            </w:r>
            <w:r>
              <w:rPr>
                <w:sz w:val="22"/>
                <w:szCs w:val="22"/>
              </w:rPr>
              <w:br/>
              <w:t xml:space="preserve">(Trang Loan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2.700.000.000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2.430.000.000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6/2026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Có Giấy chứng nhận QSDĐ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nông thôn (79.8m²)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cách đường 426 khoảng 100m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79,8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w:t>
            </w:r>
            <w:r>
              <w:rPr>
                <w:color w:val="000000" w:themeColor="text1"/>
                <w:sz w:val="22"/>
                <w:szCs w:val="22"/>
              </w:rPr>
              <w:t xml:space="preserve">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pPr>
              <w:pBdr/>
              <w:spacing w:line="276" w:lineRule="auto"/>
              <w:ind/>
              <w:jc w:val="center"/>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1151068" cy="2888476"/>
                      <wp:effectExtent l="0" t="0" r="0" b="0"/>
                      <wp:docPr id="13" name=""/>
                      <wp:cNvGraphicFramePr/>
                      <a:graphic xmlns:a="http://schemas.openxmlformats.org/drawingml/2006/main">
                        <a:graphicData uri="http://schemas.openxmlformats.org/drawingml/2006/picture">
                          <pic:pic xmlns:pic="http://schemas.openxmlformats.org/drawingml/2006/picture">
                            <pic:nvPicPr>
                              <pic:cNvPr id="1098062408" name="" descr=""/>
                              <pic:cNvPicPr/>
                              <pic:nvPr/>
                            </pic:nvPicPr>
                            <pic:blipFill rotWithShape="1">
                              <a:blip r:embed="rId26"/>
                              <a:stretch/>
                            </pic:blipFill>
                            <pic:spPr bwMode="auto">
                              <a:xfrm flipH="0" flipV="0">
                                <a:off x="0" y="0"/>
                                <a:ext cx="1151068" cy="288847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90.64pt;height:227.44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278318" cy="2369643"/>
                      <wp:effectExtent l="0" t="0" r="0" b="0"/>
                      <wp:docPr id="14" name=""/>
                      <wp:cNvGraphicFramePr/>
                      <a:graphic xmlns:a="http://schemas.openxmlformats.org/drawingml/2006/main">
                        <a:graphicData uri="http://schemas.openxmlformats.org/drawingml/2006/picture">
                          <pic:pic xmlns:pic="http://schemas.openxmlformats.org/drawingml/2006/picture">
                            <pic:nvPicPr>
                              <pic:cNvPr id="773406574" name="" descr=""/>
                              <pic:cNvPicPr/>
                              <pic:nvPr/>
                            </pic:nvPicPr>
                            <pic:blipFill rotWithShape="1">
                              <a:blip r:embed="rId27"/>
                              <a:stretch/>
                            </pic:blipFill>
                            <pic:spPr bwMode="auto">
                              <a:xfrm flipH="0" flipV="0">
                                <a:off x="0" y="0"/>
                                <a:ext cx="3278318" cy="236964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58.14pt;height:186.59pt;mso-wrap-distance-left:0.00pt;mso-wrap-distance-top:0.00pt;mso-wrap-distance-right:0.00pt;mso-wrap-distance-bottom:0.00pt;z-index:1;" stroked="false">
                      <v:imagedata r:id="rId27" o:title=""/>
                      <o:lock v:ext="edit" rotation="t"/>
                    </v:shape>
                  </w:pict>
                </mc:Fallback>
              </mc:AlternateContent>
            </w:r>
            <w:r>
              <w:rPr>
                <w:color w:val="000000"/>
                <w:sz w:val="22"/>
                <w:szCs w:val="22"/>
              </w:rPr>
            </w:r>
            <w:r>
              <w:rPr>
                <w:color w:val="000000"/>
                <w:sz w:val="22"/>
                <w:szCs w:val="22"/>
              </w:rPr>
            </w:r>
          </w:p>
        </w:tc>
      </w:tr>
    </w:tbl>
    <w:p>
      <w:pPr>
        <w:pBdr/>
        <w:spacing w:after="120"/>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Phạm Thị Dung</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https://www.facebook.com/share/p/1H9HRN2vsL/</w:t>
            </w:r>
            <w:r>
              <w:rPr>
                <w:color w:val="000000" w:themeColor="text1"/>
                <w:sz w:val="22"/>
                <w:szCs w:val="22"/>
              </w:rPr>
              <w:br/>
              <w:t xml:space="preserve">0978.270.148</w:t>
            </w:r>
            <w:r>
              <w:rPr>
                <w:sz w:val="22"/>
                <w:szCs w:val="22"/>
              </w:rPr>
              <w:t xml:space="preserve"> </w:t>
            </w:r>
            <w:r>
              <w:rPr>
                <w:sz w:val="22"/>
                <w:szCs w:val="22"/>
              </w:rPr>
              <w:br/>
              <w:t xml:space="preserve">(Nguyễn Văn Thao</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2.700.000.000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2.430.000.000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w:t>
            </w:r>
            <w:r>
              <w:rPr>
                <w:color w:val="000000" w:themeColor="text1"/>
                <w:sz w:val="22"/>
                <w:szCs w:val="22"/>
              </w:rPr>
              <w:t xml:space="preserve">6</w:t>
            </w:r>
            <w:r>
              <w:rPr>
                <w:color w:val="000000" w:themeColor="text1"/>
                <w:sz w:val="22"/>
                <w:szCs w:val="22"/>
              </w:rPr>
              <w:t xml:space="preserve">/2026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Có Giấy chứng nhận QSDĐ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nông thôn (59.6m²)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cách đường Hoàng Quốc Việt (trục liên thôn) khoảng 110m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59,</w:t>
            </w:r>
            <w:r>
              <w:rPr>
                <w:color w:val="000000" w:themeColor="text1"/>
                <w:sz w:val="22"/>
                <w:szCs w:val="22"/>
              </w:rPr>
              <w:t xml:space="preserve">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4,75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3 mặt đường, phố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28750"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14287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12.50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428750"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14287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12.50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428750"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14287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12.50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left"/>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Phạm Thị Dung</w:t>
            </w:r>
            <w:r/>
          </w:p>
        </w:tc>
      </w:tr>
    </w:tbl>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0978.270.148</w:t>
            </w:r>
            <w:r>
              <w:rPr>
                <w:sz w:val="22"/>
                <w:szCs w:val="22"/>
              </w:rPr>
              <w:t xml:space="preserve"> </w:t>
            </w:r>
            <w:r>
              <w:rPr>
                <w:sz w:val="22"/>
                <w:szCs w:val="22"/>
              </w:rPr>
              <w:br/>
              <w:t xml:space="preserve">(Nguyễn Văn Thao</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2.250.000.000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2.025.000.000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w:t>
            </w:r>
            <w:r>
              <w:rPr>
                <w:color w:val="000000" w:themeColor="text1"/>
                <w:sz w:val="22"/>
                <w:szCs w:val="22"/>
              </w:rPr>
              <w:t xml:space="preserve">6/</w:t>
            </w:r>
            <w:r>
              <w:rPr>
                <w:color w:val="000000" w:themeColor="text1"/>
                <w:sz w:val="22"/>
                <w:szCs w:val="22"/>
              </w:rPr>
              <w:t xml:space="preserve">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Có Giấy chứng nhận QSDĐ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nông thôn (55.7m²)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cách đường Hoàng Quốc Việt (trục liên thôn) khoảng 110m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55,7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4,35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2 mặt đường trước sau</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28750"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14287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12.50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428750"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14287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12.50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428750"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14287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12.50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r>
            <w:r>
              <w:rPr>
                <w:color w:val="000000"/>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t xml:space="preserve">Phạm Thị Dung</w:t>
            </w:r>
            <w:r>
              <w:rPr>
                <w:b/>
                <w:bCs/>
              </w:rPr>
            </w:r>
            <w:r>
              <w:rPr>
                <w:b/>
                <w:bCs/>
              </w:rPr>
            </w:r>
          </w:p>
        </w:tc>
      </w:tr>
    </w:tbl>
    <w:p>
      <w:pPr>
        <w:pBdr/>
        <w:spacing w:after="200" w:line="276" w:lineRule="auto"/>
        <w:ind/>
        <w:jc w:val="center"/>
        <w:rPr>
          <w:b/>
          <w:bCs/>
          <w:iCs/>
          <w:highlight w:val="none"/>
          <w:lang w:val="pt-BR"/>
        </w:rPr>
      </w:pPr>
      <w:r>
        <w:rPr>
          <w:b/>
          <w:bCs/>
          <w:iCs/>
          <w:lang w:val="pt-BR"/>
        </w:rPr>
        <w:t xml:space="preserve">GIẤY CHỨNG NHẬN QSDĐ</w:t>
      </w:r>
      <w:r>
        <w:rPr>
          <w:b/>
          <w:bCs/>
          <w:iCs/>
          <w:highlight w:val="none"/>
          <w:lang w:val="pt-BR"/>
        </w:rPr>
      </w:r>
      <w:r>
        <w:rPr>
          <w:b/>
          <w:bCs/>
          <w:iCs/>
          <w:highlight w:val="none"/>
          <w:lang w:val="pt-BR"/>
        </w:rPr>
      </w:r>
    </w:p>
    <w:p>
      <w:pPr>
        <w:pBdr/>
        <w:spacing w:after="200" w:line="276" w:lineRule="auto"/>
        <w:ind/>
        <w:jc w:val="center"/>
        <w:rPr>
          <w:b/>
          <w:bCs/>
          <w:highlight w:val="none"/>
          <w:lang w:val="pt-BR"/>
        </w:rPr>
      </w:pPr>
      <w:r>
        <w:rPr>
          <w:b/>
          <w:bCs/>
          <w:iCs/>
          <w:highlight w:val="none"/>
          <w:lang w:val="pt-BR"/>
        </w:rPr>
      </w:r>
      <w:r>
        <mc:AlternateContent>
          <mc:Choice Requires="wpg">
            <w:drawing>
              <wp:inline xmlns:wp="http://schemas.openxmlformats.org/drawingml/2006/wordprocessingDrawing" distT="0" distB="0" distL="0" distR="0">
                <wp:extent cx="6048375" cy="3933778"/>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175675" name=""/>
                        <pic:cNvPicPr>
                          <a:picLocks noChangeAspect="1"/>
                        </pic:cNvPicPr>
                        <pic:nvPr/>
                      </pic:nvPicPr>
                      <pic:blipFill rotWithShape="1">
                        <a:blip r:embed="rId34"/>
                        <a:srcRect l="0" t="3148" r="0" b="10132"/>
                        <a:stretch/>
                      </pic:blipFill>
                      <pic:spPr bwMode="auto">
                        <a:xfrm flipH="0" flipV="0">
                          <a:off x="0" y="0"/>
                          <a:ext cx="6048374" cy="393377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76.25pt;height:309.75pt;mso-wrap-distance-left:0.00pt;mso-wrap-distance-top:0.00pt;mso-wrap-distance-right:0.00pt;mso-wrap-distance-bottom:0.00pt;z-index:1;" stroked="false">
                <v:imagedata r:id="rId34" o:title="" croptop="2063f" cropleft="0f" cropbottom="6640f" cropright="0f"/>
                <o:lock v:ext="edit" rotation="t"/>
              </v:shape>
            </w:pict>
          </mc:Fallback>
        </mc:AlternateContent>
      </w:r>
      <w:r>
        <w:rPr>
          <w:b/>
          <w:bCs/>
          <w:highlight w:val="none"/>
          <w:lang w:val="pt-BR"/>
        </w:rPr>
      </w:r>
      <w:r>
        <w:rPr>
          <w:b/>
          <w:bCs/>
          <w:highlight w:val="none"/>
          <w:lang w:val="pt-BR"/>
        </w:rPr>
      </w:r>
    </w:p>
    <w:p>
      <w:pPr>
        <w:pBdr/>
        <w:spacing w:after="200" w:line="276" w:lineRule="auto"/>
        <w:ind/>
        <w:jc w:val="center"/>
        <w:rPr>
          <w:b/>
          <w:bCs/>
          <w:highlight w:val="none"/>
          <w:lang w:val="pt-BR"/>
        </w:rPr>
      </w:pPr>
      <w:r>
        <w:rPr>
          <w:b/>
          <w:bCs/>
          <w:iCs/>
          <w:highlight w:val="none"/>
          <w:lang w:val="pt-BR"/>
        </w:rPr>
      </w:r>
      <w:r>
        <mc:AlternateContent>
          <mc:Choice Requires="wpg">
            <w:drawing>
              <wp:inline xmlns:wp="http://schemas.openxmlformats.org/drawingml/2006/wordprocessingDrawing" distT="0" distB="0" distL="0" distR="0">
                <wp:extent cx="6048375" cy="4536281"/>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654204" name=""/>
                        <pic:cNvPicPr>
                          <a:picLocks noChangeAspect="1"/>
                        </pic:cNvPicPr>
                        <pic:nvPr/>
                      </pic:nvPicPr>
                      <pic:blipFill rotWithShape="1">
                        <a:blip r:embed="rId35"/>
                        <a:stretch/>
                      </pic:blipFill>
                      <pic:spPr bwMode="auto">
                        <a:xfrm>
                          <a:off x="0" y="0"/>
                          <a:ext cx="6048374" cy="453628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76.25pt;height:357.19pt;mso-wrap-distance-left:0.00pt;mso-wrap-distance-top:0.00pt;mso-wrap-distance-right:0.00pt;mso-wrap-distance-bottom:0.00pt;z-index:1;" stroked="false">
                <v:imagedata r:id="rId35" o:title=""/>
                <o:lock v:ext="edit" rotation="t"/>
              </v:shape>
            </w:pict>
          </mc:Fallback>
        </mc:AlternateContent>
      </w:r>
      <w:r>
        <w:rPr>
          <w:b/>
          <w:bCs/>
          <w:highlight w:val="none"/>
          <w:lang w:val="pt-BR"/>
        </w:rPr>
      </w:r>
      <w:r>
        <w:rPr>
          <w:b/>
          <w:bCs/>
          <w:highlight w:val="none"/>
          <w:lang w:val="pt-BR"/>
        </w:rPr>
      </w:r>
    </w:p>
    <w:p>
      <w:pPr>
        <w:pBdr/>
        <w:spacing w:after="200" w:line="276" w:lineRule="auto"/>
        <w:ind/>
        <w:jc w:val="center"/>
        <w:rPr>
          <w:b/>
          <w:bCs/>
          <w:highlight w:val="none"/>
          <w:lang w:val="pt-BR"/>
        </w:rPr>
      </w:pPr>
      <w:r>
        <w:rPr>
          <w:b/>
          <w:bCs/>
          <w:iCs/>
          <w:highlight w:val="none"/>
          <w:lang w:val="pt-BR"/>
        </w:rPr>
      </w:r>
      <w:r>
        <mc:AlternateContent>
          <mc:Choice Requires="wpg">
            <w:drawing>
              <wp:inline xmlns:wp="http://schemas.openxmlformats.org/drawingml/2006/wordprocessingDrawing" distT="0" distB="0" distL="0" distR="0">
                <wp:extent cx="6048375" cy="8064500"/>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122254" name=""/>
                        <pic:cNvPicPr>
                          <a:picLocks noChangeAspect="1"/>
                        </pic:cNvPicPr>
                        <pic:nvPr/>
                      </pic:nvPicPr>
                      <pic:blipFill rotWithShape="1">
                        <a:blip r:embed="rId36"/>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476.25pt;height:635.00pt;mso-wrap-distance-left:0.00pt;mso-wrap-distance-top:0.00pt;mso-wrap-distance-right:0.00pt;mso-wrap-distance-bottom:0.00pt;z-index:1;" stroked="false">
                <v:imagedata r:id="rId36" o:title=""/>
                <o:lock v:ext="edit" rotation="t"/>
              </v:shape>
            </w:pict>
          </mc:Fallback>
        </mc:AlternateContent>
      </w:r>
      <w:r>
        <w:rPr>
          <w:b/>
          <w:bCs/>
          <w:highlight w:val="none"/>
          <w:lang w:val="pt-BR"/>
        </w:rPr>
      </w:r>
      <w:r>
        <w:rPr>
          <w:b/>
          <w:bCs/>
          <w:highlight w:val="none"/>
          <w:lang w:val="pt-BR"/>
        </w:rPr>
      </w:r>
    </w:p>
    <w:p>
      <w:pPr>
        <w:pBdr/>
        <w:spacing w:after="200" w:line="276" w:lineRule="auto"/>
        <w:ind/>
        <w:jc w:val="center"/>
        <w:rPr>
          <w:b/>
          <w:bCs/>
        </w:rPr>
      </w:pPr>
      <w:r>
        <w:rPr>
          <w:b/>
          <w:bCs/>
        </w:rPr>
      </w:r>
      <w:r>
        <w:rPr>
          <w:b/>
          <w:bCs/>
        </w:rPr>
      </w:r>
      <w:r>
        <w:rPr>
          <w:b/>
          <w:bCs/>
        </w:rPr>
      </w:r>
    </w:p>
    <w:p>
      <w:pPr>
        <w:pBdr/>
        <w:spacing w:after="200" w:line="276" w:lineRule="auto"/>
        <w:ind/>
        <w:jc w:val="center"/>
        <w:rPr>
          <w:b/>
          <w:bCs/>
        </w:rPr>
      </w:pPr>
      <w:r>
        <w:rPr>
          <w:b/>
          <w:bCs/>
        </w:rPr>
      </w:r>
      <w:r>
        <w:rPr>
          <w:b/>
          <w:bCs/>
        </w:rPr>
      </w:r>
      <w:r>
        <w:rPr>
          <w:b/>
          <w:bCs/>
        </w:rPr>
      </w:r>
    </w:p>
    <w:p>
      <w:pPr>
        <w:pBdr/>
        <w:spacing w:after="200" w:line="276" w:lineRule="auto"/>
        <w:ind/>
        <w:jc w:val="center"/>
        <w:rPr>
          <w:b/>
          <w:bCs/>
        </w:rPr>
      </w:pPr>
      <w:r>
        <w:rPr>
          <w:b/>
          <w:bCs/>
        </w:rPr>
      </w:r>
      <w:r>
        <w:rPr>
          <w:b/>
          <w:bCs/>
        </w:rPr>
      </w:r>
      <w:r>
        <w:rPr>
          <w:b/>
          <w:bCs/>
        </w:rPr>
      </w:r>
    </w:p>
    <w:p>
      <w:pPr>
        <w:pBdr/>
        <w:spacing w:after="200" w:line="276" w:lineRule="auto"/>
        <w:ind/>
        <w:jc w:val="center"/>
        <w:rPr>
          <w:b/>
          <w:bCs/>
          <w:highlight w:val="none"/>
          <w:lang w:val="pt-BR"/>
        </w:rPr>
      </w:pPr>
      <w:r>
        <w:rPr>
          <w:b/>
          <w:bCs/>
          <w:iCs/>
          <w:highlight w:val="none"/>
          <w:lang w:val="pt-BR"/>
        </w:rPr>
        <w:t xml:space="preserve">BIÊN BẢN KHẢO SÁT</w:t>
      </w:r>
      <w:r>
        <w:rPr>
          <w:b/>
          <w:bCs/>
          <w:highlight w:val="none"/>
          <w:lang w:val="pt-BR"/>
        </w:rPr>
      </w:r>
      <w:r>
        <w:rPr>
          <w:b/>
          <w:bCs/>
          <w:highlight w:val="none"/>
          <w:lang w:val="pt-BR"/>
        </w:rPr>
      </w:r>
    </w:p>
    <w:p>
      <w:pPr>
        <w:pBdr/>
        <w:spacing w:after="200" w:line="276" w:lineRule="auto"/>
        <w:ind/>
        <w:jc w:val="center"/>
        <w:rPr>
          <w:b/>
          <w:bCs/>
        </w:rPr>
      </w:pPr>
      <w:r>
        <w:rPr>
          <w:b/>
          <w:bCs/>
          <w:iCs/>
          <w:highlight w:val="none"/>
          <w:lang w:val="pt-BR"/>
        </w:rPr>
      </w:r>
      <w:r>
        <mc:AlternateContent>
          <mc:Choice Requires="wpg">
            <w:drawing>
              <wp:inline xmlns:wp="http://schemas.openxmlformats.org/drawingml/2006/wordprocessingDrawing" distT="0" distB="0" distL="0" distR="0">
                <wp:extent cx="6048375" cy="8064500"/>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727504" name=""/>
                        <pic:cNvPicPr>
                          <a:picLocks noChangeAspect="1"/>
                        </pic:cNvPicPr>
                        <pic:nvPr/>
                      </pic:nvPicPr>
                      <pic:blipFill rotWithShape="1">
                        <a:blip r:embed="rId37"/>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476.25pt;height:635.00pt;mso-wrap-distance-left:0.00pt;mso-wrap-distance-top:0.00pt;mso-wrap-distance-right:0.00pt;mso-wrap-distance-bottom:0.00pt;z-index:1;" stroked="false">
                <v:imagedata r:id="rId37" o:title=""/>
                <o:lock v:ext="edit" rotation="t"/>
              </v:shape>
            </w:pict>
          </mc:Fallback>
        </mc:AlternateContent>
      </w:r>
      <w:r>
        <w:rPr>
          <w:b/>
          <w:bCs/>
        </w:rPr>
      </w:r>
      <w:r>
        <w:rPr>
          <w:b/>
          <w:bCs/>
        </w:rPr>
      </w:r>
    </w:p>
    <w:sectPr>
      <w:footerReference w:type="even" r:id="rId13"/>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4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4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4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4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9"/>
      <w:pBdr/>
      <w:spacing/>
      <w:ind/>
      <w:rPr/>
    </w:pPr>
    <w: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8">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9">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num w:numId="41"/>
  <w:num w:numId="42">
    <w:abstractNumId w:val="38"/>
  </w:num>
  <w:num w:numId="43">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57">
    <w:name w:val="Table Grid Light"/>
    <w:basedOn w:val="102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Plain Table 1"/>
    <w:basedOn w:val="102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Plain Table 2"/>
    <w:basedOn w:val="102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Plain Table 3"/>
    <w:basedOn w:val="102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Plain Table 4"/>
    <w:basedOn w:val="102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Plain Table 5"/>
    <w:basedOn w:val="102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1 Light"/>
    <w:basedOn w:val="102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1 Light - Accent 1"/>
    <w:basedOn w:val="102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1 Light - Accent 2"/>
    <w:basedOn w:val="102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1 Light - Accent 3"/>
    <w:basedOn w:val="102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1 Light - Accent 4"/>
    <w:basedOn w:val="102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1 Light - Accent 5"/>
    <w:basedOn w:val="102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1 Light - Accent 6"/>
    <w:basedOn w:val="102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2"/>
    <w:basedOn w:val="102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2 - Accent 1"/>
    <w:basedOn w:val="102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2 - Accent 2"/>
    <w:basedOn w:val="102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2 - Accent 3"/>
    <w:basedOn w:val="102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2 - Accent 4"/>
    <w:basedOn w:val="102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2 - Accent 5"/>
    <w:basedOn w:val="102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2 - Accent 6"/>
    <w:basedOn w:val="102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3"/>
    <w:basedOn w:val="102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3 - Accent 1"/>
    <w:basedOn w:val="102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3 - Accent 2"/>
    <w:basedOn w:val="102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3 - Accent 3"/>
    <w:basedOn w:val="102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3 - Accent 4"/>
    <w:basedOn w:val="102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3 - Accent 5"/>
    <w:basedOn w:val="102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3 - Accent 6"/>
    <w:basedOn w:val="102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4"/>
    <w:basedOn w:val="102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4 - Accent 1"/>
    <w:basedOn w:val="102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4 - Accent 2"/>
    <w:basedOn w:val="102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4 - Accent 3"/>
    <w:basedOn w:val="102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4 - Accent 4"/>
    <w:basedOn w:val="102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4 - Accent 5"/>
    <w:basedOn w:val="102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4 - Accent 6"/>
    <w:basedOn w:val="102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5 Dark"/>
    <w:basedOn w:val="102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5 Dark- Accent 1"/>
    <w:basedOn w:val="102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5 Dark - Accent 2"/>
    <w:basedOn w:val="102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5 Dark - Accent 3"/>
    <w:basedOn w:val="102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5 Dark- Accent 4"/>
    <w:basedOn w:val="102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5 Dark - Accent 5"/>
    <w:basedOn w:val="102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5 Dark - Accent 6"/>
    <w:basedOn w:val="102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6 Colorful"/>
    <w:basedOn w:val="102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99">
    <w:name w:val="Grid Table 6 Colorful - Accent 1"/>
    <w:basedOn w:val="102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900">
    <w:name w:val="Grid Table 6 Colorful - Accent 2"/>
    <w:basedOn w:val="102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901">
    <w:name w:val="Grid Table 6 Colorful - Accent 3"/>
    <w:basedOn w:val="102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902">
    <w:name w:val="Grid Table 6 Colorful - Accent 4"/>
    <w:basedOn w:val="102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903">
    <w:name w:val="Grid Table 6 Colorful - Accent 5"/>
    <w:basedOn w:val="102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04">
    <w:name w:val="Grid Table 6 Colorful - Accent 6"/>
    <w:basedOn w:val="102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05">
    <w:name w:val="Grid Table 7 Colorful"/>
    <w:basedOn w:val="102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Grid Table 7 Colorful - Accent 1"/>
    <w:basedOn w:val="102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Grid Table 7 Colorful - Accent 2"/>
    <w:basedOn w:val="102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Grid Table 7 Colorful - Accent 3"/>
    <w:basedOn w:val="102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Grid Table 7 Colorful - Accent 4"/>
    <w:basedOn w:val="102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Grid Table 7 Colorful - Accent 5"/>
    <w:basedOn w:val="102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Grid Table 7 Colorful - Accent 6"/>
    <w:basedOn w:val="102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1 Light"/>
    <w:basedOn w:val="102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1 Light - Accent 1"/>
    <w:basedOn w:val="102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1 Light - Accent 2"/>
    <w:basedOn w:val="102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1 Light - Accent 3"/>
    <w:basedOn w:val="102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1 Light - Accent 4"/>
    <w:basedOn w:val="102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1 Light - Accent 5"/>
    <w:basedOn w:val="102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1 Light - Accent 6"/>
    <w:basedOn w:val="102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2"/>
    <w:basedOn w:val="102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2 - Accent 1"/>
    <w:basedOn w:val="102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2 - Accent 2"/>
    <w:basedOn w:val="102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2 - Accent 3"/>
    <w:basedOn w:val="102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2 - Accent 4"/>
    <w:basedOn w:val="102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2 - Accent 5"/>
    <w:basedOn w:val="102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2 - Accent 6"/>
    <w:basedOn w:val="102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3"/>
    <w:basedOn w:val="102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3 - Accent 1"/>
    <w:basedOn w:val="102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3 - Accent 2"/>
    <w:basedOn w:val="102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3 - Accent 3"/>
    <w:basedOn w:val="102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3 - Accent 4"/>
    <w:basedOn w:val="102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3 - Accent 5"/>
    <w:basedOn w:val="102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3 - Accent 6"/>
    <w:basedOn w:val="102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4"/>
    <w:basedOn w:val="102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4 - Accent 1"/>
    <w:basedOn w:val="102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4 - Accent 2"/>
    <w:basedOn w:val="102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4 - Accent 3"/>
    <w:basedOn w:val="102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4 - Accent 4"/>
    <w:basedOn w:val="102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4 - Accent 5"/>
    <w:basedOn w:val="102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4 - Accent 6"/>
    <w:basedOn w:val="102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5 Dark"/>
    <w:basedOn w:val="102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1">
    <w:name w:val="List Table 5 Dark - Accent 1"/>
    <w:basedOn w:val="102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2">
    <w:name w:val="List Table 5 Dark - Accent 2"/>
    <w:basedOn w:val="102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3">
    <w:name w:val="List Table 5 Dark - Accent 3"/>
    <w:basedOn w:val="102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4">
    <w:name w:val="List Table 5 Dark - Accent 4"/>
    <w:basedOn w:val="102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5">
    <w:name w:val="List Table 5 Dark - Accent 5"/>
    <w:basedOn w:val="102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6">
    <w:name w:val="List Table 5 Dark - Accent 6"/>
    <w:basedOn w:val="102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7">
    <w:name w:val="List Table 6 Colorful"/>
    <w:basedOn w:val="102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st Table 6 Colorful - Accent 1"/>
    <w:basedOn w:val="102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st Table 6 Colorful - Accent 2"/>
    <w:basedOn w:val="102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st Table 6 Colorful - Accent 3"/>
    <w:basedOn w:val="102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st Table 6 Colorful - Accent 4"/>
    <w:basedOn w:val="102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st Table 6 Colorful - Accent 5"/>
    <w:basedOn w:val="102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st Table 6 Colorful - Accent 6"/>
    <w:basedOn w:val="102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st Table 7 Colorful"/>
    <w:basedOn w:val="102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55">
    <w:name w:val="List Table 7 Colorful - Accent 1"/>
    <w:basedOn w:val="102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56">
    <w:name w:val="List Table 7 Colorful - Accent 2"/>
    <w:basedOn w:val="102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57">
    <w:name w:val="List Table 7 Colorful - Accent 3"/>
    <w:basedOn w:val="102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58">
    <w:name w:val="List Table 7 Colorful - Accent 4"/>
    <w:basedOn w:val="102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59">
    <w:name w:val="List Table 7 Colorful - Accent 5"/>
    <w:basedOn w:val="102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60">
    <w:name w:val="List Table 7 Colorful - Accent 6"/>
    <w:basedOn w:val="102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61">
    <w:name w:val="Lined - Accent"/>
    <w:basedOn w:val="102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Lined - Accent 1"/>
    <w:basedOn w:val="102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Lined - Accent 2"/>
    <w:basedOn w:val="102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Lined - Accent 3"/>
    <w:basedOn w:val="102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Lined - Accent 4"/>
    <w:basedOn w:val="102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Lined - Accent 5"/>
    <w:basedOn w:val="102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Lined - Accent 6"/>
    <w:basedOn w:val="102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amp; Lined - Accent"/>
    <w:basedOn w:val="102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amp; Lined - Accent 1"/>
    <w:basedOn w:val="102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amp; Lined - Accent 2"/>
    <w:basedOn w:val="102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amp; Lined - Accent 3"/>
    <w:basedOn w:val="102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Bordered &amp; Lined - Accent 4"/>
    <w:basedOn w:val="102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3">
    <w:name w:val="Bordered &amp; Lined - Accent 5"/>
    <w:basedOn w:val="102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4">
    <w:name w:val="Bordered &amp; Lined - Accent 6"/>
    <w:basedOn w:val="102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5">
    <w:name w:val="Bordered"/>
    <w:basedOn w:val="102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6">
    <w:name w:val="Bordered - Accent 1"/>
    <w:basedOn w:val="102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7">
    <w:name w:val="Bordered - Accent 2"/>
    <w:basedOn w:val="102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8">
    <w:name w:val="Bordered - Accent 3"/>
    <w:basedOn w:val="102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9">
    <w:name w:val="Bordered - Accent 4"/>
    <w:basedOn w:val="102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0">
    <w:name w:val="Bordered - Accent 5"/>
    <w:basedOn w:val="102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1">
    <w:name w:val="Bordered - Accent 6"/>
    <w:basedOn w:val="102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82">
    <w:name w:val="Heading 5"/>
    <w:basedOn w:val="1023"/>
    <w:next w:val="1023"/>
    <w:link w:val="98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83">
    <w:name w:val="Heading 6"/>
    <w:basedOn w:val="1023"/>
    <w:next w:val="1023"/>
    <w:link w:val="98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84">
    <w:name w:val="Heading 7"/>
    <w:basedOn w:val="1023"/>
    <w:next w:val="1023"/>
    <w:link w:val="98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85">
    <w:name w:val="Heading 8"/>
    <w:basedOn w:val="1023"/>
    <w:next w:val="1023"/>
    <w:link w:val="99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86">
    <w:name w:val="Heading 9"/>
    <w:basedOn w:val="1023"/>
    <w:next w:val="1023"/>
    <w:link w:val="99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87">
    <w:name w:val="Heading 5 Char"/>
    <w:basedOn w:val="1028"/>
    <w:link w:val="982"/>
    <w:uiPriority w:val="9"/>
    <w:pPr>
      <w:pBdr/>
      <w:spacing/>
      <w:ind/>
    </w:pPr>
    <w:rPr>
      <w:rFonts w:ascii="Arial" w:hAnsi="Arial" w:eastAsia="Arial" w:cs="Arial"/>
      <w:color w:val="0f4761" w:themeColor="accent1" w:themeShade="BF"/>
    </w:rPr>
  </w:style>
  <w:style w:type="character" w:styleId="988">
    <w:name w:val="Heading 6 Char"/>
    <w:basedOn w:val="1028"/>
    <w:link w:val="983"/>
    <w:uiPriority w:val="9"/>
    <w:pPr>
      <w:pBdr/>
      <w:spacing/>
      <w:ind/>
    </w:pPr>
    <w:rPr>
      <w:rFonts w:ascii="Arial" w:hAnsi="Arial" w:eastAsia="Arial" w:cs="Arial"/>
      <w:i/>
      <w:iCs/>
      <w:color w:val="595959" w:themeColor="text1" w:themeTint="A6"/>
    </w:rPr>
  </w:style>
  <w:style w:type="character" w:styleId="989">
    <w:name w:val="Heading 7 Char"/>
    <w:basedOn w:val="1028"/>
    <w:link w:val="984"/>
    <w:uiPriority w:val="9"/>
    <w:pPr>
      <w:pBdr/>
      <w:spacing/>
      <w:ind/>
    </w:pPr>
    <w:rPr>
      <w:rFonts w:ascii="Arial" w:hAnsi="Arial" w:eastAsia="Arial" w:cs="Arial"/>
      <w:color w:val="595959" w:themeColor="text1" w:themeTint="A6"/>
    </w:rPr>
  </w:style>
  <w:style w:type="character" w:styleId="990">
    <w:name w:val="Heading 8 Char"/>
    <w:basedOn w:val="1028"/>
    <w:link w:val="985"/>
    <w:uiPriority w:val="9"/>
    <w:pPr>
      <w:pBdr/>
      <w:spacing/>
      <w:ind/>
    </w:pPr>
    <w:rPr>
      <w:rFonts w:ascii="Arial" w:hAnsi="Arial" w:eastAsia="Arial" w:cs="Arial"/>
      <w:i/>
      <w:iCs/>
      <w:color w:val="272727" w:themeColor="text1" w:themeTint="D8"/>
    </w:rPr>
  </w:style>
  <w:style w:type="character" w:styleId="991">
    <w:name w:val="Heading 9 Char"/>
    <w:basedOn w:val="1028"/>
    <w:link w:val="986"/>
    <w:uiPriority w:val="9"/>
    <w:pPr>
      <w:pBdr/>
      <w:spacing/>
      <w:ind/>
    </w:pPr>
    <w:rPr>
      <w:rFonts w:ascii="Arial" w:hAnsi="Arial" w:eastAsia="Arial" w:cs="Arial"/>
      <w:i/>
      <w:iCs/>
      <w:color w:val="272727" w:themeColor="text1" w:themeTint="D8"/>
    </w:rPr>
  </w:style>
  <w:style w:type="paragraph" w:styleId="992">
    <w:name w:val="Subtitle"/>
    <w:basedOn w:val="1023"/>
    <w:next w:val="1023"/>
    <w:link w:val="993"/>
    <w:uiPriority w:val="11"/>
    <w:qFormat/>
    <w:pPr>
      <w:numPr>
        <w:ilvl w:val="1"/>
      </w:numPr>
      <w:pBdr/>
      <w:spacing/>
      <w:ind/>
    </w:pPr>
    <w:rPr>
      <w:color w:val="595959" w:themeColor="text1" w:themeTint="A6"/>
      <w:spacing w:val="15"/>
      <w:sz w:val="28"/>
      <w:szCs w:val="28"/>
    </w:rPr>
  </w:style>
  <w:style w:type="character" w:styleId="993">
    <w:name w:val="Subtitle Char"/>
    <w:basedOn w:val="1028"/>
    <w:link w:val="992"/>
    <w:uiPriority w:val="11"/>
    <w:pPr>
      <w:pBdr/>
      <w:spacing/>
      <w:ind/>
    </w:pPr>
    <w:rPr>
      <w:color w:val="595959" w:themeColor="text1" w:themeTint="A6"/>
      <w:spacing w:val="15"/>
      <w:sz w:val="28"/>
      <w:szCs w:val="28"/>
    </w:rPr>
  </w:style>
  <w:style w:type="paragraph" w:styleId="994">
    <w:name w:val="Quote"/>
    <w:basedOn w:val="1023"/>
    <w:next w:val="1023"/>
    <w:link w:val="995"/>
    <w:uiPriority w:val="29"/>
    <w:qFormat/>
    <w:pPr>
      <w:pBdr/>
      <w:spacing w:before="160"/>
      <w:ind/>
      <w:jc w:val="center"/>
    </w:pPr>
    <w:rPr>
      <w:i/>
      <w:iCs/>
      <w:color w:val="404040" w:themeColor="text1" w:themeTint="BF"/>
    </w:rPr>
  </w:style>
  <w:style w:type="character" w:styleId="995">
    <w:name w:val="Quote Char"/>
    <w:basedOn w:val="1028"/>
    <w:link w:val="994"/>
    <w:uiPriority w:val="29"/>
    <w:pPr>
      <w:pBdr/>
      <w:spacing/>
      <w:ind/>
    </w:pPr>
    <w:rPr>
      <w:i/>
      <w:iCs/>
      <w:color w:val="404040" w:themeColor="text1" w:themeTint="BF"/>
    </w:rPr>
  </w:style>
  <w:style w:type="character" w:styleId="996">
    <w:name w:val="Intense Emphasis"/>
    <w:basedOn w:val="1028"/>
    <w:uiPriority w:val="21"/>
    <w:qFormat/>
    <w:pPr>
      <w:pBdr/>
      <w:spacing/>
      <w:ind/>
    </w:pPr>
    <w:rPr>
      <w:i/>
      <w:iCs/>
      <w:color w:val="0f4761" w:themeColor="accent1" w:themeShade="BF"/>
    </w:rPr>
  </w:style>
  <w:style w:type="paragraph" w:styleId="997">
    <w:name w:val="Intense Quote"/>
    <w:basedOn w:val="1023"/>
    <w:next w:val="1023"/>
    <w:link w:val="99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98">
    <w:name w:val="Intense Quote Char"/>
    <w:basedOn w:val="1028"/>
    <w:link w:val="997"/>
    <w:uiPriority w:val="30"/>
    <w:pPr>
      <w:pBdr/>
      <w:spacing/>
      <w:ind/>
    </w:pPr>
    <w:rPr>
      <w:i/>
      <w:iCs/>
      <w:color w:val="0f4761" w:themeColor="accent1" w:themeShade="BF"/>
    </w:rPr>
  </w:style>
  <w:style w:type="character" w:styleId="999">
    <w:name w:val="Intense Reference"/>
    <w:basedOn w:val="1028"/>
    <w:uiPriority w:val="32"/>
    <w:qFormat/>
    <w:pPr>
      <w:pBdr/>
      <w:spacing/>
      <w:ind/>
    </w:pPr>
    <w:rPr>
      <w:b/>
      <w:bCs/>
      <w:smallCaps/>
      <w:color w:val="0f4761" w:themeColor="accent1" w:themeShade="BF"/>
      <w:spacing w:val="5"/>
    </w:rPr>
  </w:style>
  <w:style w:type="paragraph" w:styleId="1000">
    <w:name w:val="No Spacing"/>
    <w:basedOn w:val="1023"/>
    <w:uiPriority w:val="1"/>
    <w:qFormat/>
    <w:pPr>
      <w:pBdr/>
      <w:spacing w:after="0" w:line="240" w:lineRule="auto"/>
      <w:ind/>
    </w:pPr>
  </w:style>
  <w:style w:type="character" w:styleId="1001">
    <w:name w:val="Subtle Emphasis"/>
    <w:basedOn w:val="1028"/>
    <w:uiPriority w:val="19"/>
    <w:qFormat/>
    <w:pPr>
      <w:pBdr/>
      <w:spacing/>
      <w:ind/>
    </w:pPr>
    <w:rPr>
      <w:i/>
      <w:iCs/>
      <w:color w:val="404040" w:themeColor="text1" w:themeTint="BF"/>
    </w:rPr>
  </w:style>
  <w:style w:type="character" w:styleId="1002">
    <w:name w:val="Subtle Reference"/>
    <w:basedOn w:val="1028"/>
    <w:uiPriority w:val="31"/>
    <w:qFormat/>
    <w:pPr>
      <w:pBdr/>
      <w:spacing/>
      <w:ind/>
    </w:pPr>
    <w:rPr>
      <w:smallCaps/>
      <w:color w:val="5a5a5a" w:themeColor="text1" w:themeTint="A5"/>
    </w:rPr>
  </w:style>
  <w:style w:type="character" w:styleId="1003">
    <w:name w:val="Book Title"/>
    <w:basedOn w:val="1028"/>
    <w:uiPriority w:val="33"/>
    <w:qFormat/>
    <w:pPr>
      <w:pBdr/>
      <w:spacing/>
      <w:ind/>
    </w:pPr>
    <w:rPr>
      <w:b/>
      <w:bCs/>
      <w:i/>
      <w:iCs/>
      <w:spacing w:val="5"/>
    </w:rPr>
  </w:style>
  <w:style w:type="paragraph" w:styleId="1004">
    <w:name w:val="Caption"/>
    <w:basedOn w:val="1023"/>
    <w:next w:val="1023"/>
    <w:uiPriority w:val="35"/>
    <w:unhideWhenUsed/>
    <w:qFormat/>
    <w:pPr>
      <w:pBdr/>
      <w:spacing w:after="200" w:line="240" w:lineRule="auto"/>
      <w:ind/>
    </w:pPr>
    <w:rPr>
      <w:i/>
      <w:iCs/>
      <w:color w:val="0e2841" w:themeColor="text2"/>
      <w:sz w:val="18"/>
      <w:szCs w:val="18"/>
    </w:rPr>
  </w:style>
  <w:style w:type="paragraph" w:styleId="1005">
    <w:name w:val="footnote text"/>
    <w:basedOn w:val="1023"/>
    <w:link w:val="1006"/>
    <w:uiPriority w:val="99"/>
    <w:semiHidden/>
    <w:unhideWhenUsed/>
    <w:pPr>
      <w:pBdr/>
      <w:spacing w:after="0" w:line="240" w:lineRule="auto"/>
      <w:ind/>
    </w:pPr>
    <w:rPr>
      <w:sz w:val="20"/>
      <w:szCs w:val="20"/>
    </w:rPr>
  </w:style>
  <w:style w:type="character" w:styleId="1006">
    <w:name w:val="Footnote Text Char"/>
    <w:basedOn w:val="1028"/>
    <w:link w:val="1005"/>
    <w:uiPriority w:val="99"/>
    <w:semiHidden/>
    <w:pPr>
      <w:pBdr/>
      <w:spacing/>
      <w:ind/>
    </w:pPr>
    <w:rPr>
      <w:sz w:val="20"/>
      <w:szCs w:val="20"/>
    </w:rPr>
  </w:style>
  <w:style w:type="character" w:styleId="1007">
    <w:name w:val="footnote reference"/>
    <w:basedOn w:val="1028"/>
    <w:uiPriority w:val="99"/>
    <w:semiHidden/>
    <w:unhideWhenUsed/>
    <w:pPr>
      <w:pBdr/>
      <w:spacing/>
      <w:ind/>
    </w:pPr>
    <w:rPr>
      <w:vertAlign w:val="superscript"/>
    </w:rPr>
  </w:style>
  <w:style w:type="paragraph" w:styleId="1008">
    <w:name w:val="endnote text"/>
    <w:basedOn w:val="1023"/>
    <w:link w:val="1009"/>
    <w:uiPriority w:val="99"/>
    <w:semiHidden/>
    <w:unhideWhenUsed/>
    <w:pPr>
      <w:pBdr/>
      <w:spacing w:after="0" w:line="240" w:lineRule="auto"/>
      <w:ind/>
    </w:pPr>
    <w:rPr>
      <w:sz w:val="20"/>
      <w:szCs w:val="20"/>
    </w:rPr>
  </w:style>
  <w:style w:type="character" w:styleId="1009">
    <w:name w:val="Endnote Text Char"/>
    <w:basedOn w:val="1028"/>
    <w:link w:val="1008"/>
    <w:uiPriority w:val="99"/>
    <w:semiHidden/>
    <w:pPr>
      <w:pBdr/>
      <w:spacing/>
      <w:ind/>
    </w:pPr>
    <w:rPr>
      <w:sz w:val="20"/>
      <w:szCs w:val="20"/>
    </w:rPr>
  </w:style>
  <w:style w:type="character" w:styleId="1010">
    <w:name w:val="endnote reference"/>
    <w:basedOn w:val="1028"/>
    <w:uiPriority w:val="99"/>
    <w:semiHidden/>
    <w:unhideWhenUsed/>
    <w:pPr>
      <w:pBdr/>
      <w:spacing/>
      <w:ind/>
    </w:pPr>
    <w:rPr>
      <w:vertAlign w:val="superscript"/>
    </w:rPr>
  </w:style>
  <w:style w:type="paragraph" w:styleId="1011">
    <w:name w:val="toc 1"/>
    <w:basedOn w:val="1023"/>
    <w:next w:val="1023"/>
    <w:uiPriority w:val="39"/>
    <w:unhideWhenUsed/>
    <w:pPr>
      <w:pBdr/>
      <w:spacing w:after="100"/>
      <w:ind/>
    </w:pPr>
  </w:style>
  <w:style w:type="paragraph" w:styleId="1012">
    <w:name w:val="toc 2"/>
    <w:basedOn w:val="1023"/>
    <w:next w:val="1023"/>
    <w:uiPriority w:val="39"/>
    <w:unhideWhenUsed/>
    <w:pPr>
      <w:pBdr/>
      <w:spacing w:after="100"/>
      <w:ind w:left="220"/>
    </w:pPr>
  </w:style>
  <w:style w:type="paragraph" w:styleId="1013">
    <w:name w:val="toc 3"/>
    <w:basedOn w:val="1023"/>
    <w:next w:val="1023"/>
    <w:uiPriority w:val="39"/>
    <w:unhideWhenUsed/>
    <w:pPr>
      <w:pBdr/>
      <w:spacing w:after="100"/>
      <w:ind w:left="440"/>
    </w:pPr>
  </w:style>
  <w:style w:type="paragraph" w:styleId="1014">
    <w:name w:val="toc 4"/>
    <w:basedOn w:val="1023"/>
    <w:next w:val="1023"/>
    <w:uiPriority w:val="39"/>
    <w:unhideWhenUsed/>
    <w:pPr>
      <w:pBdr/>
      <w:spacing w:after="100"/>
      <w:ind w:left="660"/>
    </w:pPr>
  </w:style>
  <w:style w:type="paragraph" w:styleId="1015">
    <w:name w:val="toc 5"/>
    <w:basedOn w:val="1023"/>
    <w:next w:val="1023"/>
    <w:uiPriority w:val="39"/>
    <w:unhideWhenUsed/>
    <w:pPr>
      <w:pBdr/>
      <w:spacing w:after="100"/>
      <w:ind w:left="880"/>
    </w:pPr>
  </w:style>
  <w:style w:type="paragraph" w:styleId="1016">
    <w:name w:val="toc 6"/>
    <w:basedOn w:val="1023"/>
    <w:next w:val="1023"/>
    <w:uiPriority w:val="39"/>
    <w:unhideWhenUsed/>
    <w:pPr>
      <w:pBdr/>
      <w:spacing w:after="100"/>
      <w:ind w:left="1100"/>
    </w:pPr>
  </w:style>
  <w:style w:type="paragraph" w:styleId="1017">
    <w:name w:val="toc 7"/>
    <w:basedOn w:val="1023"/>
    <w:next w:val="1023"/>
    <w:uiPriority w:val="39"/>
    <w:unhideWhenUsed/>
    <w:pPr>
      <w:pBdr/>
      <w:spacing w:after="100"/>
      <w:ind w:left="1320"/>
    </w:pPr>
  </w:style>
  <w:style w:type="paragraph" w:styleId="1018">
    <w:name w:val="toc 8"/>
    <w:basedOn w:val="1023"/>
    <w:next w:val="1023"/>
    <w:uiPriority w:val="39"/>
    <w:unhideWhenUsed/>
    <w:pPr>
      <w:pBdr/>
      <w:spacing w:after="100"/>
      <w:ind w:left="1540"/>
    </w:pPr>
  </w:style>
  <w:style w:type="paragraph" w:styleId="1019">
    <w:name w:val="toc 9"/>
    <w:basedOn w:val="1023"/>
    <w:next w:val="1023"/>
    <w:uiPriority w:val="39"/>
    <w:unhideWhenUsed/>
    <w:pPr>
      <w:pBdr/>
      <w:spacing w:after="100"/>
      <w:ind w:left="1760"/>
    </w:pPr>
  </w:style>
  <w:style w:type="character" w:styleId="1020">
    <w:name w:val="Placeholder Text"/>
    <w:basedOn w:val="1028"/>
    <w:uiPriority w:val="99"/>
    <w:semiHidden/>
    <w:pPr>
      <w:pBdr/>
      <w:spacing/>
      <w:ind/>
    </w:pPr>
    <w:rPr>
      <w:color w:val="666666"/>
    </w:rPr>
  </w:style>
  <w:style w:type="paragraph" w:styleId="1021">
    <w:name w:val="TOC Heading"/>
    <w:uiPriority w:val="39"/>
    <w:unhideWhenUsed/>
    <w:pPr>
      <w:pBdr/>
      <w:spacing/>
      <w:ind/>
    </w:pPr>
  </w:style>
  <w:style w:type="paragraph" w:styleId="1022">
    <w:name w:val="table of figures"/>
    <w:basedOn w:val="1023"/>
    <w:next w:val="1023"/>
    <w:uiPriority w:val="99"/>
    <w:unhideWhenUsed/>
    <w:pPr>
      <w:pBdr/>
      <w:spacing w:after="0" w:afterAutospacing="0"/>
      <w:ind/>
    </w:pPr>
  </w:style>
  <w:style w:type="paragraph" w:styleId="1023" w:default="1">
    <w:name w:val="Normal"/>
    <w:qFormat/>
    <w:pPr>
      <w:pBdr/>
      <w:spacing w:after="0" w:line="240" w:lineRule="auto"/>
      <w:ind/>
    </w:pPr>
    <w:rPr>
      <w:rFonts w:ascii="Times New Roman" w:hAnsi="Times New Roman" w:eastAsia="Times New Roman" w:cs="Times New Roman"/>
      <w:sz w:val="24"/>
      <w:szCs w:val="24"/>
    </w:rPr>
  </w:style>
  <w:style w:type="paragraph" w:styleId="1024">
    <w:name w:val="Heading 1"/>
    <w:basedOn w:val="1023"/>
    <w:next w:val="1023"/>
    <w:link w:val="1031"/>
    <w:qFormat/>
    <w:pPr>
      <w:keepNext w:val="true"/>
      <w:pBdr/>
      <w:spacing w:after="120" w:before="120"/>
      <w:ind/>
      <w:jc w:val="center"/>
      <w:outlineLvl w:val="0"/>
    </w:pPr>
    <w:rPr>
      <w:b/>
      <w:bCs/>
      <w:sz w:val="27"/>
      <w:szCs w:val="27"/>
    </w:rPr>
  </w:style>
  <w:style w:type="paragraph" w:styleId="1025">
    <w:name w:val="Heading 2"/>
    <w:basedOn w:val="1023"/>
    <w:next w:val="1023"/>
    <w:link w:val="103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26">
    <w:name w:val="Heading 3"/>
    <w:basedOn w:val="1023"/>
    <w:next w:val="1023"/>
    <w:link w:val="1033"/>
    <w:qFormat/>
    <w:pPr>
      <w:keepNext w:val="true"/>
      <w:pBdr/>
      <w:spacing w:before="60"/>
      <w:ind/>
      <w:outlineLvl w:val="2"/>
    </w:pPr>
    <w:rPr>
      <w:sz w:val="28"/>
      <w:szCs w:val="28"/>
    </w:rPr>
  </w:style>
  <w:style w:type="paragraph" w:styleId="1027">
    <w:name w:val="Heading 4"/>
    <w:basedOn w:val="1023"/>
    <w:next w:val="1023"/>
    <w:link w:val="1034"/>
    <w:qFormat/>
    <w:pPr>
      <w:keepNext w:val="true"/>
      <w:pBdr/>
      <w:spacing/>
      <w:ind/>
      <w:jc w:val="center"/>
      <w:outlineLvl w:val="3"/>
    </w:pPr>
    <w:rPr>
      <w:b/>
      <w:bCs/>
    </w:rPr>
  </w:style>
  <w:style w:type="character" w:styleId="1028" w:default="1">
    <w:name w:val="Default Paragraph Font"/>
    <w:uiPriority w:val="1"/>
    <w:semiHidden/>
    <w:unhideWhenUsed/>
    <w:pPr>
      <w:pBdr/>
      <w:spacing/>
      <w:ind/>
    </w:pPr>
  </w:style>
  <w:style w:type="table" w:styleId="102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30" w:default="1">
    <w:name w:val="No List"/>
    <w:uiPriority w:val="99"/>
    <w:semiHidden/>
    <w:unhideWhenUsed/>
    <w:pPr>
      <w:pBdr/>
      <w:spacing/>
      <w:ind/>
    </w:pPr>
  </w:style>
  <w:style w:type="character" w:styleId="1031" w:customStyle="1">
    <w:name w:val="Heading 1 Char"/>
    <w:basedOn w:val="1028"/>
    <w:link w:val="1024"/>
    <w:pPr>
      <w:pBdr/>
      <w:spacing/>
      <w:ind/>
    </w:pPr>
    <w:rPr>
      <w:rFonts w:ascii="Times New Roman" w:hAnsi="Times New Roman" w:eastAsia="Times New Roman" w:cs="Times New Roman"/>
      <w:b/>
      <w:bCs/>
      <w:sz w:val="27"/>
      <w:szCs w:val="27"/>
    </w:rPr>
  </w:style>
  <w:style w:type="character" w:styleId="1032" w:customStyle="1">
    <w:name w:val="Heading 2 Char"/>
    <w:basedOn w:val="1028"/>
    <w:link w:val="1025"/>
    <w:uiPriority w:val="9"/>
    <w:pPr>
      <w:pBdr/>
      <w:spacing/>
      <w:ind/>
    </w:pPr>
    <w:rPr>
      <w:rFonts w:asciiTheme="majorHAnsi" w:hAnsiTheme="majorHAnsi" w:eastAsiaTheme="majorEastAsia" w:cstheme="majorBidi"/>
      <w:color w:val="365f91" w:themeColor="accent1" w:themeShade="BF"/>
      <w:sz w:val="26"/>
      <w:szCs w:val="26"/>
    </w:rPr>
  </w:style>
  <w:style w:type="character" w:styleId="1033" w:customStyle="1">
    <w:name w:val="Heading 3 Char"/>
    <w:basedOn w:val="1028"/>
    <w:link w:val="1026"/>
    <w:pPr>
      <w:pBdr/>
      <w:spacing/>
      <w:ind/>
    </w:pPr>
    <w:rPr>
      <w:rFonts w:ascii="Times New Roman" w:hAnsi="Times New Roman" w:eastAsia="Times New Roman" w:cs="Times New Roman"/>
      <w:sz w:val="28"/>
      <w:szCs w:val="28"/>
    </w:rPr>
  </w:style>
  <w:style w:type="character" w:styleId="1034" w:customStyle="1">
    <w:name w:val="Heading 4 Char"/>
    <w:basedOn w:val="1028"/>
    <w:link w:val="1027"/>
    <w:pPr>
      <w:pBdr/>
      <w:spacing/>
      <w:ind/>
    </w:pPr>
    <w:rPr>
      <w:rFonts w:ascii="Times New Roman" w:hAnsi="Times New Roman" w:eastAsia="Times New Roman" w:cs="Times New Roman"/>
      <w:b/>
      <w:bCs/>
      <w:sz w:val="24"/>
      <w:szCs w:val="24"/>
    </w:rPr>
  </w:style>
  <w:style w:type="character" w:styleId="1035">
    <w:name w:val="Hyperlink"/>
    <w:uiPriority w:val="99"/>
    <w:pPr>
      <w:pBdr/>
      <w:spacing/>
      <w:ind/>
    </w:pPr>
    <w:rPr>
      <w:color w:val="000000"/>
      <w:u w:val="single"/>
    </w:rPr>
  </w:style>
  <w:style w:type="character" w:styleId="1036">
    <w:name w:val="Strong"/>
    <w:uiPriority w:val="22"/>
    <w:qFormat/>
    <w:pPr>
      <w:pBdr/>
      <w:spacing/>
      <w:ind/>
    </w:pPr>
    <w:rPr>
      <w:b/>
      <w:bCs/>
    </w:rPr>
  </w:style>
  <w:style w:type="paragraph" w:styleId="1037">
    <w:name w:val="Balloon Text"/>
    <w:basedOn w:val="1023"/>
    <w:link w:val="1038"/>
    <w:uiPriority w:val="99"/>
    <w:semiHidden/>
    <w:unhideWhenUsed/>
    <w:pPr>
      <w:pBdr/>
      <w:spacing/>
      <w:ind/>
    </w:pPr>
    <w:rPr>
      <w:rFonts w:ascii="Tahoma" w:hAnsi="Tahoma" w:cs="Tahoma"/>
      <w:sz w:val="16"/>
      <w:szCs w:val="16"/>
    </w:rPr>
  </w:style>
  <w:style w:type="character" w:styleId="1038" w:customStyle="1">
    <w:name w:val="Balloon Text Char"/>
    <w:basedOn w:val="1028"/>
    <w:link w:val="1037"/>
    <w:uiPriority w:val="99"/>
    <w:semiHidden/>
    <w:pPr>
      <w:pBdr/>
      <w:spacing/>
      <w:ind/>
    </w:pPr>
    <w:rPr>
      <w:rFonts w:ascii="Tahoma" w:hAnsi="Tahoma" w:eastAsia="Times New Roman" w:cs="Tahoma"/>
      <w:sz w:val="16"/>
      <w:szCs w:val="16"/>
    </w:rPr>
  </w:style>
  <w:style w:type="paragraph" w:styleId="1039">
    <w:name w:val="Header"/>
    <w:basedOn w:val="1023"/>
    <w:link w:val="1040"/>
    <w:unhideWhenUsed/>
    <w:pPr>
      <w:pBdr/>
      <w:tabs>
        <w:tab w:val="center" w:leader="none" w:pos="4680"/>
        <w:tab w:val="right" w:leader="none" w:pos="9360"/>
      </w:tabs>
      <w:spacing/>
      <w:ind/>
    </w:pPr>
  </w:style>
  <w:style w:type="character" w:styleId="1040" w:customStyle="1">
    <w:name w:val="Header Char"/>
    <w:basedOn w:val="1028"/>
    <w:link w:val="1039"/>
    <w:pPr>
      <w:pBdr/>
      <w:spacing/>
      <w:ind/>
    </w:pPr>
    <w:rPr>
      <w:rFonts w:ascii="Times New Roman" w:hAnsi="Times New Roman" w:eastAsia="Times New Roman" w:cs="Times New Roman"/>
      <w:sz w:val="24"/>
      <w:szCs w:val="24"/>
    </w:rPr>
  </w:style>
  <w:style w:type="paragraph" w:styleId="1041">
    <w:name w:val="Footer"/>
    <w:basedOn w:val="1023"/>
    <w:link w:val="1042"/>
    <w:uiPriority w:val="99"/>
    <w:unhideWhenUsed/>
    <w:pPr>
      <w:pBdr/>
      <w:tabs>
        <w:tab w:val="center" w:leader="none" w:pos="4680"/>
        <w:tab w:val="right" w:leader="none" w:pos="9360"/>
      </w:tabs>
      <w:spacing/>
      <w:ind/>
    </w:pPr>
  </w:style>
  <w:style w:type="character" w:styleId="1042" w:customStyle="1">
    <w:name w:val="Footer Char"/>
    <w:basedOn w:val="1028"/>
    <w:link w:val="1041"/>
    <w:uiPriority w:val="99"/>
    <w:pPr>
      <w:pBdr/>
      <w:spacing/>
      <w:ind/>
    </w:pPr>
    <w:rPr>
      <w:rFonts w:ascii="Times New Roman" w:hAnsi="Times New Roman" w:eastAsia="Times New Roman" w:cs="Times New Roman"/>
      <w:sz w:val="24"/>
      <w:szCs w:val="24"/>
    </w:rPr>
  </w:style>
  <w:style w:type="character" w:styleId="1043" w:customStyle="1">
    <w:name w:val="normal-h1"/>
    <w:pPr>
      <w:pBdr/>
      <w:spacing/>
      <w:ind/>
    </w:pPr>
    <w:rPr>
      <w:rFonts w:hint="default" w:ascii=".VnTime" w:hAnsi=".VnTime"/>
      <w:color w:val="0000ff"/>
      <w:sz w:val="24"/>
      <w:szCs w:val="24"/>
    </w:rPr>
  </w:style>
  <w:style w:type="paragraph" w:styleId="1044" w:customStyle="1">
    <w:name w:val="normal-p"/>
    <w:basedOn w:val="1023"/>
    <w:pPr>
      <w:pBdr/>
      <w:spacing/>
      <w:ind/>
      <w:jc w:val="both"/>
    </w:pPr>
    <w:rPr>
      <w:sz w:val="20"/>
      <w:szCs w:val="20"/>
    </w:rPr>
  </w:style>
  <w:style w:type="paragraph" w:styleId="1045">
    <w:name w:val="List Paragraph"/>
    <w:basedOn w:val="1023"/>
    <w:link w:val="1132"/>
    <w:uiPriority w:val="34"/>
    <w:qFormat/>
    <w:pPr>
      <w:pBdr/>
      <w:spacing/>
      <w:ind w:left="720"/>
    </w:pPr>
  </w:style>
  <w:style w:type="paragraph" w:styleId="1046">
    <w:name w:val="Normal (Web)"/>
    <w:basedOn w:val="1023"/>
    <w:uiPriority w:val="99"/>
    <w:pPr>
      <w:pBdr/>
      <w:spacing w:after="100" w:afterAutospacing="1" w:before="100" w:beforeAutospacing="1"/>
      <w:ind/>
    </w:pPr>
  </w:style>
  <w:style w:type="paragraph" w:styleId="1047">
    <w:name w:val="Body Text"/>
    <w:basedOn w:val="1023"/>
    <w:link w:val="1048"/>
    <w:pPr>
      <w:pBdr/>
      <w:spacing w:after="120"/>
      <w:ind/>
      <w:jc w:val="both"/>
    </w:pPr>
  </w:style>
  <w:style w:type="character" w:styleId="1048" w:customStyle="1">
    <w:name w:val="Body Text Char"/>
    <w:basedOn w:val="1028"/>
    <w:link w:val="1047"/>
    <w:pPr>
      <w:pBdr/>
      <w:spacing/>
      <w:ind/>
    </w:pPr>
    <w:rPr>
      <w:rFonts w:ascii="Times New Roman" w:hAnsi="Times New Roman" w:eastAsia="Times New Roman" w:cs="Times New Roman"/>
      <w:sz w:val="24"/>
      <w:szCs w:val="24"/>
    </w:rPr>
  </w:style>
  <w:style w:type="table" w:styleId="1049">
    <w:name w:val="Table Grid"/>
    <w:basedOn w:val="102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5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51">
    <w:name w:val="annotation reference"/>
    <w:basedOn w:val="1028"/>
    <w:uiPriority w:val="99"/>
    <w:semiHidden/>
    <w:unhideWhenUsed/>
    <w:pPr>
      <w:pBdr/>
      <w:spacing/>
      <w:ind/>
    </w:pPr>
    <w:rPr>
      <w:sz w:val="16"/>
      <w:szCs w:val="16"/>
    </w:rPr>
  </w:style>
  <w:style w:type="paragraph" w:styleId="1052">
    <w:name w:val="annotation text"/>
    <w:basedOn w:val="1023"/>
    <w:link w:val="1053"/>
    <w:uiPriority w:val="99"/>
    <w:unhideWhenUsed/>
    <w:pPr>
      <w:pBdr/>
      <w:spacing/>
      <w:ind/>
    </w:pPr>
    <w:rPr>
      <w:sz w:val="20"/>
      <w:szCs w:val="20"/>
    </w:rPr>
  </w:style>
  <w:style w:type="character" w:styleId="1053" w:customStyle="1">
    <w:name w:val="Comment Text Char"/>
    <w:basedOn w:val="1028"/>
    <w:link w:val="1052"/>
    <w:uiPriority w:val="99"/>
    <w:pPr>
      <w:pBdr/>
      <w:spacing/>
      <w:ind/>
    </w:pPr>
    <w:rPr>
      <w:rFonts w:ascii="Times New Roman" w:hAnsi="Times New Roman" w:eastAsia="Times New Roman" w:cs="Times New Roman"/>
      <w:sz w:val="20"/>
      <w:szCs w:val="20"/>
    </w:rPr>
  </w:style>
  <w:style w:type="paragraph" w:styleId="1054">
    <w:name w:val="annotation subject"/>
    <w:basedOn w:val="1052"/>
    <w:next w:val="1052"/>
    <w:link w:val="1055"/>
    <w:uiPriority w:val="99"/>
    <w:semiHidden/>
    <w:unhideWhenUsed/>
    <w:pPr>
      <w:pBdr/>
      <w:spacing/>
      <w:ind/>
    </w:pPr>
    <w:rPr>
      <w:b/>
      <w:bCs/>
    </w:rPr>
  </w:style>
  <w:style w:type="character" w:styleId="1055" w:customStyle="1">
    <w:name w:val="Comment Subject Char"/>
    <w:basedOn w:val="1053"/>
    <w:link w:val="1054"/>
    <w:uiPriority w:val="99"/>
    <w:semiHidden/>
    <w:pPr>
      <w:pBdr/>
      <w:spacing/>
      <w:ind/>
    </w:pPr>
    <w:rPr>
      <w:rFonts w:ascii="Times New Roman" w:hAnsi="Times New Roman" w:eastAsia="Times New Roman" w:cs="Times New Roman"/>
      <w:b/>
      <w:bCs/>
      <w:sz w:val="20"/>
      <w:szCs w:val="20"/>
    </w:rPr>
  </w:style>
  <w:style w:type="paragraph" w:styleId="1056" w:customStyle="1">
    <w:name w:val="font5"/>
    <w:basedOn w:val="1023"/>
    <w:pPr>
      <w:pBdr/>
      <w:spacing w:after="100" w:afterAutospacing="1" w:before="100" w:beforeAutospacing="1"/>
      <w:ind/>
    </w:pPr>
    <w:rPr>
      <w:rFonts w:ascii="Tahoma" w:hAnsi="Tahoma" w:cs="Tahoma"/>
      <w:color w:val="000000"/>
      <w:sz w:val="18"/>
      <w:szCs w:val="18"/>
    </w:rPr>
  </w:style>
  <w:style w:type="paragraph" w:styleId="1057" w:customStyle="1">
    <w:name w:val="font6"/>
    <w:basedOn w:val="1023"/>
    <w:pPr>
      <w:pBdr/>
      <w:spacing w:after="100" w:afterAutospacing="1" w:before="100" w:beforeAutospacing="1"/>
      <w:ind/>
    </w:pPr>
    <w:rPr>
      <w:rFonts w:ascii="Tahoma" w:hAnsi="Tahoma" w:cs="Tahoma"/>
      <w:b/>
      <w:bCs/>
      <w:color w:val="000000"/>
      <w:sz w:val="18"/>
      <w:szCs w:val="18"/>
    </w:rPr>
  </w:style>
  <w:style w:type="paragraph" w:styleId="1058" w:customStyle="1">
    <w:name w:val="xl233"/>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9" w:customStyle="1">
    <w:name w:val="xl234"/>
    <w:basedOn w:val="1023"/>
    <w:pPr>
      <w:pBdr/>
      <w:spacing w:after="100" w:afterAutospacing="1" w:before="100" w:beforeAutospacing="1"/>
      <w:ind/>
      <w:jc w:val="center"/>
    </w:pPr>
  </w:style>
  <w:style w:type="paragraph" w:styleId="1060" w:customStyle="1">
    <w:name w:val="xl235"/>
    <w:basedOn w:val="1023"/>
    <w:pPr>
      <w:pBdr/>
      <w:spacing w:after="100" w:afterAutospacing="1" w:before="100" w:beforeAutospacing="1"/>
      <w:ind/>
      <w:jc w:val="center"/>
    </w:pPr>
    <w:rPr>
      <w:b/>
      <w:bCs/>
    </w:rPr>
  </w:style>
  <w:style w:type="paragraph" w:styleId="1061" w:customStyle="1">
    <w:name w:val="xl236"/>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2" w:customStyle="1">
    <w:name w:val="xl237"/>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3" w:customStyle="1">
    <w:name w:val="xl238"/>
    <w:basedOn w:val="102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4" w:customStyle="1">
    <w:name w:val="xl239"/>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65" w:customStyle="1">
    <w:name w:val="xl240"/>
    <w:basedOn w:val="1023"/>
    <w:pPr>
      <w:pBdr/>
      <w:spacing w:after="100" w:afterAutospacing="1" w:before="100" w:beforeAutospacing="1"/>
      <w:ind/>
    </w:pPr>
  </w:style>
  <w:style w:type="paragraph" w:styleId="1066" w:customStyle="1">
    <w:name w:val="xl241"/>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7" w:customStyle="1">
    <w:name w:val="xl242"/>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8" w:customStyle="1">
    <w:name w:val="xl243"/>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44"/>
    <w:basedOn w:val="1023"/>
    <w:pPr>
      <w:pBdr/>
      <w:spacing w:after="100" w:afterAutospacing="1" w:before="100" w:beforeAutospacing="1"/>
      <w:ind/>
    </w:pPr>
    <w:rPr>
      <w:b/>
      <w:bCs/>
    </w:rPr>
  </w:style>
  <w:style w:type="paragraph" w:styleId="1070" w:customStyle="1">
    <w:name w:val="xl245"/>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1" w:customStyle="1">
    <w:name w:val="xl246"/>
    <w:basedOn w:val="102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2" w:customStyle="1">
    <w:name w:val="xl247"/>
    <w:basedOn w:val="102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3" w:customStyle="1">
    <w:name w:val="xl248"/>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4" w:customStyle="1">
    <w:name w:val="xl249"/>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5" w:customStyle="1">
    <w:name w:val="xl250"/>
    <w:basedOn w:val="102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6" w:customStyle="1">
    <w:name w:val="xl251"/>
    <w:basedOn w:val="102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77" w:customStyle="1">
    <w:name w:val="xl252"/>
    <w:basedOn w:val="102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8" w:customStyle="1">
    <w:name w:val="xl253"/>
    <w:basedOn w:val="102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9" w:customStyle="1">
    <w:name w:val="xl254"/>
    <w:basedOn w:val="102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55"/>
    <w:basedOn w:val="102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1" w:customStyle="1">
    <w:name w:val="xl256"/>
    <w:basedOn w:val="102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82" w:customStyle="1">
    <w:name w:val="xl257"/>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3" w:customStyle="1">
    <w:name w:val="xl258"/>
    <w:basedOn w:val="102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4" w:customStyle="1">
    <w:name w:val="xl259"/>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5" w:customStyle="1">
    <w:name w:val="xl260"/>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6" w:customStyle="1">
    <w:name w:val="xl261"/>
    <w:basedOn w:val="102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7" w:customStyle="1">
    <w:name w:val="xl262"/>
    <w:basedOn w:val="102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8" w:customStyle="1">
    <w:name w:val="xl263"/>
    <w:basedOn w:val="1023"/>
    <w:pPr>
      <w:pBdr/>
      <w:shd w:val="clear" w:color="000000" w:fill="ffffff"/>
      <w:spacing w:after="100" w:afterAutospacing="1" w:before="100" w:beforeAutospacing="1"/>
      <w:ind/>
    </w:pPr>
  </w:style>
  <w:style w:type="paragraph" w:styleId="1089" w:customStyle="1">
    <w:name w:val="xl264"/>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0" w:customStyle="1">
    <w:name w:val="xl265"/>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1" w:customStyle="1">
    <w:name w:val="xl266"/>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92" w:customStyle="1">
    <w:name w:val="xl267"/>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3" w:customStyle="1">
    <w:name w:val="xl268"/>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4" w:customStyle="1">
    <w:name w:val="xl269"/>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5" w:customStyle="1">
    <w:name w:val="xl270"/>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6" w:customStyle="1">
    <w:name w:val="xl271"/>
    <w:basedOn w:val="102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97" w:customStyle="1">
    <w:name w:val="xl272"/>
    <w:basedOn w:val="102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98" w:customStyle="1">
    <w:name w:val="xl273"/>
    <w:basedOn w:val="102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9" w:customStyle="1">
    <w:name w:val="xl274"/>
    <w:basedOn w:val="102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100" w:customStyle="1">
    <w:name w:val="xl275"/>
    <w:basedOn w:val="1023"/>
    <w:pPr>
      <w:pBdr/>
      <w:spacing w:after="100" w:afterAutospacing="1" w:before="100" w:beforeAutospacing="1"/>
      <w:ind/>
    </w:pPr>
  </w:style>
  <w:style w:type="paragraph" w:styleId="1101" w:customStyle="1">
    <w:name w:val="xl276"/>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2" w:customStyle="1">
    <w:name w:val="xl277"/>
    <w:basedOn w:val="102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103" w:customStyle="1">
    <w:name w:val="xl278"/>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4" w:customStyle="1">
    <w:name w:val="xl279"/>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5" w:customStyle="1">
    <w:name w:val="xl280"/>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106" w:customStyle="1">
    <w:name w:val="xl281"/>
    <w:basedOn w:val="102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107" w:customStyle="1">
    <w:name w:val="xl282"/>
    <w:basedOn w:val="102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8" w:customStyle="1">
    <w:name w:val="xl283"/>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9" w:customStyle="1">
    <w:name w:val="xl284"/>
    <w:basedOn w:val="1023"/>
    <w:pPr>
      <w:pBdr>
        <w:left w:val="single" w:color="000000" w:sz="4" w:space="0"/>
        <w:bottom w:val="single" w:color="000000" w:sz="4" w:space="0"/>
        <w:right w:val="single" w:color="000000" w:sz="4" w:space="0"/>
      </w:pBdr>
      <w:spacing w:after="100" w:afterAutospacing="1" w:before="100" w:beforeAutospacing="1"/>
      <w:ind/>
    </w:pPr>
  </w:style>
  <w:style w:type="paragraph" w:styleId="1110" w:customStyle="1">
    <w:name w:val="xl285"/>
    <w:basedOn w:val="102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11" w:customStyle="1">
    <w:name w:val="xl286"/>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2" w:customStyle="1">
    <w:name w:val="xl287"/>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13" w:customStyle="1">
    <w:name w:val="xl288"/>
    <w:basedOn w:val="1023"/>
    <w:pPr>
      <w:pBdr>
        <w:top w:val="single" w:color="000000" w:sz="4" w:space="0"/>
        <w:left w:val="single" w:color="000000" w:sz="4" w:space="0"/>
        <w:right w:val="single" w:color="000000" w:sz="4" w:space="0"/>
      </w:pBdr>
      <w:spacing w:after="100" w:afterAutospacing="1" w:before="100" w:beforeAutospacing="1"/>
      <w:ind/>
    </w:pPr>
  </w:style>
  <w:style w:type="paragraph" w:styleId="1114" w:customStyle="1">
    <w:name w:val="xl289"/>
    <w:basedOn w:val="1023"/>
    <w:pPr>
      <w:pBdr>
        <w:left w:val="single" w:color="000000" w:sz="4" w:space="0"/>
        <w:right w:val="single" w:color="000000" w:sz="4" w:space="0"/>
      </w:pBdr>
      <w:spacing w:after="100" w:afterAutospacing="1" w:before="100" w:beforeAutospacing="1"/>
      <w:ind/>
    </w:pPr>
    <w:rPr>
      <w:b/>
      <w:bCs/>
    </w:rPr>
  </w:style>
  <w:style w:type="paragraph" w:styleId="1115" w:customStyle="1">
    <w:name w:val="xl290"/>
    <w:basedOn w:val="102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16" w:customStyle="1">
    <w:name w:val="xl291"/>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17" w:customStyle="1">
    <w:name w:val="xl292"/>
    <w:basedOn w:val="1023"/>
    <w:pPr>
      <w:pBdr>
        <w:top w:val="single" w:color="000000" w:sz="4" w:space="0"/>
        <w:left w:val="single" w:color="000000" w:sz="4" w:space="0"/>
        <w:right w:val="single" w:color="000000" w:sz="4" w:space="0"/>
      </w:pBdr>
      <w:spacing w:after="100" w:afterAutospacing="1" w:before="100" w:beforeAutospacing="1"/>
      <w:ind/>
    </w:pPr>
  </w:style>
  <w:style w:type="paragraph" w:styleId="1118" w:customStyle="1">
    <w:name w:val="xl293"/>
    <w:basedOn w:val="1023"/>
    <w:pPr>
      <w:pBdr>
        <w:left w:val="single" w:color="000000" w:sz="4" w:space="0"/>
        <w:bottom w:val="single" w:color="000000" w:sz="4" w:space="0"/>
        <w:right w:val="single" w:color="000000" w:sz="4" w:space="0"/>
      </w:pBdr>
      <w:spacing w:after="100" w:afterAutospacing="1" w:before="100" w:beforeAutospacing="1"/>
      <w:ind/>
    </w:pPr>
  </w:style>
  <w:style w:type="paragraph" w:styleId="1119" w:customStyle="1">
    <w:name w:val="xl294"/>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20">
    <w:name w:val="Title"/>
    <w:basedOn w:val="1023"/>
    <w:link w:val="1121"/>
    <w:qFormat/>
    <w:pPr>
      <w:pBdr/>
      <w:spacing/>
      <w:ind/>
      <w:jc w:val="center"/>
    </w:pPr>
    <w:rPr>
      <w:b/>
      <w:bCs/>
      <w:sz w:val="32"/>
      <w:szCs w:val="26"/>
    </w:rPr>
  </w:style>
  <w:style w:type="character" w:styleId="1121" w:customStyle="1">
    <w:name w:val="Title Char"/>
    <w:basedOn w:val="1028"/>
    <w:link w:val="1120"/>
    <w:pPr>
      <w:pBdr/>
      <w:spacing/>
      <w:ind/>
    </w:pPr>
    <w:rPr>
      <w:rFonts w:ascii="Times New Roman" w:hAnsi="Times New Roman" w:eastAsia="Times New Roman" w:cs="Times New Roman"/>
      <w:b/>
      <w:bCs/>
      <w:sz w:val="32"/>
      <w:szCs w:val="26"/>
    </w:rPr>
  </w:style>
  <w:style w:type="character" w:styleId="1122" w:customStyle="1">
    <w:name w:val="Unresolved Mention1"/>
    <w:basedOn w:val="1028"/>
    <w:uiPriority w:val="99"/>
    <w:semiHidden/>
    <w:unhideWhenUsed/>
    <w:pPr>
      <w:pBdr/>
      <w:spacing/>
      <w:ind/>
    </w:pPr>
    <w:rPr>
      <w:color w:val="605e5c"/>
      <w:shd w:val="clear" w:color="auto" w:fill="e1dfdd"/>
    </w:rPr>
  </w:style>
  <w:style w:type="character" w:styleId="1123" w:customStyle="1">
    <w:name w:val="Body text (3)_"/>
    <w:link w:val="1124"/>
    <w:pPr>
      <w:pBdr/>
      <w:spacing/>
      <w:ind/>
    </w:pPr>
    <w:rPr>
      <w:rFonts w:ascii="Times New Roman" w:hAnsi="Times New Roman" w:cs="Times New Roman"/>
      <w:i/>
      <w:iCs/>
      <w:spacing w:val="4"/>
      <w:shd w:val="clear" w:color="auto" w:fill="ffffff"/>
    </w:rPr>
  </w:style>
  <w:style w:type="paragraph" w:styleId="1124" w:customStyle="1">
    <w:name w:val="Body text (3)1"/>
    <w:basedOn w:val="1023"/>
    <w:link w:val="112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25" w:customStyle="1">
    <w:name w:val="t-j"/>
    <w:basedOn w:val="1023"/>
    <w:pPr>
      <w:pBdr/>
      <w:spacing w:after="100" w:afterAutospacing="1" w:before="100" w:beforeAutospacing="1"/>
      <w:ind/>
    </w:pPr>
  </w:style>
  <w:style w:type="character" w:styleId="1126" w:customStyle="1">
    <w:name w:val="Unresolved Mention2"/>
    <w:basedOn w:val="1028"/>
    <w:uiPriority w:val="99"/>
    <w:semiHidden/>
    <w:unhideWhenUsed/>
    <w:pPr>
      <w:pBdr/>
      <w:spacing/>
      <w:ind/>
    </w:pPr>
    <w:rPr>
      <w:color w:val="605e5c"/>
      <w:shd w:val="clear" w:color="auto" w:fill="e1dfdd"/>
    </w:rPr>
  </w:style>
  <w:style w:type="character" w:styleId="1127">
    <w:name w:val="FollowedHyperlink"/>
    <w:basedOn w:val="1028"/>
    <w:uiPriority w:val="99"/>
    <w:semiHidden/>
    <w:unhideWhenUsed/>
    <w:pPr>
      <w:pBdr/>
      <w:spacing/>
      <w:ind/>
    </w:pPr>
    <w:rPr>
      <w:color w:val="800080" w:themeColor="followedHyperlink"/>
      <w:u w:val="single"/>
    </w:rPr>
  </w:style>
  <w:style w:type="character" w:styleId="1128" w:customStyle="1">
    <w:name w:val="text"/>
    <w:basedOn w:val="1028"/>
    <w:pPr>
      <w:pBdr/>
      <w:spacing/>
      <w:ind/>
    </w:pPr>
  </w:style>
  <w:style w:type="character" w:styleId="1129" w:customStyle="1">
    <w:name w:val="card-send-time__sendtime"/>
    <w:basedOn w:val="1028"/>
    <w:pPr>
      <w:pBdr/>
      <w:spacing/>
      <w:ind/>
    </w:pPr>
  </w:style>
  <w:style w:type="character" w:styleId="1130" w:customStyle="1">
    <w:name w:val="Đề cập Chưa giải quyết1"/>
    <w:basedOn w:val="1028"/>
    <w:uiPriority w:val="99"/>
    <w:semiHidden/>
    <w:unhideWhenUsed/>
    <w:pPr>
      <w:pBdr/>
      <w:spacing/>
      <w:ind/>
    </w:pPr>
    <w:rPr>
      <w:color w:val="605e5c"/>
      <w:shd w:val="clear" w:color="auto" w:fill="e1dfdd"/>
    </w:rPr>
  </w:style>
  <w:style w:type="paragraph" w:styleId="1131" w:customStyle="1">
    <w:name w:val="nqtitle"/>
    <w:basedOn w:val="1023"/>
    <w:pPr>
      <w:pBdr/>
      <w:spacing w:after="100" w:afterAutospacing="1" w:before="100" w:beforeAutospacing="1"/>
      <w:ind/>
    </w:pPr>
    <w:rPr>
      <w:lang w:val="vi-VN" w:eastAsia="vi-VN"/>
    </w:rPr>
  </w:style>
  <w:style w:type="character" w:styleId="1132" w:customStyle="1">
    <w:name w:val="List Paragraph Char"/>
    <w:link w:val="1045"/>
    <w:uiPriority w:val="34"/>
    <w:qFormat/>
    <w:pPr>
      <w:pBdr/>
      <w:spacing/>
      <w:ind/>
    </w:pPr>
    <w:rPr>
      <w:rFonts w:ascii="Times New Roman" w:hAnsi="Times New Roman" w:eastAsia="Times New Roman" w:cs="Times New Roman"/>
      <w:sz w:val="24"/>
      <w:szCs w:val="24"/>
    </w:rPr>
  </w:style>
  <w:style w:type="character" w:styleId="1133" w:customStyle="1">
    <w:name w:val="Đề cập Chưa giải quyết2"/>
    <w:basedOn w:val="1028"/>
    <w:uiPriority w:val="99"/>
    <w:semiHidden/>
    <w:unhideWhenUsed/>
    <w:pPr>
      <w:pBdr/>
      <w:spacing/>
      <w:ind/>
    </w:pPr>
    <w:rPr>
      <w:color w:val="605e5c"/>
      <w:shd w:val="clear" w:color="auto" w:fill="e1dfdd"/>
    </w:rPr>
  </w:style>
  <w:style w:type="character" w:styleId="1134" w:customStyle="1">
    <w:name w:val="Unresolved Mention3"/>
    <w:basedOn w:val="1028"/>
    <w:uiPriority w:val="99"/>
    <w:semiHidden/>
    <w:unhideWhenUsed/>
    <w:pPr>
      <w:pBdr/>
      <w:spacing/>
      <w:ind/>
    </w:pPr>
    <w:rPr>
      <w:color w:val="605e5c"/>
      <w:shd w:val="clear" w:color="auto" w:fill="e1dfdd"/>
    </w:rPr>
  </w:style>
  <w:style w:type="character" w:styleId="1135" w:customStyle="1">
    <w:name w:val="copy"/>
    <w:basedOn w:val="1028"/>
    <w:pPr>
      <w:pBdr/>
      <w:spacing/>
      <w:ind/>
    </w:pPr>
  </w:style>
  <w:style w:type="paragraph" w:styleId="1136" w:customStyle="1">
    <w:name w:val="align-justify"/>
    <w:basedOn w:val="1023"/>
    <w:pPr>
      <w:pBdr/>
      <w:spacing w:after="100" w:afterAutospacing="1" w:before="100" w:beforeAutospacing="1"/>
      <w:ind/>
    </w:pPr>
  </w:style>
  <w:style w:type="character" w:styleId="1137" w:customStyle="1">
    <w:name w:val="btn"/>
    <w:basedOn w:val="1028"/>
    <w:pPr>
      <w:pBdr/>
      <w:spacing/>
      <w:ind/>
    </w:pPr>
  </w:style>
  <w:style w:type="character" w:styleId="1138" w:customStyle="1">
    <w:name w:val="hide_mobile"/>
    <w:basedOn w:val="1028"/>
    <w:pPr>
      <w:pBdr/>
      <w:spacing/>
      <w:ind/>
    </w:pPr>
  </w:style>
  <w:style w:type="character" w:styleId="1139">
    <w:name w:val="Emphasis"/>
    <w:basedOn w:val="1028"/>
    <w:uiPriority w:val="20"/>
    <w:qFormat/>
    <w:pPr>
      <w:pBdr/>
      <w:spacing/>
      <w:ind/>
    </w:pPr>
    <w:rPr>
      <w:i/>
      <w:iCs/>
    </w:rPr>
  </w:style>
  <w:style w:type="character" w:styleId="1140" w:customStyle="1">
    <w:name w:val="t1"/>
    <w:basedOn w:val="1028"/>
    <w:pPr>
      <w:pBdr/>
      <w:spacing/>
      <w:ind/>
    </w:pPr>
  </w:style>
  <w:style w:type="character" w:styleId="1141" w:customStyle="1">
    <w:name w:val="Unresolved Mention4"/>
    <w:basedOn w:val="1028"/>
    <w:uiPriority w:val="99"/>
    <w:semiHidden/>
    <w:unhideWhenUsed/>
    <w:pPr>
      <w:pBdr/>
      <w:spacing/>
      <w:ind/>
    </w:pPr>
    <w:rPr>
      <w:color w:val="605e5c"/>
      <w:shd w:val="clear" w:color="auto" w:fill="e1dfdd"/>
    </w:rPr>
  </w:style>
  <w:style w:type="character" w:styleId="1142">
    <w:name w:val="Unresolved Mention"/>
    <w:basedOn w:val="102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footer" Target="footer3.xml" /><Relationship Id="rId14" Type="http://schemas.openxmlformats.org/officeDocument/2006/relationships/customXml" Target="../customXml/item1.xml" /><Relationship Id="rId15" Type="http://schemas.openxmlformats.org/officeDocument/2006/relationships/image" Target="media/image2.jpg"/><Relationship Id="rId16" Type="http://schemas.openxmlformats.org/officeDocument/2006/relationships/hyperlink" Target="mailto:ilotus.contact@gmail.com" TargetMode="External"/><Relationship Id="rId17" Type="http://schemas.openxmlformats.org/officeDocument/2006/relationships/hyperlink" Target="mailto:ilotus.contact@gmail.com" TargetMode="External"/><Relationship Id="rId18" Type="http://schemas.openxmlformats.org/officeDocument/2006/relationships/image" Target="media/image3.png"/><Relationship Id="rId19" Type="http://schemas.openxmlformats.org/officeDocument/2006/relationships/image" Target="media/image4.png"/><Relationship Id="rId20" Type="http://schemas.openxmlformats.org/officeDocument/2006/relationships/image" Target="media/image5.jpg"/><Relationship Id="rId21" Type="http://schemas.openxmlformats.org/officeDocument/2006/relationships/image" Target="media/image6.jpg"/><Relationship Id="rId22" Type="http://schemas.openxmlformats.org/officeDocument/2006/relationships/image" Target="media/image7.jpg"/><Relationship Id="rId23" Type="http://schemas.openxmlformats.org/officeDocument/2006/relationships/image" Target="media/image8.jpg"/><Relationship Id="rId24" Type="http://schemas.openxmlformats.org/officeDocument/2006/relationships/image" Target="media/image9.jpg"/><Relationship Id="rId25" Type="http://schemas.openxmlformats.org/officeDocument/2006/relationships/image" Target="media/image10.jpg"/><Relationship Id="rId26" Type="http://schemas.openxmlformats.org/officeDocument/2006/relationships/image" Target="media/image11.png"/><Relationship Id="rId27" Type="http://schemas.openxmlformats.org/officeDocument/2006/relationships/image" Target="media/image12.png"/><Relationship Id="rId28" Type="http://schemas.openxmlformats.org/officeDocument/2006/relationships/image" Target="media/image13.png"/><Relationship Id="rId29" Type="http://schemas.openxmlformats.org/officeDocument/2006/relationships/image" Target="media/image14.png"/><Relationship Id="rId30" Type="http://schemas.openxmlformats.org/officeDocument/2006/relationships/image" Target="media/image15.png"/><Relationship Id="rId31" Type="http://schemas.openxmlformats.org/officeDocument/2006/relationships/image" Target="media/image16.png"/><Relationship Id="rId32" Type="http://schemas.openxmlformats.org/officeDocument/2006/relationships/image" Target="media/image17.png"/><Relationship Id="rId33" Type="http://schemas.openxmlformats.org/officeDocument/2006/relationships/image" Target="media/image18.png"/><Relationship Id="rId34" Type="http://schemas.openxmlformats.org/officeDocument/2006/relationships/image" Target="media/image19.jpg"/><Relationship Id="rId35" Type="http://schemas.openxmlformats.org/officeDocument/2006/relationships/image" Target="media/image20.jpg"/><Relationship Id="rId36" Type="http://schemas.openxmlformats.org/officeDocument/2006/relationships/image" Target="media/image21.jpg"/><Relationship Id="rId37" Type="http://schemas.openxmlformats.org/officeDocument/2006/relationships/image" Target="media/image22.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Thùy</cp:lastModifiedBy>
  <cp:revision>282</cp:revision>
  <dcterms:created xsi:type="dcterms:W3CDTF">2025-09-15T09:58:00Z</dcterms:created>
  <dcterms:modified xsi:type="dcterms:W3CDTF">2026-07-16T02:35:25Z</dcterms:modified>
</cp:coreProperties>
</file>