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49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49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275/2026/0952/VFI-CT.57.A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VĂN HỆ</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i/>
                                <w:iCs/>
                                <w:color w:val="000000"/>
                                <w:sz w:val="24"/>
                              </w:rPr>
                              <w:t xml:space="preserve"> (Nay là </w:t>
                            </w:r>
                            <w:r>
                              <w:rPr>
                                <w:rFonts w:ascii="Times New Roman" w:hAnsi="Times New Roman" w:eastAsia="Times New Roman" w:cs="Times New Roman"/>
                                <w:i/>
                                <w:iCs/>
                                <w:color w:val="212529"/>
                                <w:sz w:val="24"/>
                                <w:highlight w:val="white"/>
                              </w:rPr>
                              <w:t xml:space="preserve">Phường Lâm Viên - Đà Lạt, tỉnh Lâm Đồng</w:t>
                            </w:r>
                            <w:r>
                              <w:rPr>
                                <w:rFonts w:ascii="Times New Roman" w:hAnsi="Times New Roman" w:eastAsia="Times New Roman" w:cs="Times New Roman"/>
                                <w:i/>
                                <w:iCs/>
                                <w:color w:val="212529"/>
                                <w:sz w:val="24"/>
                                <w:highlight w:val="none"/>
                              </w:rPr>
                              <w:t xml:space="preserve">)</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 theo Giấy chứng nhận quyền sử dụng đất quyền sở hữu nhà ở và tài sản</w:t>
                            </w:r>
                            <w:r>
                              <w:rPr>
                                <w:rFonts w:ascii="Times New Roman" w:hAnsi="Times New Roman" w:eastAsia="Times New Roman" w:cs="Times New Roman"/>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275/2026/0952/VFI-CT.57.A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VŨ VĂN HỆ</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i/>
                          <w:iCs/>
                          <w:color w:val="000000"/>
                          <w:sz w:val="24"/>
                        </w:rPr>
                        <w:t xml:space="preserve"> (Nay là </w:t>
                      </w:r>
                      <w:r>
                        <w:rPr>
                          <w:rFonts w:ascii="Times New Roman" w:hAnsi="Times New Roman" w:eastAsia="Times New Roman" w:cs="Times New Roman"/>
                          <w:i/>
                          <w:iCs/>
                          <w:color w:val="212529"/>
                          <w:sz w:val="24"/>
                          <w:highlight w:val="white"/>
                        </w:rPr>
                        <w:t xml:space="preserve">Phường Lâm Viên - Đà Lạt, tỉnh Lâm Đồng</w:t>
                      </w:r>
                      <w:r>
                        <w:rPr>
                          <w:rFonts w:ascii="Times New Roman" w:hAnsi="Times New Roman" w:eastAsia="Times New Roman" w:cs="Times New Roman"/>
                          <w:i/>
                          <w:iCs/>
                          <w:color w:val="212529"/>
                          <w:sz w:val="24"/>
                          <w:highlight w:val="none"/>
                        </w:rPr>
                        <w:t xml:space="preserve">)</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 theo Giấy chứng nhận quyền sử dụng đất quyền sở hữu nhà ở và tài sản</w:t>
                      </w:r>
                      <w:r>
                        <w:rPr>
                          <w:rFonts w:ascii="Times New Roman" w:hAnsi="Times New Roman" w:eastAsia="Times New Roman" w:cs="Times New Roman"/>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w:t>
            </w:r>
            <w:r>
              <w:rPr>
                <w:b/>
                <w:bCs/>
              </w:rPr>
            </w:r>
            <w:r>
              <w:rPr>
                <w:b/>
                <w:bCs/>
              </w:rPr>
            </w:r>
          </w:p>
        </w:tc>
      </w:tr>
      <w:tr>
        <w:trPr/>
        <w:tc>
          <w:tcPr>
            <w:tcBorders/>
            <w:tcMar>
              <w:left w:w="108" w:type="dxa"/>
              <w:right w:w="108" w:type="dxa"/>
            </w:tcMar>
            <w:tcW w:w="7280" w:type="dxa"/>
            <w:vAlign w:val="center"/>
            <w:textDirection w:val="lrTb"/>
            <w:noWrap w:val="false"/>
          </w:tcPr>
          <w:p>
            <w:pPr>
              <w:pStyle w:val="1034"/>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24-32</w:t>
            </w:r>
            <w:r>
              <w:rPr>
                <w:b/>
                <w:bCs/>
              </w:rPr>
            </w:r>
            <w:r>
              <w:rPr>
                <w:b/>
                <w:bCs/>
              </w:rPr>
            </w:r>
          </w:p>
        </w:tc>
      </w:tr>
    </w:tbl>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3"/>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275/2026/0952/VFI-CT.57.A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bl>
    <w:p>
      <w:pPr>
        <w:pStyle w:val="1033"/>
        <w:pBdr/>
        <w:spacing w:after="120" w:before="200" w:line="288" w:lineRule="auto"/>
        <w:ind/>
        <w:jc w:val="center"/>
        <w:rPr>
          <w:rStyle w:val="1032"/>
          <w:rFonts w:ascii="Times New Roman" w:hAnsi="Times New Roman"/>
          <w:b/>
          <w:bCs/>
          <w:color w:val="auto"/>
          <w:sz w:val="30"/>
          <w:szCs w:val="30"/>
          <w:lang w:val="vi-VN"/>
        </w:rPr>
      </w:pPr>
      <w:r>
        <w:rPr>
          <w:rStyle w:val="1032"/>
          <w:rFonts w:ascii="Times New Roman" w:hAnsi="Times New Roman"/>
          <w:b/>
          <w:bCs/>
          <w:color w:val="auto"/>
          <w:sz w:val="30"/>
          <w:szCs w:val="30"/>
          <w:lang w:val="vi-VN"/>
        </w:rPr>
        <w:t xml:space="preserve">CHỨNG THƯ THẨM ĐỊNH GIÁ</w:t>
      </w:r>
      <w:r>
        <w:rPr>
          <w:rStyle w:val="1032"/>
          <w:rFonts w:ascii="Times New Roman" w:hAnsi="Times New Roman"/>
          <w:b/>
          <w:bCs/>
          <w:color w:val="auto"/>
          <w:sz w:val="30"/>
          <w:szCs w:val="30"/>
          <w:lang w:val="vi-VN"/>
        </w:rPr>
      </w:r>
      <w:r>
        <w:rPr>
          <w:rStyle w:val="1032"/>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VŨ VĂN HỆ</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275/2026/0952/VFI-HĐTĐ.57.A</w:t>
      </w:r>
      <w:r>
        <w:rPr>
          <w:spacing w:val="-4"/>
          <w:lang w:val="vi-VN"/>
        </w:rPr>
        <w:t xml:space="preserve"> ký ngày </w:t>
      </w:r>
      <w:r>
        <w:rPr>
          <w:color w:val="000000" w:themeColor="text1"/>
          <w:spacing w:val="-4"/>
        </w:rPr>
        <w:t xml:space="preserve">24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z w:val="24"/>
        </w:rPr>
        <w:t xml:space="preserve">Ông Vũ Văn Hệ </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275/2026/0952/VFI-BC.57.A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25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ÔNG VŨ VĂN HỆ</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1960</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037060004675</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TDP Đồng Tâm 08, Phường Yên Bái, Tỉnh Lào Cai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i/>
          <w:iCs/>
          <w:color w:val="000000"/>
          <w:sz w:val="24"/>
        </w:rPr>
        <w:t xml:space="preserve"> (Nay là </w:t>
      </w:r>
      <w:r>
        <w:rPr>
          <w:rFonts w:ascii="Times New Roman" w:hAnsi="Times New Roman" w:eastAsia="Times New Roman" w:cs="Times New Roman"/>
          <w:i/>
          <w:iCs/>
          <w:color w:val="212529"/>
          <w:sz w:val="24"/>
          <w:highlight w:val="white"/>
        </w:rPr>
        <w:t xml:space="preserve">Phường Lâm Viên - Đà Lạt, tỉnh Lâm Đồng</w:t>
      </w:r>
      <w:r>
        <w:rPr>
          <w:rFonts w:ascii="Times New Roman" w:hAnsi="Times New Roman" w:eastAsia="Times New Roman" w:cs="Times New Roman"/>
          <w:i/>
          <w:iCs/>
          <w:color w:val="212529"/>
          <w:sz w:val="24"/>
          <w:highlight w:val="none"/>
        </w:rPr>
        <w:t xml:space="preserve">)</w:t>
      </w:r>
      <w:r>
        <w:rPr>
          <w:rFonts w:ascii="Times New Roman" w:hAnsi="Times New Roman" w:eastAsia="Times New Roman" w:cs="Times New Roman"/>
          <w:i/>
          <w:iCs/>
          <w:color w:val="000000"/>
          <w:sz w:val="24"/>
        </w:rPr>
        <w:t xml:space="preserve"> </w:t>
      </w:r>
      <w:r>
        <w:rPr>
          <w:rFonts w:ascii="Times New Roman" w:hAnsi="Times New Roman" w:eastAsia="Times New Roman" w:cs="Times New Roman"/>
          <w:color w:val="000000"/>
          <w:sz w:val="24"/>
        </w:rPr>
        <w:t xml:space="preserve"> theo Giấy chứng nhận quyền sử dụng đất quyền sở hữu nhà ở và tài sản</w:t>
      </w:r>
      <w:r>
        <w:rPr>
          <w:rFonts w:ascii="Times New Roman" w:hAnsi="Times New Roman" w:eastAsia="Times New Roman" w:cs="Times New Roman"/>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r>
            <w:r>
              <w:rPr>
                <w:rFonts w:ascii="Times New Roman" w:hAnsi="Times New Roman" w:eastAsia="Times New Roman" w:cs="Times New Roman"/>
                <w:b/>
                <w:color w:val="000000"/>
                <w:sz w:val="24"/>
              </w:rPr>
              <w:t xml:space="preserve">CLCL </w:t>
              <w:br/>
              <w:t xml:space="preserve">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b/>
                <w:bCs/>
                <w:i/>
                <w:iCs/>
                <w:color w:val="000000"/>
                <w:sz w:val="24"/>
              </w:rPr>
              <w:t xml:space="preserve"> (Nay là </w:t>
            </w:r>
            <w:r>
              <w:rPr>
                <w:rFonts w:ascii="Times New Roman" w:hAnsi="Times New Roman" w:eastAsia="Times New Roman" w:cs="Times New Roman"/>
                <w:b/>
                <w:bCs/>
                <w:i/>
                <w:iCs/>
                <w:color w:val="212529"/>
                <w:sz w:val="24"/>
                <w:highlight w:val="white"/>
              </w:rPr>
              <w:t xml:space="preserve">Phường Lâm Viên - Đà Lạt, tỉnh Lâm Đồng</w:t>
            </w:r>
            <w:r>
              <w:rPr>
                <w:rFonts w:ascii="Times New Roman" w:hAnsi="Times New Roman" w:eastAsia="Times New Roman" w:cs="Times New Roman"/>
                <w:b/>
                <w:bCs/>
                <w:i/>
                <w:iCs/>
                <w:color w:val="212529"/>
                <w:sz w:val="24"/>
                <w:highlight w:val="none"/>
              </w:rPr>
              <w:t xml:space="preserve">)</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 theo Giấy chứng nhận quyền sử dụng đất quyền sở hữu nhà ở và tài sản</w:t>
            </w:r>
            <w:r>
              <w:rPr>
                <w:rFonts w:ascii="Times New Roman" w:hAnsi="Times New Roman" w:eastAsia="Times New Roman" w:cs="Times New Roman"/>
                <w:b/>
                <w:bCs/>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01</w:t>
            </w:r>
            <w:r>
              <w:rPr>
                <w:b/>
                <w:bCs/>
              </w:rPr>
            </w:r>
            <w:r>
              <w:rPr>
                <w:b/>
                <w:bCs/>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b/>
                <w:bCs/>
              </w:rPr>
            </w:pPr>
            <w:r>
              <w:rPr>
                <w:rFonts w:ascii="Times New Roman" w:hAnsi="Times New Roman" w:eastAsia="Times New Roman" w:cs="Times New Roman"/>
                <w:b/>
                <w:bCs/>
                <w:color w:val="000000"/>
                <w:sz w:val="24"/>
              </w:rPr>
              <w:t xml:space="preserve">Đất ở tại đô thị</w:t>
            </w:r>
            <w:r>
              <w:rPr>
                <w:b/>
                <w:bCs/>
              </w:rPr>
            </w:r>
            <w:r>
              <w:rPr>
                <w:b/>
                <w:bCs/>
              </w:rPr>
            </w:r>
          </w:p>
        </w:tc>
        <w:tc>
          <w:tcPr>
            <w:tcBorders/>
            <w:tcW w:w="180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276,2</w:t>
            </w: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13.810.000.000</w:t>
            </w:r>
            <w:r/>
          </w:p>
        </w:tc>
      </w:tr>
      <w:tr>
        <w:trPr>
          <w:trHeight w:val="20"/>
        </w:trPr>
        <w:tc>
          <w:tcPr>
            <w:shd w:val="clear" w:color="000000" w:fill="ffffff"/>
            <w:tcBorders/>
            <w:tcW w:w="9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b/>
                <w:bCs/>
              </w:rPr>
            </w:pPr>
            <w:r>
              <w:rPr>
                <w:rFonts w:ascii="Times New Roman" w:hAnsi="Times New Roman" w:eastAsia="Times New Roman" w:cs="Times New Roman"/>
                <w:b/>
                <w:bCs/>
                <w:color w:val="000000"/>
                <w:sz w:val="24"/>
              </w:rPr>
              <w:t xml:space="preserve">02</w:t>
            </w:r>
            <w:r>
              <w:rPr>
                <w:b/>
                <w:bCs/>
              </w:rPr>
            </w:r>
            <w:r>
              <w:rPr>
                <w:b/>
                <w:bCs/>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b/>
                <w:bCs/>
              </w:rPr>
            </w:pPr>
            <w:r>
              <w:rPr>
                <w:rFonts w:ascii="Times New Roman" w:hAnsi="Times New Roman" w:eastAsia="Times New Roman" w:cs="Times New Roman"/>
                <w:b/>
                <w:bCs/>
                <w:color w:val="000000"/>
                <w:sz w:val="24"/>
              </w:rPr>
              <w:t xml:space="preserve">Nhà 02 tầng</w:t>
            </w:r>
            <w:r>
              <w:rPr>
                <w:b/>
                <w:bCs/>
              </w:rPr>
            </w:r>
            <w:r>
              <w:rPr>
                <w:b/>
                <w:bCs/>
              </w:rPr>
            </w:r>
          </w:p>
        </w:tc>
        <w:tc>
          <w:tcPr>
            <w:tcBorders/>
            <w:tcW w:w="180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pPr>
            <w:r>
              <w:rPr>
                <w:rFonts w:ascii="Times New Roman" w:hAnsi="Times New Roman" w:eastAsia="Times New Roman" w:cs="Times New Roman"/>
                <w:color w:val="000000"/>
                <w:sz w:val="24"/>
              </w:rPr>
              <w:t xml:space="preserve">128,13</w:t>
            </w: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8.771.760</w:t>
            </w: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pPr>
            <w:r>
              <w:rPr>
                <w:rFonts w:ascii="Times New Roman" w:hAnsi="Times New Roman" w:eastAsia="Times New Roman" w:cs="Times New Roman"/>
                <w:color w:val="000000"/>
                <w:sz w:val="24"/>
              </w:rPr>
              <w:t xml:space="preserve">70,0%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786.747.926</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14.596.747.926</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14.596.700.000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năm trăm chín mươi sáu triệu bảy trăm nghìn đồng </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4"/>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color w:val="000000" w:themeColor="text1"/>
                <w:sz w:val="24"/>
                <w:szCs w:val="24"/>
              </w:rPr>
            </w:pPr>
            <w:r>
              <w:rPr>
                <w:rStyle w:val="1032"/>
                <w:rFonts w:ascii="Times New Roman" w:hAnsi="Times New Roman"/>
                <w:color w:val="000000" w:themeColor="text1"/>
                <w:lang w:val="pt-BR"/>
              </w:rPr>
              <w:t xml:space="preserve">Số: </w:t>
            </w:r>
            <w:r>
              <w:rPr>
                <w:rStyle w:val="1032"/>
                <w:rFonts w:ascii="Times New Roman" w:hAnsi="Times New Roman"/>
                <w:color w:val="000000" w:themeColor="text1"/>
                <w:lang w:val="pt-BR"/>
              </w:rPr>
              <w:t xml:space="preserve">275/2026/0952/VFI-CT.57.A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jc w:val="right"/>
              <w:rPr>
                <w:color w:val="000000" w:themeColor="text1"/>
                <w:sz w:val="24"/>
                <w:szCs w:val="24"/>
                <w:lang w:val="vi-VN"/>
              </w:rPr>
            </w:pPr>
            <w:r>
              <w:rPr>
                <w:rStyle w:val="1032"/>
                <w:rFonts w:ascii="Times New Roman" w:hAnsi="Times New Roman"/>
                <w:i/>
                <w:color w:val="auto"/>
              </w:rPr>
              <w:t xml:space="preserve">TP. Hà Nội</w:t>
            </w:r>
            <w:r>
              <w:rPr>
                <w:rStyle w:val="1032"/>
                <w:rFonts w:ascii="Times New Roman" w:hAnsi="Times New Roman"/>
                <w:i/>
                <w:color w:val="auto"/>
                <w:lang w:val="vi-VN"/>
              </w:rPr>
              <w:t xml:space="preserve">, </w:t>
            </w:r>
            <w:r>
              <w:rPr>
                <w:rStyle w:val="1032"/>
                <w:rFonts w:ascii="Times New Roman" w:hAnsi="Times New Roman"/>
                <w:i/>
                <w:color w:val="000000" w:themeColor="text1"/>
                <w:lang w:val="vi-VN"/>
              </w:rPr>
              <w:t xml:space="preserve">ngày 25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3"/>
              <w:pBdr/>
              <w:spacing w:after="60"/>
              <w:ind/>
              <w:rPr>
                <w:rStyle w:val="1032"/>
                <w:rFonts w:ascii="Times New Roman" w:hAnsi="Times New Roman"/>
                <w:color w:val="000000" w:themeColor="text1"/>
                <w:lang w:val="pt-BR"/>
              </w:rPr>
            </w:pPr>
            <w:r>
              <w:rPr>
                <w:rStyle w:val="1032"/>
                <w:rFonts w:ascii="Times New Roman" w:hAnsi="Times New Roman"/>
                <w:color w:val="000000" w:themeColor="text1"/>
                <w:lang w:val="pt-BR"/>
              </w:rPr>
            </w:r>
            <w:r>
              <w:rPr>
                <w:rStyle w:val="1032"/>
                <w:rFonts w:ascii="Times New Roman" w:hAnsi="Times New Roman"/>
                <w:color w:val="000000" w:themeColor="text1"/>
                <w:lang w:val="pt-BR"/>
              </w:rPr>
            </w:r>
            <w:r>
              <w:rPr>
                <w:rStyle w:val="1032"/>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3"/>
              <w:pBdr/>
              <w:spacing w:after="60"/>
              <w:ind w:right="-56"/>
              <w:rPr>
                <w:rStyle w:val="1032"/>
                <w:rFonts w:ascii="Times New Roman" w:hAnsi="Times New Roman"/>
                <w:i/>
                <w:color w:val="auto"/>
              </w:rPr>
            </w:pPr>
            <w:r>
              <w:rPr>
                <w:rFonts w:ascii="Times New Roman" w:hAnsi="Times New Roman"/>
                <w:i/>
                <w:color w:val="auto"/>
              </w:rPr>
            </w:r>
            <w:r>
              <w:rPr>
                <w:rStyle w:val="1032"/>
                <w:rFonts w:ascii="Times New Roman" w:hAnsi="Times New Roman"/>
                <w:i/>
                <w:color w:val="auto"/>
              </w:rPr>
            </w:r>
            <w:r>
              <w:rPr>
                <w:rStyle w:val="1032"/>
                <w:rFonts w:ascii="Times New Roman" w:hAnsi="Times New Roman"/>
                <w:i/>
                <w:color w:val="auto"/>
              </w:rPr>
            </w:r>
          </w:p>
        </w:tc>
      </w:tr>
    </w:tbl>
    <w:p>
      <w:pPr>
        <w:pStyle w:val="1033"/>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3"/>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275/2026/0952/VFI-CT.57.A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25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3"/>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4"/>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VŨ VĂN HỆ</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MST/CMTND/CCCD:</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1960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037060004675</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TDP Đồng Tâm 08, Phường Yên Bái, Tỉnh Lào Cai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88" w:lineRule="auto"/>
              <w:ind/>
              <w:jc w:val="both"/>
              <w:rPr>
                <w:b w:val="0"/>
                <w:bCs w:val="0"/>
              </w:rPr>
            </w:pPr>
            <w:r>
              <w:rPr>
                <w:b w:val="0"/>
                <w:bCs w:val="0"/>
                <w:color w:val="000000"/>
              </w:rPr>
            </w:r>
            <w:r>
              <w:rPr>
                <w:rFonts w:ascii="Times New Roman" w:hAnsi="Times New Roman" w:eastAsia="Times New Roman" w:cs="Times New Roman"/>
                <w:b w:val="0"/>
                <w:bCs w:val="0"/>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b w:val="0"/>
                <w:bCs w:val="0"/>
                <w:i/>
                <w:iCs/>
                <w:color w:val="000000"/>
                <w:sz w:val="24"/>
              </w:rPr>
              <w:t xml:space="preserve"> (Nay là </w:t>
            </w:r>
            <w:r>
              <w:rPr>
                <w:rFonts w:ascii="Times New Roman" w:hAnsi="Times New Roman" w:eastAsia="Times New Roman" w:cs="Times New Roman"/>
                <w:b w:val="0"/>
                <w:bCs w:val="0"/>
                <w:i/>
                <w:iCs/>
                <w:color w:val="212529"/>
                <w:sz w:val="24"/>
                <w:highlight w:val="white"/>
              </w:rPr>
              <w:t xml:space="preserve">Phường Lâm Viên - Đà Lạt, tỉnh Lâm Đồng</w:t>
            </w:r>
            <w:r>
              <w:rPr>
                <w:rFonts w:ascii="Times New Roman" w:hAnsi="Times New Roman" w:eastAsia="Times New Roman" w:cs="Times New Roman"/>
                <w:b w:val="0"/>
                <w:bCs w:val="0"/>
                <w:i/>
                <w:iCs/>
                <w:color w:val="212529"/>
                <w:sz w:val="24"/>
                <w:highlight w:val="none"/>
              </w:rPr>
              <w:t xml:space="preserve">)</w:t>
            </w:r>
            <w:r>
              <w:rPr>
                <w:rFonts w:ascii="Times New Roman" w:hAnsi="Times New Roman" w:eastAsia="Times New Roman" w:cs="Times New Roman"/>
                <w:b w:val="0"/>
                <w:bCs w:val="0"/>
                <w:i/>
                <w:iCs/>
                <w:color w:val="000000"/>
                <w:sz w:val="24"/>
              </w:rPr>
              <w:t xml:space="preserve"> </w:t>
            </w:r>
            <w:r>
              <w:rPr>
                <w:rFonts w:ascii="Times New Roman" w:hAnsi="Times New Roman" w:eastAsia="Times New Roman" w:cs="Times New Roman"/>
                <w:b w:val="0"/>
                <w:bCs w:val="0"/>
                <w:color w:val="000000"/>
                <w:sz w:val="24"/>
              </w:rPr>
              <w:t xml:space="preserve"> theo Giấy chứng nhận quyền sử dụng đất quyền sở hữu nhà ở và tài sản</w:t>
            </w:r>
            <w:r>
              <w:rPr>
                <w:rFonts w:ascii="Times New Roman" w:hAnsi="Times New Roman" w:eastAsia="Times New Roman" w:cs="Times New Roman"/>
                <w:b w:val="0"/>
                <w:bCs w:val="0"/>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9, Thành phố Đà Lạt, Tỉnh Lâm Đồng</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4"/>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(11.951194444444, 108.45816666667)</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4"/>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4"/>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4"/>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4"/>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4"/>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4"/>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4"/>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4"/>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Quyết định số 425/QĐ-BXD ngày 30/3/2026 của Bộ Xây dựng về việc Công bố suất vốn đầu tư xây dựng và giá xây dựng tổng hợp bộ phận kết cấu công trình năm 2025;</w:t>
      </w:r>
      <w:r>
        <w:rPr>
          <w:rFonts w:ascii="Times New Roman" w:hAnsi="Times New Roman" w:eastAsia="Times New Roman" w:cs="Times New Roman"/>
          <w:sz w:val="24"/>
        </w:rPr>
      </w:r>
      <w:r/>
    </w:p>
    <w:p>
      <w:pPr>
        <w:pStyle w:val="1034"/>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4"/>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4"/>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numPr>
          <w:ilvl w:val="0"/>
          <w:numId w:val="40"/>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bCs/>
          <w:color w:val="000000" w:themeColor="text1"/>
          <w:lang w:val="pt-BR"/>
        </w:rPr>
        <w:t xml:space="preserve">Giấy </w:t>
      </w:r>
      <w:r>
        <w:rPr>
          <w:rFonts w:ascii="Times New Roman" w:hAnsi="Times New Roman" w:eastAsia="Times New Roman" w:cs="Times New Roman"/>
          <w:color w:val="000000"/>
          <w:sz w:val="24"/>
        </w:rPr>
        <w:t xml:space="preserve">chứng nhận quyền sử dụng đất quyền sở hữu nhà ở và tài sản khác gắn liền với đất số: DD 602250, số vào sổ cấp GCN: CS 02681 do Sở Tài nguyên và Môi trường tỉnh Lâm Đồng cấp ngày 06/12/2021; Chủ tài sản là Ông Vũ Văn Hệ và vợ là Bà Nguyễn Thị Nguyệt..</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4"/>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275/2026/0952/VFI-HĐTĐ.57.A ngày 25/06/2026 giữa Ông Vũ Văn Hệ với Công ty Cổ phần Thẩm định và Đầu tư Tài chính Hoa Sen.</w:t>
      </w:r>
      <w:r>
        <w:rPr>
          <w:b/>
          <w:lang w:val="pt-BR"/>
        </w:rPr>
      </w:r>
      <w:r>
        <w:rPr>
          <w:b/>
          <w:lang w:val="pt-BR"/>
        </w:rPr>
      </w:r>
    </w:p>
    <w:p>
      <w:pPr>
        <w:pStyle w:val="1034"/>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shd w:val="clear" w:color="auto" w:fill="ffffff"/>
        </w:rPr>
        <w:t xml:space="preserve">Tổng quan thị trường bất động sản Đà Lạt, Lâm Đồng 2024</w:t>
        <w:br/>
        <w:t xml:space="preserve">Năm 2024, thị trường bất động sản Đà Lạt, Lâm Đồng đã</w:t>
      </w:r>
      <w:r>
        <w:rPr>
          <w:shd w:val="clear" w:color="auto" w:fill="ffffff"/>
        </w:rPr>
        <w:t xml:space="preserve"> và đang chứng kiến sự phát triển mạnh mẽ giúp đỡ các yếu tố cơ bản về kinh tế, du lịch và tăng cường về nhu cầu bất động sản nghỉ dưỡng. Trong bối cảnh hậu COVID-19, xu hướng “làm việc từ xa” cùng với sự phục hồi nhanh chóng của du lịch nội địa đã tạo điề</w:t>
      </w:r>
      <w:r>
        <w:rPr>
          <w:shd w:val="clear" w:color="auto" w:fill="ffffff"/>
        </w:rPr>
        <w:t xml:space="preserve">u kiện thuận lợi cho Đà Lạt thu hút sự quan tâm của các nhà tư vấn trong và ngoài nước.</w:t>
        <w:br/>
        <w:t xml:space="preserve">Du lịch và nghỉ dưỡng : Đà Lạt, với điều kiện khí hậu mát mẻ xung quanh năm và thiên nhiên hoang sơ, tiếp tục là điểm đến du lịch nổi tiếng. Các khu du lịch sinh thái, </w:t>
      </w:r>
      <w:r>
        <w:rPr>
          <w:shd w:val="clear" w:color="auto" w:fill="ffffff"/>
        </w:rPr>
        <w:t xml:space="preserve">nghỉ dưỡng cao cấp ngày càng phát triển, dẫn đến nhu cầu lớn về bất động sản nghỉ dưỡng, biệt thự và khu căn hộ cho thuê.</w:t>
        <w:br/>
        <w:t xml:space="preserve">Hạ tầng giao thông : Hệ thống giao thông và hạ tầng đang được cải thiện đáng kể, đặc biệt là dự án cao tốc Dầu Giây – Liên Khương. Điề</w:t>
      </w:r>
      <w:r>
        <w:rPr>
          <w:shd w:val="clear" w:color="auto" w:fill="ffffff"/>
        </w:rPr>
        <w:t xml:space="preserve">u này giúp tăng cường khả năng kết nối Đà Lạt với các thành phố lớn, tạo điều kiện thuận lợi cho bất động sản và du lịch đầu tư.</w:t>
        <w:br/>
        <w:t xml:space="preserve">Nhu cầu nhà ở và biệt thự nghỉ dưỡng : Nhiều nhà đầu tư tìm kiếm biệt thự và căn hộ nghỉ dưỡng tại Đà Lạt để phục vụ cho nhu cầ</w:t>
      </w:r>
      <w:r>
        <w:rPr>
          <w:shd w:val="clear" w:color="auto" w:fill="ffffff"/>
        </w:rPr>
        <w:t xml:space="preserve">u cá nhân hoặc cho thuê trong mùa du lịch. Điều này đã đưa ra giá bất động sản khu vực trung tâm Đà Lạt tăng đáng kể so với các năm trước.</w:t>
        <w:br/>
        <w:t xml:space="preserve">Các phân khúc nổi bật</w:t>
        <w:br/>
        <w:t xml:space="preserve">Phân khúc đất nền : Đất nền tại Đà Lạt vẫn là một trong những phân khúc hấp dẫn nhất. Các khu v</w:t>
      </w:r>
      <w:r>
        <w:rPr>
          <w:shd w:val="clear" w:color="auto" w:fill="ffffff"/>
        </w:rPr>
        <w:t xml:space="preserve">ực như Phường 10, Phường 11 và Phường 12 đang thu hút sự quan tâm làm đất còn nhiều và giá cả tương đối mềm hơn so với trung tâm thành phố. Tuy nhiên, việc phát triển cơ sở hạ tầng và hệ thống giao thông kết nối các khu vực này vẫn đang trong quá trình hoà</w:t>
      </w:r>
      <w:r>
        <w:rPr>
          <w:shd w:val="clear" w:color="auto" w:fill="ffffff"/>
        </w:rPr>
        <w:t xml:space="preserve">n thiện.</w:t>
        <w:br/>
        <w:t xml:space="preserve">Phân khúc biệt thự nghỉ dưỡng : Với sự phát triển mạnh mẽ của du lịch, phân khúc biệt thự nghỉ dưỡng cao cấp ở Đà Lạt cũng đã thu hút nhiều nhà đầu tư. Những biệt thự thảo luận ở các khu vực có tầm nhìn đẹp như Hồ Tuyền Lâm, Đồi Dã Quỳ hay khu vực</w:t>
      </w:r>
      <w:r>
        <w:rPr>
          <w:shd w:val="clear" w:color="auto" w:fill="ffffff"/>
        </w:rPr>
        <w:t xml:space="preserve"> ven đồi được đánh giá cao.</w:t>
        <w:br/>
        <w:t xml:space="preserve">Phân khúc căn hộ cao cấp : Mặc dù phân khúc căn hộ cao cấp chưa phát triển mạnh mẽ như các thành phố khác, nhưng năm 2024 ghi nhận sự tăng trưởng nhu cầu. Nhiều dự án căn hộ cao cấp gần trung tâm thành phố Đà Lạt đang ở giai đoạ</w:t>
      </w:r>
      <w:r>
        <w:rPr>
          <w:shd w:val="clear" w:color="auto" w:fill="ffffff"/>
        </w:rPr>
        <w:t xml:space="preserve">n phát triển khai, đến Ngọc các khách hàng thượng lưu và giới đầu tư nước ngoài.</w:t>
        <w:br/>
        <w:t xml:space="preserve">Dự báo thị trường bất động sản Đà Lạt, Lâm Đồng năm 2025</w:t>
        <w:br/>
        <w:t xml:space="preserve">Dự báo năm 2025 sẽ là một năm tiếp tục phát triển thị trường bất động sản Đà Lạt, Lâm Đồng, nhưng với sự phân hóa sắc </w:t>
      </w:r>
      <w:r>
        <w:rPr>
          <w:shd w:val="clear" w:color="auto" w:fill="ffffff"/>
        </w:rPr>
        <w:t xml:space="preserve">nét giữa các phân khúc.</w:t>
        <w:br/>
        <w:t xml:space="preserve">Phân khúc bất động sản nghỉ dưỡng tiếp tục dẫn đầu : Khi du lịch quốc tế phục hồi hoàn toàn và Đà Lạt vẫn là một trong những điểm đến hàng đầu, phân khúc biệt thự và căn hộ nghỉ dưỡng cao cấp sẽ tiếp tục được săn lùng chào đón. Dự b</w:t>
      </w:r>
      <w:r>
        <w:rPr>
          <w:shd w:val="clear" w:color="auto" w:fill="ffffff"/>
        </w:rPr>
        <w:t xml:space="preserve">áo giá bất động sản nghỉ dưỡng tại các khu vực trung tâm sẽ tăng từ 10-15%.</w:t>
        <w:br/>
        <w:t xml:space="preserve">Đất nền vùng ven : Với đất hạn chế tại khu vực trung tâm, xu hướng đầu tư vào nền đất ở vùng ven như Đức Trọng, Lạc Dương sẽ tăng cường. Hạ tầng giao thông hoàn thiện hơn sẽ kéo dà</w:t>
      </w:r>
      <w:r>
        <w:rPr>
          <w:shd w:val="clear" w:color="auto" w:fill="ffffff"/>
        </w:rPr>
        <w:t xml:space="preserve">i sự phát triển của các khu đô thị mới và giá trị nền đất tăng từ 15-20%.</w:t>
        <w:br/>
        <w:t xml:space="preserve">Sự sẵn sàng của phân khúc bất động sản xanh : Thị trường sẽ chứng kiến sự phát triển của các dự án bất động sản xanh thân thiện với môi trường. Những dự án này sẽ hướng tới việc phát</w:t>
      </w:r>
      <w:r>
        <w:rPr>
          <w:shd w:val="clear" w:color="auto" w:fill="ffffff"/>
        </w:rPr>
        <w:t xml:space="preserve"> triển bền vững, kết hợp với yếu tố thiên nhiên, đáp ứng nhu cầu về sức khỏe và chất lượng sống của cư dân.</w:t>
        <w:br/>
        <w:t xml:space="preserve">Kết luận</w:t>
        <w:br/>
        <w:t xml:space="preserve">Thị trường bất động sản Đà Lạt, Lâm Đồng năm 2024 và 2025 có tiềm năng tăng trưởng lớn, đặc biệt là trong phân khúc nghỉ dưỡng và đất nền. </w:t>
      </w:r>
      <w:r>
        <w:rPr>
          <w:shd w:val="clear" w:color="auto" w:fill="ffffff"/>
        </w:rPr>
        <w:t xml:space="preserve">Tuy nhiên, để đầu tư hiệu quả, nhà tư vấn cần lưu ý đến yếu tố pháp lý, quy tắc và lựa chọn đúng phân khúc có tiềm năng phát triển bền vững.</w:t>
        <w:br/>
        <w:t xml:space="preserve">(Nguồn tham khảo: https://iccvietnam.vn/phan-tich-thi-truong-bat-dong-san-da-lat-lam-dong-2024-va-du-bao-nam-2025/)</w:t>
      </w:r>
      <w:r>
        <w:rPr>
          <w:i/>
          <w:iCs/>
          <w:lang w:val="pt-BR"/>
        </w:rPr>
      </w:r>
      <w:r>
        <w:rPr>
          <w:i/>
          <w:iCs/>
          <w:lang w:val="pt-BR"/>
        </w:rPr>
      </w:r>
    </w:p>
    <w:p>
      <w:pPr>
        <w:pStyle w:val="1034"/>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b/>
                <w:bCs/>
                <w:i/>
                <w:iCs/>
                <w:color w:val="000000"/>
                <w:sz w:val="24"/>
              </w:rPr>
              <w:t xml:space="preserve"> (Nay là </w:t>
            </w:r>
            <w:r>
              <w:rPr>
                <w:rFonts w:ascii="Times New Roman" w:hAnsi="Times New Roman" w:eastAsia="Times New Roman" w:cs="Times New Roman"/>
                <w:b/>
                <w:bCs/>
                <w:i/>
                <w:iCs/>
                <w:color w:val="212529"/>
                <w:sz w:val="24"/>
                <w:highlight w:val="white"/>
              </w:rPr>
              <w:t xml:space="preserve">Phường Lâm Viên - Đà Lạt, tỉnh Lâm Đồng</w:t>
            </w:r>
            <w:r>
              <w:rPr>
                <w:rFonts w:ascii="Times New Roman" w:hAnsi="Times New Roman" w:eastAsia="Times New Roman" w:cs="Times New Roman"/>
                <w:b/>
                <w:bCs/>
                <w:i/>
                <w:iCs/>
                <w:color w:val="212529"/>
                <w:sz w:val="24"/>
                <w:highlight w:val="none"/>
              </w:rPr>
              <w:t xml:space="preserve">)</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 theo Giấy chứng nhận quyền sử dụng đất quyền sở hữu nhà ở và tài sản</w:t>
            </w:r>
            <w:r>
              <w:rPr>
                <w:rFonts w:ascii="Times New Roman" w:hAnsi="Times New Roman" w:eastAsia="Times New Roman" w:cs="Times New Roman"/>
                <w:b/>
                <w:bCs/>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
                <w:bCs/>
              </w:rPr>
            </w:r>
            <w:r>
              <w:rPr>
                <w:b/>
                <w:bCs/>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400 (gốc 71)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 (C70-II-D)</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36/3 Nguyễn Đình Chiểu, Phường 9, Thành phố Đà Lạt, Tỉnh Lâm Đồng</w:t>
            </w:r>
            <w:r>
              <w:rPr>
                <w:rFonts w:ascii="Times New Roman" w:hAnsi="Times New Roman" w:eastAsia="Times New Roman" w:cs="Times New Roman"/>
                <w:b w:val="0"/>
                <w:bCs w:val="0"/>
                <w:i/>
                <w:iCs/>
                <w:color w:val="000000"/>
                <w:sz w:val="24"/>
              </w:rPr>
              <w:t xml:space="preserve"> (Nay là </w:t>
            </w:r>
            <w:r>
              <w:rPr>
                <w:rFonts w:ascii="Times New Roman" w:hAnsi="Times New Roman" w:eastAsia="Times New Roman" w:cs="Times New Roman"/>
                <w:b w:val="0"/>
                <w:bCs w:val="0"/>
                <w:i/>
                <w:iCs/>
                <w:color w:val="212529"/>
                <w:sz w:val="24"/>
                <w:highlight w:val="white"/>
              </w:rPr>
              <w:t xml:space="preserve">Phường Lâm Viên - Đà Lạt, tỉnh Lâm Đồng</w:t>
            </w:r>
            <w:r>
              <w:rPr>
                <w:rFonts w:ascii="Times New Roman" w:hAnsi="Times New Roman" w:eastAsia="Times New Roman" w:cs="Times New Roman"/>
                <w:b w:val="0"/>
                <w:bCs w:val="0"/>
                <w:i/>
                <w:iCs/>
                <w:color w:val="212529"/>
                <w:sz w:val="24"/>
                <w:highlight w:val="none"/>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276,2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rPr>
                <w:rFonts w:ascii="Times New Roman" w:hAnsi="Times New Roman" w:eastAsia="Times New Roman" w:cs="Times New Roman"/>
                <w:i/>
                <w:color w:val="000000"/>
                <w:sz w:val="24"/>
              </w:rPr>
              <w:t xml:space="preserve">Cấp theo Hợp đồng chuyển nhượng quyền sử dụng đất và tài sản gắn liền với đất được Văn phòng công chứng Phạm Lan Anh, tỉnh Lâm Đồng công chứng số 10337, quyển số 04/2021 TP/CC-SCC/HĐGD ngày 09/11/2021.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highlight w:val="none"/>
              </w:rPr>
            </w:pPr>
            <w:r>
              <w:rPr>
                <w:color w:val="000000"/>
              </w:rPr>
            </w:r>
            <w:r>
              <mc:AlternateContent>
                <mc:Choice Requires="wpg">
                  <w:drawing>
                    <wp:inline xmlns:wp="http://schemas.openxmlformats.org/drawingml/2006/wordprocessingDrawing" distT="0" distB="0" distL="0" distR="0">
                      <wp:extent cx="3807800" cy="221046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34056" name=""/>
                              <pic:cNvPicPr>
                                <a:picLocks noChangeAspect="1"/>
                              </pic:cNvPicPr>
                              <pic:nvPr/>
                            </pic:nvPicPr>
                            <pic:blipFill rotWithShape="1">
                              <a:blip r:embed="rId17"/>
                              <a:stretch/>
                            </pic:blipFill>
                            <pic:spPr bwMode="auto">
                              <a:xfrm flipH="0" flipV="0">
                                <a:off x="0" y="0"/>
                                <a:ext cx="3807798" cy="22104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9.83pt;height:174.05pt;mso-wrap-distance-left:0.00pt;mso-wrap-distance-top:0.00pt;mso-wrap-distance-right:0.00pt;mso-wrap-distance-bottom:0.00pt;z-index:1;" stroked="false">
                      <v:imagedata r:id="rId17" o:title=""/>
                      <o:lock v:ext="edit" rotation="t"/>
                    </v:shape>
                  </w:pict>
                </mc:Fallback>
              </mc:AlternateContent>
            </w:r>
            <w:r>
              <w:rPr>
                <w:color w:val="000000"/>
              </w:rPr>
            </w:r>
            <w:r>
              <w:rPr>
                <w:highlight w:val="none"/>
              </w:rPr>
            </w:r>
          </w:p>
          <w:p>
            <w:pPr>
              <w:pBdr/>
              <w:spacing/>
              <w:ind/>
              <w:jc w:val="both"/>
              <w:rPr>
                <w:color w:val="000000"/>
              </w:rPr>
            </w:pPr>
            <w:r>
              <w:rPr>
                <w:highlight w:val="none"/>
              </w:rPr>
            </w:r>
            <w:r>
              <w:rPr>
                <w:rFonts w:ascii="Times New Roman" w:hAnsi="Times New Roman" w:eastAsia="Times New Roman" w:cs="Times New Roman"/>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tra cứu quy hoạch online thông qua các trang mạng như Guland/Meeymap, xác đ</w:t>
            </w:r>
            <w:r>
              <w:rPr>
                <w:rFonts w:ascii="Times New Roman" w:hAnsi="Times New Roman" w:eastAsia="Times New Roman" w:cs="Times New Roman"/>
                <w:color w:val="000000"/>
                <w:sz w:val="24"/>
              </w:rPr>
              <w:t xml:space="preserve">ịnh vị trí tài sản thuộc quy hoạch đất ở. </w:t>
            </w:r>
            <w:r>
              <w:rPr>
                <w:highlight w:val="none"/>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Cách đường Nguyễn Đình Chiểu khoảng 100m.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Hướng Nam: Tiếp giáp đường bê tông khoảng 5,5m;</w:t>
            </w:r>
            <w:r/>
          </w:p>
          <w:p>
            <w:pPr>
              <w:pBdr/>
              <w:spacing/>
              <w:ind/>
              <w:rPr>
                <w:color w:val="000000" w:themeColor="text1"/>
              </w:rPr>
            </w:pPr>
            <w:r>
              <w:rPr>
                <w:rFonts w:ascii="Times New Roman" w:hAnsi="Times New Roman" w:eastAsia="Times New Roman" w:cs="Times New Roman"/>
                <w:color w:val="000000"/>
                <w:sz w:val="24"/>
              </w:rPr>
              <w:t xml:space="preserve">+ 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(11.951194444444, 108.45816666667)</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990353"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4990353"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92.94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276,2</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10,84</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24,61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color w:val="000000"/>
              </w:rPr>
              <w:t xml:space="preserve">+ </w:t>
            </w:r>
            <w:r>
              <w:rPr>
                <w:rFonts w:ascii="Times New Roman" w:hAnsi="Times New Roman" w:eastAsia="Times New Roman" w:cs="Times New Roman"/>
                <w:color w:val="000000"/>
                <w:sz w:val="24"/>
              </w:rPr>
              <w:t xml:space="preserve">Qua khảo sát thực tế, CTXD gắn liền với đất là Nhà 02 tầng BTCT, diện tích xây dựng 73,44m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diện tích sàn 128,13m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w:t>
            </w:r>
            <w:r/>
          </w:p>
          <w:p>
            <w:pPr>
              <w:pBdr/>
              <w:spacing/>
              <w:ind/>
              <w:jc w:val="both"/>
              <w:rPr>
                <w:color w:val="000000"/>
              </w:rPr>
            </w:pPr>
            <w:r>
              <w:rPr>
                <w:rFonts w:ascii="Times New Roman" w:hAnsi="Times New Roman" w:eastAsia="Times New Roman" w:cs="Times New Roman"/>
                <w:color w:val="000000"/>
                <w:sz w:val="24"/>
              </w:rPr>
              <w:t xml:space="preserve">+ Công trình đã được chứng nhận trên GCN.</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4"/>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4"/>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4"/>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4"/>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4"/>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4"/>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4"/>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4"/>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4"/>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4"/>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4"/>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4"/>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4"/>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4"/>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34"/>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9, Thành phố Đà Lạt,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5, Thành phố Đà Lạt,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Lâm Viên - Đà Lạt, Tỉnh Lâm Đồng</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Lâm Viên - Đà Lạt, Tỉnh Lâm Đồng</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https://www.facebook.com/groups/1001767636564511/permalink/33494396826874838/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0937470369</w:t>
            </w:r>
            <w:r>
              <w:rPr>
                <w:sz w:val="22"/>
                <w:szCs w:val="22"/>
              </w:rPr>
              <w:t xml:space="preserve"> </w:t>
            </w:r>
            <w:r>
              <w:rPr>
                <w:sz w:val="22"/>
                <w:szCs w:val="22"/>
              </w:rPr>
              <w:br/>
              <w:t xml:space="preserve">(</w:t>
            </w:r>
            <w:r>
              <w:rPr>
                <w:sz w:val="22"/>
                <w:szCs w:val="22"/>
              </w:rPr>
              <w:t xml:space="preserve">Sale Nguyễn Bum</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0398925292</w:t>
            </w:r>
            <w:r>
              <w:rPr>
                <w:sz w:val="22"/>
                <w:szCs w:val="22"/>
              </w:rPr>
              <w:br/>
            </w:r>
            <w:r>
              <w:rPr>
                <w:sz w:val="22"/>
                <w:szCs w:val="22"/>
              </w:rPr>
              <w:t xml:space="preserve">(</w:t>
            </w:r>
            <w:r>
              <w:rPr>
                <w:sz w:val="22"/>
                <w:szCs w:val="22"/>
              </w:rPr>
              <w:t xml:space="preserve">Xuân Bách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0911395389</w:t>
            </w:r>
            <w:r>
              <w:rPr>
                <w:sz w:val="22"/>
                <w:szCs w:val="22"/>
              </w:rPr>
              <w:br/>
            </w:r>
            <w:r>
              <w:rPr>
                <w:sz w:val="22"/>
                <w:szCs w:val="22"/>
              </w:rPr>
              <w:t xml:space="preserve">(</w:t>
            </w:r>
            <w:r>
              <w:rPr>
                <w:sz w:val="22"/>
                <w:szCs w:val="22"/>
              </w:rPr>
              <w:t xml:space="preserve">Nguyễn Vũ Bụp</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9, Thành phố Đà Lạt, Tỉnh Lâm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w:t>
            </w:r>
            <w:r>
              <w:rPr>
                <w:color w:val="000000" w:themeColor="text1"/>
                <w:sz w:val="22"/>
                <w:szCs w:val="22"/>
              </w:rPr>
              <w:t xml:space="preserve"> sản tại: Phường 5, Thành phố Đà Lạt, Tỉnh Lâm Đồng, đường Mặt đường Trần Bình Trọng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Lâm Viên - Đà Lạt, Tỉnh Lâm Đồng, khoảng cách ra đường chính 100m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Lâm Viên - Đà Lạt, Tỉnh Lâm Đồng, đường KHQ Phạm Hồng Thái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195,99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10,84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15</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sản trên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1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2 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8.075.000.000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237.686.400</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358.048.606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 giá xây dựng theo Quyết định số </w:t>
            </w:r>
            <w:r>
              <w:rPr>
                <w:rFonts w:ascii="Times New Roman" w:hAnsi="Times New Roman" w:eastAsia="Times New Roman" w:cs="Times New Roman"/>
                <w:color w:val="000000"/>
                <w:spacing w:val="-4"/>
                <w:sz w:val="24"/>
              </w:rPr>
              <w:t xml:space="preserve">425/QĐ-BXD ngày 30/3/2026</w:t>
            </w:r>
            <w:r>
              <w:rPr>
                <w:color w:val="000000"/>
                <w:sz w:val="22"/>
                <w:szCs w:val="22"/>
              </w:rPr>
              <w:t xml:space="preserve"> của Bộ Xây Dựng (đồng/m²)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5.432.832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7.974.327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Tỷ lệ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 lệ % hoàn 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6.562.313.600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9.541.951.394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8.075.000.000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4"/>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6.562.313.600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9.541.951.394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8.075.000.000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2"/>
              </w:rPr>
              <w:t xml:space="preserve">Có Giấy chứng nhận Quyền sử dụng đất</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9, Thành phố Đà Lạt, Tỉnh Lâm Đồng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w:t>
            </w:r>
            <w:r>
              <w:rPr>
                <w:color w:val="000000" w:themeColor="text1"/>
                <w:sz w:val="22"/>
                <w:szCs w:val="22"/>
              </w:rPr>
              <w:t xml:space="preserve"> sản tại: Phường 5, Thành phố Đà Lạt, Tỉnh Lâm Đồng, đường Mặt đường Trần Bình Trọng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Lâm Viên - Đà Lạt, Tỉnh Lâm Đồng, khoảng cách ra đường chính 100m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Phường Lâm Viên - Đà Lạt, Tỉnh Lâm Đồng, đường KHQ Phạm Hồng Thái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71.329.496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48.685.909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89.722.222</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-3.566.475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-2.434.295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-4.486.111</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67.763.021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46.251.614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85.236.111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-4.279.770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1.460.577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-11.400.000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63.483.251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47.712.191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73.836.111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195,99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-17.832.374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-2.434.295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-23.750.000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45.650.877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45.277.896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50.086.111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10,84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3.566.475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1.460.577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6.650.000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49.217.352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46.738.473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56.736.111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49.217.352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46.738.473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56.736.111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3.894.873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49.217.352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50.633.346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51.986.111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49.217.352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50.633.346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51.986.111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50.612.270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29.245.094</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11.684.617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51.036.111</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 - 25%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22.112.144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1.947.437</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37.736.111</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-2,76</w:t>
      </w:r>
      <w:r>
        <w:t xml:space="preserve">% đến </w:t>
      </w:r>
      <w:r>
        <w:t xml:space="preserve">2,71</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49.217.352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16.409.065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50.633.346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16.876.094</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51.986.111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17.326.971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50.612.130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50.000.000</w:t>
      </w:r>
      <w:r>
        <w:rPr>
          <w:b/>
          <w:bCs/>
          <w:color w:val="000000" w:themeColor="text1"/>
        </w:rPr>
        <w:t xml:space="preserve"> </w:t>
      </w:r>
      <w:r>
        <w:rPr>
          <w:b/>
          <w:bCs/>
        </w:rPr>
        <w:t xml:space="preserve">đồng/m².</w:t>
      </w:r>
      <w:r>
        <w:rPr>
          <w:b/>
          <w:bCs/>
        </w:rPr>
      </w:r>
      <w:r>
        <w:rPr>
          <w:b/>
          <w:bCs/>
        </w:rPr>
      </w:r>
    </w:p>
    <w:p>
      <w:pPr>
        <w:pStyle w:val="1034"/>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2"/>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02 tầng, cân nhắc và xem xét với mức độ hoàn thiện của công trình xây dựng hiện có, Tổ thẩm định nhận thấy đơn giá vận dụng theo Quyết định số </w:t>
      </w:r>
      <w:r>
        <w:rPr>
          <w:rFonts w:ascii="Times New Roman" w:hAnsi="Times New Roman" w:eastAsia="Times New Roman" w:cs="Times New Roman"/>
          <w:color w:val="000000"/>
          <w:spacing w:val="-4"/>
          <w:sz w:val="24"/>
        </w:rPr>
        <w:t xml:space="preserve">425/QĐ-BXD ngày 30/3/2026</w:t>
      </w:r>
      <w:r>
        <w:rPr>
          <w:rFonts w:ascii="Times New Roman" w:hAnsi="Times New Roman" w:eastAsia="Times New Roman" w:cs="Times New Roman"/>
          <w:color w:val="000000"/>
          <w:sz w:val="24"/>
        </w:rPr>
        <w:t xml:space="preserve"> của Bộ Xây dựng</w:t>
      </w:r>
      <w:r>
        <w:rPr>
          <w:rFonts w:ascii="Times New Roman" w:hAnsi="Times New Roman" w:eastAsia="Times New Roman" w:cs="Times New Roman"/>
          <w:color w:val="000000"/>
          <w:sz w:val="24"/>
        </w:rPr>
        <w:t xml:space="preserve"> về việc Công bố suất vốn đầu tư xây dựng công trình và giá xây dựng tổng hợp bộ phận kết cấu công trình năm 2025 là khá phù hợp với thị trường, theo đó</w:t>
      </w:r>
      <w:r>
        <w:rPr>
          <w:rFonts w:ascii="Times New Roman" w:hAnsi="Times New Roman" w:eastAsia="Times New Roman" w:cs="Times New Roman"/>
          <w:color w:val="000000"/>
          <w:spacing w:val="-4"/>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Nhà từ 2 đến 3 tầng, kết cấu khung chịu lực BTCT; tường bao xây gạch; sàn, mái BTCT đổ tại chỗ không có tầng hầm có đơn giá đã bao gồm VAT là </w:t>
      </w:r>
      <w:r>
        <w:rPr>
          <w:rFonts w:ascii="Times New Roman" w:hAnsi="Times New Roman" w:eastAsia="Times New Roman" w:cs="Times New Roman"/>
          <w:b/>
          <w:i/>
          <w:color w:val="000000"/>
          <w:sz w:val="24"/>
        </w:rPr>
        <w:t xml:space="preserve">8.370.000 </w:t>
      </w:r>
      <w:r>
        <w:rPr>
          <w:rFonts w:ascii="Times New Roman" w:hAnsi="Times New Roman" w:eastAsia="Times New Roman" w:cs="Times New Roman"/>
          <w:i/>
          <w:color w:val="000000"/>
          <w:spacing w:val="3"/>
          <w:sz w:val="24"/>
          <w:highlight w:val="white"/>
        </w:rPr>
        <w:t xml:space="preserve">đồng/m².</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Tỉnh Lâm Đồng thuộc vùng 4 có hệ số điều chỉnh là 1,048.”</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8.370.000 </w:t>
      </w:r>
      <w:r>
        <w:rPr>
          <w:rFonts w:ascii="Times New Roman" w:hAnsi="Times New Roman" w:eastAsia="Times New Roman" w:cs="Times New Roman"/>
          <w:i/>
          <w:color w:val="000000"/>
          <w:spacing w:val="3"/>
          <w:sz w:val="24"/>
          <w:highlight w:val="white"/>
        </w:rPr>
        <w:t xml:space="preserve">x 1,048 =</w:t>
      </w:r>
      <w:r>
        <w:rPr>
          <w:rFonts w:ascii="Times New Roman" w:hAnsi="Times New Roman" w:eastAsia="Times New Roman" w:cs="Times New Roman"/>
          <w:b/>
          <w:i/>
          <w:color w:val="000000"/>
          <w:spacing w:val="3"/>
          <w:sz w:val="24"/>
          <w:highlight w:val="white"/>
        </w:rPr>
        <w:t xml:space="preserve"> 8.771.760 đồng/m².</w:t>
      </w:r>
      <w:r>
        <w:rPr>
          <w:rFonts w:ascii="Times New Roman" w:hAnsi="Times New Roman" w:eastAsia="Times New Roman" w:cs="Times New Roman"/>
          <w:sz w:val="24"/>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hao mòn theo phương pháp tổng cộng:</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Văn bản số 1326/BXD-QLN do Bộ Xây dựng ban hành ngày 08/8/2011 về việc hướng dẫn kiểm kê</w:t>
      </w:r>
      <w:r>
        <w:rPr>
          <w:rFonts w:ascii="Times New Roman" w:hAnsi="Times New Roman" w:eastAsia="Times New Roman" w:cs="Times New Roman"/>
          <w:color w:val="000000"/>
          <w:sz w:val="24"/>
        </w:rPr>
        <w:t xml:space="preserve">, đánh giá lại giá trị tài sản cố định là nhà, vật kiến trúc như sau: </w:t>
      </w:r>
      <w:r>
        <w:rPr>
          <w:rFonts w:ascii="Times New Roman" w:hAnsi="Times New Roman" w:eastAsia="Times New Roman" w:cs="Times New Roman"/>
          <w:color w:val="212529"/>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212529"/>
          <w:sz w:val="24"/>
        </w:rPr>
        <w:t xml:space="preserve">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212529"/>
          <w:sz w:val="24"/>
        </w:rPr>
        <w:t xml:space="preserve">Công thức tính như sau:</w:t>
      </w:r>
      <w:r/>
    </w:p>
    <w:tbl>
      <w:tblPr>
        <w:tblStyle w:val="1038"/>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460"/>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lệ chất lượng còn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x</w:t>
            </w:r>
            <w:r/>
          </w:p>
        </w:tc>
        <w:tc>
          <w:tcPr>
            <w:tcBorders>
              <w:bottom w:val="single" w:color="000000" w:sz="8" w:space="0"/>
            </w:tcBorders>
            <w:tcMar>
              <w:left w:w="108" w:type="dxa"/>
              <w:top w:w="0" w:type="dxa"/>
              <w:right w:w="108" w:type="dxa"/>
              <w:bottom w:w="0" w:type="dxa"/>
            </w:tcMar>
            <w:tcW w:w="24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6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ind w:right="0" w:firstLine="0" w:left="0"/>
              <w:jc w:val="center"/>
              <w:rPr/>
            </w:pPr>
            <w:r>
              <w:rPr>
                <w:rFonts w:ascii="Times New Roman" w:hAnsi="Times New Roman" w:eastAsia="Times New Roman" w:cs="Times New Roman"/>
                <w:color w:val="212529"/>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ind w:right="0" w:firstLine="720" w:left="0"/>
        <w:rPr/>
      </w:pPr>
      <w:r>
        <w:rPr>
          <w:rFonts w:ascii="Times New Roman" w:hAnsi="Times New Roman" w:eastAsia="Times New Roman" w:cs="Times New Roman"/>
          <w:i/>
          <w:color w:val="212529"/>
          <w:sz w:val="24"/>
        </w:rPr>
        <w:t xml:space="preserve">Trong đó:</w:t>
      </w:r>
      <w:r/>
    </w:p>
    <w:p>
      <w:pPr>
        <w:pBdr>
          <w:top w:val="none" w:color="000000" w:sz="4" w:space="0"/>
          <w:left w:val="none" w:color="000000" w:sz="4" w:space="0"/>
          <w:bottom w:val="none" w:color="000000" w:sz="4" w:space="0"/>
          <w:right w:val="none" w:color="000000" w:sz="4" w:space="0"/>
        </w:pBdr>
        <w:spacing w:after="120"/>
        <w:ind w:right="0" w:firstLine="720" w:left="0"/>
        <w:rPr/>
      </w:pPr>
      <w:r>
        <w:rPr>
          <w:rFonts w:ascii="Times New Roman" w:hAnsi="Times New Roman" w:eastAsia="Times New Roman" w:cs="Times New Roman"/>
          <w:color w:val="212529"/>
          <w:sz w:val="24"/>
        </w:rPr>
        <w:t xml:space="preserve">i: số thứ tự của kết cấu chính </w:t>
      </w:r>
      <w:r/>
    </w:p>
    <w:p>
      <w:pPr>
        <w:pBdr>
          <w:top w:val="none" w:color="000000" w:sz="4" w:space="0"/>
          <w:left w:val="none" w:color="000000" w:sz="4" w:space="0"/>
          <w:bottom w:val="none" w:color="000000" w:sz="4" w:space="0"/>
          <w:right w:val="none" w:color="000000" w:sz="4" w:space="0"/>
        </w:pBdr>
        <w:spacing w:after="120"/>
        <w:ind w:right="0" w:firstLine="720" w:left="0"/>
        <w:rPr>
          <w:rFonts w:ascii="Times New Roman" w:hAnsi="Times New Roman" w:eastAsia="Times New Roman" w:cs="Times New Roman"/>
          <w:color w:val="212529"/>
          <w:sz w:val="24"/>
          <w:szCs w:val="24"/>
          <w:highlight w:val="none"/>
        </w:rPr>
      </w:pPr>
      <w:r>
        <w:rPr>
          <w:rFonts w:ascii="Times New Roman" w:hAnsi="Times New Roman" w:eastAsia="Times New Roman" w:cs="Times New Roman"/>
          <w:color w:val="212529"/>
          <w:sz w:val="24"/>
        </w:rPr>
        <w:t xml:space="preserve">n: số các kết cấu chính.</w:t>
      </w:r>
      <w:r>
        <w:rPr>
          <w:rFonts w:ascii="Times New Roman" w:hAnsi="Times New Roman" w:eastAsia="Times New Roman" w:cs="Times New Roman"/>
          <w:sz w:val="24"/>
        </w:rPr>
      </w:r>
      <w:r>
        <w:rPr>
          <w:rFonts w:ascii="Times New Roman" w:hAnsi="Times New Roman" w:eastAsia="Times New Roman" w:cs="Times New Roman"/>
          <w:color w:val="212529"/>
          <w:sz w:val="24"/>
          <w:szCs w:val="24"/>
          <w:highlight w:val="none"/>
        </w:rPr>
      </w:r>
    </w:p>
    <w:tbl>
      <w:tblPr>
        <w:tblStyle w:val="1038"/>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3412"/>
        <w:gridCol w:w="2080"/>
        <w:gridCol w:w="1651"/>
        <w:gridCol w:w="1645"/>
      </w:tblGrid>
      <w:tr>
        <w:trPr>
          <w:trHeight w:val="935"/>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6" w:space="0"/>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val="false"/>
          </w:tcPr>
          <w:p>
            <w:pPr>
              <w:pBdr/>
              <w:spacing w:after="0" w:before="0" w:line="240" w:lineRule="auto"/>
              <w:ind/>
              <w:jc w:val="both"/>
              <w:rPr/>
            </w:pPr>
            <w:r>
              <w:rPr>
                <w:rFonts w:ascii="Times New Roman" w:hAnsi="Times New Roman" w:eastAsia="Times New Roman" w:cs="Times New Roman"/>
                <w:i/>
                <w:color w:val="000000"/>
                <w:sz w:val="24"/>
              </w:rPr>
              <w:t xml:space="preserve">b</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Móng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Khung, cột</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Tường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Nền, sàn</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13%</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Kết cấu đỡ 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tcPr>
          <w:p>
            <w:pPr>
              <w:pBdr/>
              <w:spacing w:after="0" w:before="0" w:line="240" w:lineRule="auto"/>
              <w:ind/>
              <w:jc w:val="both"/>
              <w:rPr/>
            </w:pPr>
            <w:r>
              <w:rPr>
                <w:rFonts w:ascii="Times New Roman" w:hAnsi="Times New Roman" w:eastAsia="Times New Roman" w:cs="Times New Roman"/>
                <w:color w:val="000000"/>
                <w:sz w:val="24"/>
              </w:rPr>
              <w:t xml:space="preserve">Mái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Tổng cộng (g)</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57%</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tcBorders>
              <w:top w:val="single" w:color="000000" w:sz="6" w:space="0"/>
              <w:bottom w:val="single" w:color="000000" w:sz="6" w:space="0"/>
              <w:right w:val="single" w:color="000000" w:sz="4" w:space="0"/>
            </w:tcBorders>
            <w:tcMar>
              <w:left w:w="0" w:type="dxa"/>
              <w:top w:w="0" w:type="dxa"/>
              <w:right w:w="0" w:type="dxa"/>
              <w:bottom w:w="0" w:type="dxa"/>
            </w:tcMar>
            <w:tcW w:w="341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Tỷ lệ chất lượng còn lại:</w:t>
            </w:r>
            <w:r/>
          </w:p>
        </w:tc>
        <w:tc>
          <w:tcPr>
            <w:tcBorders>
              <w:bottom w:val="single" w:color="000000" w:sz="6" w:space="0"/>
              <w:right w:val="single" w:color="000000" w:sz="6" w:space="0"/>
            </w:tcBorders>
            <w:tcMar>
              <w:left w:w="0" w:type="dxa"/>
              <w:top w:w="0" w:type="dxa"/>
              <w:right w:w="0" w:type="dxa"/>
              <w:bottom w:w="0" w:type="dxa"/>
            </w:tcMar>
            <w:tcW w:w="20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5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0" w:type="dxa"/>
              <w:top w:w="0" w:type="dxa"/>
              <w:right w:w="0" w:type="dxa"/>
              <w:bottom w:w="0" w:type="dxa"/>
            </w:tcMar>
            <w:tcW w:w="1645"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w:t>
            </w:r>
            <w:r/>
          </w:p>
        </w:tc>
      </w:tr>
    </w:tbl>
    <w:p>
      <w:pPr>
        <w:pBdr>
          <w:top w:val="none" w:color="000000" w:sz="4" w:space="0"/>
          <w:left w:val="none" w:color="000000" w:sz="4" w:space="0"/>
          <w:bottom w:val="none" w:color="000000" w:sz="4" w:space="0"/>
          <w:right w:val="none" w:color="000000" w:sz="4" w:space="0"/>
        </w:pBdr>
        <w:spacing w:after="120"/>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212529"/>
          <w:sz w:val="24"/>
          <w:highlight w:val="none"/>
        </w:rPr>
      </w:r>
      <w:r>
        <w:rPr>
          <w:rFonts w:ascii="Times New Roman" w:hAnsi="Times New Roman" w:eastAsia="Times New Roman" w:cs="Times New Roman"/>
          <w:color w:val="212529"/>
          <w:sz w:val="24"/>
          <w:highlight w:val="none"/>
        </w:rPr>
      </w:r>
      <w:r>
        <w:rPr>
          <w:rFonts w:ascii="Times New Roman" w:hAnsi="Times New Roman" w:eastAsia="Times New Roman" w:cs="Times New Roman"/>
          <w:sz w:val="24"/>
          <w:szCs w:val="24"/>
        </w:rPr>
      </w:r>
    </w:p>
    <w:p>
      <w:pPr>
        <w:numPr>
          <w:ilvl w:val="0"/>
          <w:numId w:val="43"/>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z w:val="24"/>
        </w:rPr>
        <w:t xml:space="preserve">Tổ thẩm định xác định Tỷ lệ chất lượng còn lại của tài sản thẩm định là: </w:t>
      </w:r>
      <w:r>
        <w:rPr>
          <w:rFonts w:ascii="Times New Roman" w:hAnsi="Times New Roman" w:eastAsia="Times New Roman" w:cs="Times New Roman"/>
          <w:b/>
          <w:color w:val="000000"/>
          <w:sz w:val="24"/>
        </w:rPr>
        <w:t xml:space="preserve">70,0%</w:t>
      </w:r>
      <w:r>
        <w:rPr>
          <w:rFonts w:ascii="Times New Roman" w:hAnsi="Times New Roman" w:eastAsia="Times New Roman" w:cs="Times New Roman"/>
          <w:color w:val="000000"/>
          <w:sz w:val="24"/>
        </w:rPr>
        <w:t xml:space="preserve">, tương đương tỷ lệ hao mòn của tài sản thẩm định là </w:t>
      </w:r>
      <w:r>
        <w:rPr>
          <w:rFonts w:ascii="Times New Roman" w:hAnsi="Times New Roman" w:eastAsia="Times New Roman" w:cs="Times New Roman"/>
          <w:b/>
          <w:color w:val="000000"/>
          <w:sz w:val="24"/>
        </w:rPr>
        <w:t xml:space="preserve">30,0%.</w:t>
      </w:r>
      <w:r>
        <w:rPr>
          <w:rFonts w:ascii="Times New Roman" w:hAnsi="Times New Roman" w:eastAsia="Times New Roman" w:cs="Times New Roman"/>
          <w:sz w:val="24"/>
        </w:rPr>
      </w:r>
      <w:r/>
    </w:p>
    <w:tbl>
      <w:tblPr>
        <w:tblInd w:w="28" w:type="dxa"/>
        <w:tblW w:w="94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50"/>
        <w:gridCol w:w="1101"/>
        <w:gridCol w:w="1560"/>
        <w:gridCol w:w="1701"/>
        <w:gridCol w:w="1139"/>
        <w:gridCol w:w="1559"/>
        <w:gridCol w:w="1586"/>
      </w:tblGrid>
      <w:tr>
        <w:trPr>
          <w:trHeight w:val="936"/>
        </w:trPr>
        <w:tc>
          <w:tcPr>
            <w:shd w:val="clear" w:color="000000" w:fill="ffffff"/>
            <w:tcBorders/>
            <w:tcW w:w="850" w:type="dxa"/>
            <w:vAlign w:val="center"/>
            <w:textDirection w:val="lrTb"/>
            <w:noWrap w:val="false"/>
          </w:tcPr>
          <w:p>
            <w:pPr>
              <w:pBdr/>
              <w:spacing w:after="60" w:before="60"/>
              <w:ind/>
              <w:jc w:val="center"/>
              <w:rPr>
                <w:b/>
                <w:bCs/>
                <w:sz w:val="22"/>
                <w:szCs w:val="22"/>
              </w:rPr>
            </w:pPr>
            <w:r>
              <w:rPr>
                <w:b/>
                <w:bCs/>
                <w:sz w:val="22"/>
                <w:szCs w:val="22"/>
              </w:rPr>
              <w:t xml:space="preserve">Tài sản</w:t>
            </w:r>
            <w:r>
              <w:rPr>
                <w:b/>
                <w:bCs/>
                <w:sz w:val="22"/>
                <w:szCs w:val="22"/>
              </w:rPr>
            </w:r>
            <w:r>
              <w:rPr>
                <w:b/>
                <w:bCs/>
                <w:sz w:val="22"/>
                <w:szCs w:val="22"/>
              </w:rPr>
            </w:r>
          </w:p>
        </w:tc>
        <w:tc>
          <w:tcPr>
            <w:shd w:val="clear" w:color="000000" w:fill="ffffff"/>
            <w:tcBorders/>
            <w:tcW w:w="1101" w:type="dxa"/>
            <w:vAlign w:val="center"/>
            <w:textDirection w:val="lrTb"/>
            <w:noWrap w:val="false"/>
          </w:tcPr>
          <w:p>
            <w:pPr>
              <w:pBdr/>
              <w:spacing w:after="60" w:before="60"/>
              <w:ind/>
              <w:jc w:val="center"/>
              <w:rPr>
                <w:b/>
                <w:bCs/>
                <w:sz w:val="22"/>
                <w:szCs w:val="22"/>
              </w:rPr>
            </w:pPr>
            <w:r>
              <w:rPr>
                <w:b/>
                <w:bCs/>
                <w:sz w:val="22"/>
                <w:szCs w:val="22"/>
              </w:rPr>
              <w:t xml:space="preserve">Diện tích sàn (m²)</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Đơn giá xây dựng mới (đồng/m² sàn)</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Chi phí thay thế (đồng)</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Tỷ lệ hao mòn (%)</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Giá trị hao mòn (đồng)</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Giá trị thẩm định tại thời điểm thẩm định giá (đồng)</w:t>
            </w:r>
            <w:r>
              <w:rPr>
                <w:b/>
                <w:bCs/>
                <w:sz w:val="22"/>
                <w:szCs w:val="22"/>
              </w:rPr>
            </w:r>
            <w:r>
              <w:rPr>
                <w:b/>
                <w:bCs/>
                <w:sz w:val="22"/>
                <w:szCs w:val="22"/>
              </w:rPr>
            </w:r>
          </w:p>
        </w:tc>
      </w:tr>
      <w:tr>
        <w:trPr>
          <w:trHeight w:val="300"/>
        </w:trPr>
        <w:tc>
          <w:tcPr>
            <w:shd w:val="clear" w:color="000000" w:fill="ffffff"/>
            <w:tcBorders/>
            <w:tcW w:w="850" w:type="dxa"/>
            <w:vAlign w:val="center"/>
            <w:textDirection w:val="lrTb"/>
            <w:noWrap w:val="false"/>
          </w:tcPr>
          <w:p>
            <w:pPr>
              <w:pBdr/>
              <w:spacing w:after="60" w:before="60"/>
              <w:ind/>
              <w:jc w:val="center"/>
              <w:rPr>
                <w:b/>
                <w:bCs/>
                <w:sz w:val="22"/>
                <w:szCs w:val="22"/>
              </w:rPr>
            </w:pPr>
            <w:r>
              <w:rPr>
                <w:b/>
                <w:bCs/>
                <w:sz w:val="22"/>
                <w:szCs w:val="22"/>
              </w:rPr>
              <w:t xml:space="preserve">(1)</w:t>
            </w:r>
            <w:r>
              <w:rPr>
                <w:b/>
                <w:bCs/>
                <w:sz w:val="22"/>
                <w:szCs w:val="22"/>
              </w:rPr>
            </w:r>
            <w:r>
              <w:rPr>
                <w:b/>
                <w:bCs/>
                <w:sz w:val="22"/>
                <w:szCs w:val="22"/>
              </w:rPr>
            </w:r>
          </w:p>
        </w:tc>
        <w:tc>
          <w:tcPr>
            <w:shd w:val="clear" w:color="000000" w:fill="ffffff"/>
            <w:tcBorders/>
            <w:tcW w:w="1101" w:type="dxa"/>
            <w:vAlign w:val="center"/>
            <w:textDirection w:val="lrTb"/>
            <w:noWrap w:val="false"/>
          </w:tcPr>
          <w:p>
            <w:pPr>
              <w:pBdr/>
              <w:spacing w:after="60" w:before="60"/>
              <w:ind/>
              <w:jc w:val="center"/>
              <w:rPr>
                <w:b/>
                <w:bCs/>
                <w:sz w:val="22"/>
                <w:szCs w:val="22"/>
              </w:rPr>
            </w:pPr>
            <w:r>
              <w:rPr>
                <w:b/>
                <w:bCs/>
                <w:sz w:val="22"/>
                <w:szCs w:val="22"/>
              </w:rPr>
              <w:t xml:space="preserve">(2)</w:t>
            </w:r>
            <w:r>
              <w:rPr>
                <w:b/>
                <w:bCs/>
                <w:sz w:val="22"/>
                <w:szCs w:val="22"/>
              </w:rPr>
            </w:r>
            <w:r>
              <w:rPr>
                <w:b/>
                <w:bCs/>
                <w:sz w:val="22"/>
                <w:szCs w:val="22"/>
              </w:rPr>
            </w:r>
          </w:p>
        </w:tc>
        <w:tc>
          <w:tcPr>
            <w:shd w:val="clear" w:color="000000" w:fill="ffffff"/>
            <w:tcBorders/>
            <w:tcW w:w="1560" w:type="dxa"/>
            <w:vAlign w:val="center"/>
            <w:textDirection w:val="lrTb"/>
            <w:noWrap w:val="false"/>
          </w:tcPr>
          <w:p>
            <w:pPr>
              <w:pBdr/>
              <w:spacing w:after="60" w:before="60"/>
              <w:ind/>
              <w:jc w:val="center"/>
              <w:rPr>
                <w:b/>
                <w:bCs/>
                <w:sz w:val="22"/>
                <w:szCs w:val="22"/>
              </w:rPr>
            </w:pPr>
            <w:r>
              <w:rPr>
                <w:b/>
                <w:bCs/>
                <w:sz w:val="22"/>
                <w:szCs w:val="22"/>
              </w:rPr>
              <w:t xml:space="preserve">(3)</w:t>
            </w:r>
            <w:r>
              <w:rPr>
                <w:b/>
                <w:bCs/>
                <w:sz w:val="22"/>
                <w:szCs w:val="22"/>
              </w:rPr>
            </w:r>
            <w:r>
              <w:rPr>
                <w:b/>
                <w:bCs/>
                <w:sz w:val="22"/>
                <w:szCs w:val="22"/>
              </w:rPr>
            </w:r>
          </w:p>
        </w:tc>
        <w:tc>
          <w:tcPr>
            <w:shd w:val="clear" w:color="000000" w:fill="ffffff"/>
            <w:tcBorders/>
            <w:tcW w:w="1701" w:type="dxa"/>
            <w:vAlign w:val="center"/>
            <w:textDirection w:val="lrTb"/>
            <w:noWrap w:val="false"/>
          </w:tcPr>
          <w:p>
            <w:pPr>
              <w:pBdr/>
              <w:spacing w:after="60" w:before="60"/>
              <w:ind/>
              <w:jc w:val="center"/>
              <w:rPr>
                <w:b/>
                <w:bCs/>
                <w:sz w:val="22"/>
                <w:szCs w:val="22"/>
              </w:rPr>
            </w:pPr>
            <w:r>
              <w:rPr>
                <w:b/>
                <w:bCs/>
                <w:sz w:val="22"/>
                <w:szCs w:val="22"/>
              </w:rPr>
              <w:t xml:space="preserve">(4) = (2) * (3)</w:t>
            </w:r>
            <w:r>
              <w:rPr>
                <w:b/>
                <w:bCs/>
                <w:sz w:val="22"/>
                <w:szCs w:val="22"/>
              </w:rPr>
            </w:r>
            <w:r>
              <w:rPr>
                <w:b/>
                <w:bCs/>
                <w:sz w:val="22"/>
                <w:szCs w:val="22"/>
              </w:rPr>
            </w:r>
          </w:p>
        </w:tc>
        <w:tc>
          <w:tcPr>
            <w:shd w:val="clear" w:color="000000" w:fill="ffffff"/>
            <w:tcBorders/>
            <w:tcW w:w="1139" w:type="dxa"/>
            <w:vAlign w:val="center"/>
            <w:textDirection w:val="lrTb"/>
            <w:noWrap w:val="false"/>
          </w:tcPr>
          <w:p>
            <w:pPr>
              <w:pBdr/>
              <w:spacing w:after="60" w:before="60"/>
              <w:ind/>
              <w:jc w:val="center"/>
              <w:rPr>
                <w:b/>
                <w:bCs/>
                <w:sz w:val="22"/>
                <w:szCs w:val="22"/>
              </w:rPr>
            </w:pPr>
            <w:r>
              <w:rPr>
                <w:b/>
                <w:bCs/>
                <w:sz w:val="22"/>
                <w:szCs w:val="22"/>
              </w:rPr>
              <w:t xml:space="preserve">(5)</w:t>
            </w:r>
            <w:r>
              <w:rPr>
                <w:b/>
                <w:bCs/>
                <w:sz w:val="22"/>
                <w:szCs w:val="22"/>
              </w:rPr>
            </w:r>
            <w:r>
              <w:rPr>
                <w:b/>
                <w:bCs/>
                <w:sz w:val="22"/>
                <w:szCs w:val="22"/>
              </w:rPr>
            </w:r>
          </w:p>
        </w:tc>
        <w:tc>
          <w:tcPr>
            <w:shd w:val="clear" w:color="000000" w:fill="ffffff"/>
            <w:tcBorders/>
            <w:tcW w:w="1559"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6</w:t>
            </w:r>
            <w:r>
              <w:rPr>
                <w:b/>
                <w:bCs/>
                <w:sz w:val="22"/>
                <w:szCs w:val="22"/>
              </w:rPr>
              <w:t xml:space="preserve">)</w:t>
            </w:r>
            <w:r>
              <w:rPr>
                <w:b/>
                <w:bCs/>
                <w:sz w:val="22"/>
                <w:szCs w:val="22"/>
              </w:rPr>
              <w:t xml:space="preserve">=(4)*(5)</w:t>
            </w:r>
            <w:r>
              <w:rPr>
                <w:b/>
                <w:bCs/>
                <w:sz w:val="22"/>
                <w:szCs w:val="22"/>
              </w:rPr>
            </w:r>
            <w:r>
              <w:rPr>
                <w:b/>
                <w:bCs/>
                <w:sz w:val="22"/>
                <w:szCs w:val="22"/>
              </w:rPr>
            </w:r>
          </w:p>
        </w:tc>
        <w:tc>
          <w:tcPr>
            <w:shd w:val="clear" w:color="000000" w:fill="ffffff"/>
            <w:tcBorders/>
            <w:tcW w:w="1586" w:type="dxa"/>
            <w:vAlign w:val="center"/>
            <w:textDirection w:val="lrTb"/>
            <w:noWrap w:val="false"/>
          </w:tcPr>
          <w:p>
            <w:pPr>
              <w:pBdr/>
              <w:spacing w:after="60" w:before="60"/>
              <w:ind/>
              <w:jc w:val="center"/>
              <w:rPr>
                <w:b/>
                <w:bCs/>
                <w:sz w:val="22"/>
                <w:szCs w:val="22"/>
              </w:rPr>
            </w:pPr>
            <w:r>
              <w:rPr>
                <w:b/>
                <w:bCs/>
                <w:sz w:val="22"/>
                <w:szCs w:val="22"/>
              </w:rPr>
              <w:t xml:space="preserve">(</w:t>
            </w:r>
            <w:r>
              <w:rPr>
                <w:b/>
                <w:bCs/>
                <w:sz w:val="22"/>
                <w:szCs w:val="22"/>
              </w:rPr>
              <w:t xml:space="preserve">7</w:t>
            </w:r>
            <w:r>
              <w:rPr>
                <w:b/>
                <w:bCs/>
                <w:sz w:val="22"/>
                <w:szCs w:val="22"/>
              </w:rPr>
              <w:t xml:space="preserve">) = (4) - (</w:t>
            </w:r>
            <w:r>
              <w:rPr>
                <w:b/>
                <w:bCs/>
                <w:sz w:val="22"/>
                <w:szCs w:val="22"/>
              </w:rPr>
              <w:t xml:space="preserve">6</w:t>
            </w:r>
            <w:r>
              <w:rPr>
                <w:b/>
                <w:bCs/>
                <w:sz w:val="22"/>
                <w:szCs w:val="22"/>
              </w:rPr>
              <w:t xml:space="preserve">)</w:t>
            </w:r>
            <w:r>
              <w:rPr>
                <w:b/>
                <w:bCs/>
                <w:sz w:val="22"/>
                <w:szCs w:val="22"/>
              </w:rPr>
            </w:r>
            <w:r>
              <w:rPr>
                <w:b/>
                <w:bCs/>
                <w:sz w:val="22"/>
                <w:szCs w:val="22"/>
              </w:rPr>
            </w:r>
          </w:p>
        </w:tc>
      </w:tr>
      <w:tr>
        <w:trPr>
          <w:trHeight w:val="312"/>
        </w:trPr>
        <w:tc>
          <w:tcPr>
            <w:tcBorders/>
            <w:tcW w:w="850" w:type="dxa"/>
            <w:vAlign w:val="center"/>
            <w:textDirection w:val="lrTb"/>
            <w:noWrap w:val="false"/>
          </w:tcPr>
          <w:p>
            <w:pPr>
              <w:pBdr/>
              <w:spacing w:after="60" w:before="60"/>
              <w:ind/>
              <w:jc w:val="center"/>
              <w:rPr>
                <w:sz w:val="22"/>
                <w:szCs w:val="22"/>
              </w:rPr>
            </w:pPr>
            <w:r>
              <w:rPr>
                <w:sz w:val="22"/>
                <w:szCs w:val="22"/>
              </w:rPr>
              <w:t xml:space="preserve">Nhà</w:t>
            </w:r>
            <w:r>
              <w:rPr>
                <w:sz w:val="22"/>
                <w:szCs w:val="22"/>
              </w:rPr>
            </w:r>
            <w:r>
              <w:rPr>
                <w:sz w:val="22"/>
                <w:szCs w:val="22"/>
              </w:rPr>
            </w:r>
          </w:p>
        </w:tc>
        <w:tc>
          <w:tcPr>
            <w:tcBorders/>
            <w:tcW w:w="1101" w:type="dxa"/>
            <w:vAlign w:val="center"/>
            <w:textDirection w:val="lrTb"/>
            <w:noWrap/>
          </w:tcPr>
          <w:p>
            <w:pPr>
              <w:pBdr/>
              <w:spacing w:after="60" w:before="60"/>
              <w:ind/>
              <w:jc w:val="center"/>
              <w:rPr>
                <w:sz w:val="22"/>
                <w:szCs w:val="22"/>
              </w:rPr>
            </w:pPr>
            <w:r>
              <w:rPr>
                <w:sz w:val="22"/>
                <w:szCs w:val="22"/>
              </w:rPr>
              <w:t xml:space="preserve">128,13</w:t>
            </w:r>
            <w:r>
              <w:rPr>
                <w:sz w:val="22"/>
                <w:szCs w:val="22"/>
              </w:rPr>
            </w:r>
            <w:r>
              <w:rPr>
                <w:sz w:val="22"/>
                <w:szCs w:val="22"/>
              </w:rPr>
            </w:r>
          </w:p>
        </w:tc>
        <w:tc>
          <w:tcPr>
            <w:tcBorders/>
            <w:tcW w:w="1560" w:type="dxa"/>
            <w:vAlign w:val="center"/>
            <w:textDirection w:val="lrTb"/>
            <w:noWrap/>
          </w:tcPr>
          <w:p>
            <w:pPr>
              <w:pBdr/>
              <w:spacing w:after="60" w:before="60"/>
              <w:ind/>
              <w:jc w:val="center"/>
              <w:rPr>
                <w:sz w:val="22"/>
                <w:szCs w:val="22"/>
              </w:rPr>
            </w:pPr>
            <w:r>
              <w:rPr>
                <w:sz w:val="22"/>
                <w:szCs w:val="22"/>
              </w:rPr>
              <w:t xml:space="preserve">8.771.760</w:t>
            </w:r>
            <w:r>
              <w:rPr>
                <w:sz w:val="22"/>
                <w:szCs w:val="22"/>
              </w:rPr>
            </w:r>
            <w:r>
              <w:rPr>
                <w:sz w:val="22"/>
                <w:szCs w:val="22"/>
              </w:rPr>
            </w:r>
          </w:p>
        </w:tc>
        <w:tc>
          <w:tcPr>
            <w:tcBorders/>
            <w:tcW w:w="1701" w:type="dxa"/>
            <w:vAlign w:val="center"/>
            <w:textDirection w:val="lrTb"/>
            <w:noWrap/>
          </w:tcPr>
          <w:p>
            <w:pPr>
              <w:pBdr/>
              <w:spacing w:after="60" w:before="60"/>
              <w:ind/>
              <w:jc w:val="center"/>
              <w:rPr>
                <w:sz w:val="22"/>
                <w:szCs w:val="22"/>
              </w:rPr>
            </w:pPr>
            <w:r>
              <w:rPr>
                <w:sz w:val="22"/>
                <w:szCs w:val="22"/>
              </w:rPr>
              <w:t xml:space="preserve">1.123.925.609</w:t>
            </w:r>
            <w:r>
              <w:rPr>
                <w:sz w:val="22"/>
                <w:szCs w:val="22"/>
              </w:rPr>
            </w:r>
            <w:r>
              <w:rPr>
                <w:sz w:val="22"/>
                <w:szCs w:val="22"/>
              </w:rPr>
            </w:r>
          </w:p>
        </w:tc>
        <w:tc>
          <w:tcPr>
            <w:tcBorders/>
            <w:tcW w:w="1139" w:type="dxa"/>
            <w:vAlign w:val="center"/>
            <w:textDirection w:val="lrTb"/>
            <w:noWrap w:val="false"/>
          </w:tcPr>
          <w:p>
            <w:pPr>
              <w:pBdr/>
              <w:spacing w:after="60" w:before="60"/>
              <w:ind/>
              <w:jc w:val="center"/>
              <w:rPr>
                <w:sz w:val="22"/>
                <w:szCs w:val="22"/>
              </w:rPr>
            </w:pPr>
            <w:r>
              <w:rPr>
                <w:sz w:val="22"/>
                <w:szCs w:val="22"/>
              </w:rPr>
              <w:t xml:space="preserve">30%</w:t>
            </w:r>
            <w:r>
              <w:rPr>
                <w:sz w:val="22"/>
                <w:szCs w:val="22"/>
              </w:rPr>
            </w:r>
            <w:r>
              <w:rPr>
                <w:sz w:val="22"/>
                <w:szCs w:val="22"/>
              </w:rPr>
            </w:r>
          </w:p>
        </w:tc>
        <w:tc>
          <w:tcPr>
            <w:tcBorders/>
            <w:tcW w:w="1559" w:type="dxa"/>
            <w:vAlign w:val="center"/>
            <w:textDirection w:val="lrTb"/>
            <w:noWrap/>
          </w:tcPr>
          <w:p>
            <w:pPr>
              <w:pBdr/>
              <w:spacing w:after="60" w:before="60"/>
              <w:ind/>
              <w:jc w:val="center"/>
              <w:rPr>
                <w:sz w:val="22"/>
                <w:szCs w:val="22"/>
              </w:rPr>
            </w:pPr>
            <w:r>
              <w:rPr>
                <w:sz w:val="22"/>
                <w:szCs w:val="22"/>
              </w:rPr>
              <w:t xml:space="preserve">337.177.683</w:t>
            </w:r>
            <w:r>
              <w:rPr>
                <w:sz w:val="22"/>
                <w:szCs w:val="22"/>
              </w:rPr>
            </w:r>
            <w:r>
              <w:rPr>
                <w:sz w:val="22"/>
                <w:szCs w:val="22"/>
              </w:rPr>
            </w:r>
          </w:p>
        </w:tc>
        <w:tc>
          <w:tcPr>
            <w:tcBorders/>
            <w:tcW w:w="1586" w:type="dxa"/>
            <w:vAlign w:val="center"/>
            <w:textDirection w:val="lrTb"/>
            <w:noWrap w:val="false"/>
          </w:tcPr>
          <w:p>
            <w:pPr>
              <w:pBdr/>
              <w:spacing w:after="60" w:before="60"/>
              <w:ind/>
              <w:jc w:val="center"/>
              <w:rPr>
                <w:sz w:val="22"/>
                <w:szCs w:val="22"/>
              </w:rPr>
            </w:pPr>
            <w:r>
              <w:rPr>
                <w:sz w:val="22"/>
                <w:szCs w:val="22"/>
              </w:rPr>
              <w:t xml:space="preserve">786.747.926</w:t>
            </w:r>
            <w:r>
              <w:rPr>
                <w:sz w:val="22"/>
                <w:szCs w:val="22"/>
              </w:rPr>
            </w:r>
            <w:r>
              <w:rPr>
                <w:sz w:val="22"/>
                <w:szCs w:val="22"/>
              </w:rPr>
            </w:r>
          </w:p>
        </w:tc>
      </w:tr>
    </w:tbl>
    <w:p>
      <w:pPr>
        <w:pStyle w:val="1034"/>
        <w:pBdr/>
        <w:spacing w:after="120" w:before="120" w:line="276" w:lineRule="auto"/>
        <w:ind w:left="357"/>
        <w:jc w:val="both"/>
        <w:rPr>
          <w:b/>
          <w:lang w:val="pt-BR"/>
        </w:rPr>
      </w:pPr>
      <w:r>
        <w:rPr>
          <w:b/>
          <w:lang w:val="pt-BR"/>
        </w:rPr>
      </w:r>
      <w:r>
        <w:rPr>
          <w:b/>
          <w:lang w:val="pt-BR"/>
        </w:rPr>
      </w:r>
      <w:r>
        <w:rPr>
          <w:b/>
          <w:lang w:val="pt-BR"/>
        </w:rPr>
      </w:r>
    </w:p>
    <w:p>
      <w:pPr>
        <w:pStyle w:val="1034"/>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4"/>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06/2026</w:t>
      </w:r>
      <w:r>
        <w:t xml:space="preserve"> </w:t>
      </w:r>
      <w:r>
        <w:t xml:space="preserve">ước tính </w:t>
      </w:r>
      <w:r>
        <w:t xml:space="preserve">như 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952"/>
        <w:gridCol w:w="1212"/>
        <w:gridCol w:w="813"/>
        <w:gridCol w:w="1802"/>
        <w:gridCol w:w="2581"/>
        <w:gridCol w:w="2164"/>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gridSpan w:val="2"/>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2164" w:type="dxa"/>
            <w:vAlign w:val="center"/>
            <w:textDirection w:val="lrTb"/>
            <w:noWrap w:val="false"/>
          </w:tcPr>
          <w:p>
            <w:pPr>
              <w:pBdr/>
              <w:spacing/>
              <w:ind/>
              <w:jc w:val="center"/>
              <w:rPr>
                <w:b/>
                <w:bCs/>
              </w:rPr>
            </w:pPr>
            <w:r>
              <w:rPr>
                <w:b/>
                <w:bCs/>
              </w:rPr>
            </w:r>
            <w:r>
              <w:rPr>
                <w:rFonts w:ascii="Times New Roman" w:hAnsi="Times New Roman" w:eastAsia="Times New Roman" w:cs="Times New Roman"/>
                <w:b/>
                <w:color w:val="000000"/>
                <w:sz w:val="24"/>
              </w:rPr>
              <w:t xml:space="preserve">CLCL </w:t>
              <w:br/>
              <w:t xml:space="preserve"> (%)</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5"/>
            <w:shd w:val="clear" w:color="000000" w:fill="ffffff"/>
            <w:tcBorders/>
            <w:tcW w:w="6967" w:type="dxa"/>
            <w:vAlign w:val="center"/>
            <w:textDirection w:val="lrTb"/>
            <w:noWrap w:val="false"/>
          </w:tcPr>
          <w:p>
            <w:pPr>
              <w:pBdr/>
              <w:spacing w:after="40" w:before="40" w:line="288" w:lineRule="auto"/>
              <w:ind/>
              <w:jc w:val="both"/>
              <w:rPr>
                <w:b/>
                <w:bCs/>
              </w:rPr>
            </w:pPr>
            <w:r>
              <w:rPr>
                <w:b/>
                <w:bCs/>
                <w:color w:val="000000"/>
              </w:rPr>
            </w:r>
            <w:r>
              <w:rPr>
                <w:rFonts w:ascii="Times New Roman" w:hAnsi="Times New Roman" w:eastAsia="Times New Roman" w:cs="Times New Roman"/>
                <w:b/>
                <w:bCs/>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b/>
                <w:bCs/>
                <w:i/>
                <w:iCs/>
                <w:color w:val="000000"/>
                <w:sz w:val="24"/>
              </w:rPr>
              <w:t xml:space="preserve"> (Nay là </w:t>
            </w:r>
            <w:r>
              <w:rPr>
                <w:rFonts w:ascii="Times New Roman" w:hAnsi="Times New Roman" w:eastAsia="Times New Roman" w:cs="Times New Roman"/>
                <w:b/>
                <w:bCs/>
                <w:i/>
                <w:iCs/>
                <w:color w:val="212529"/>
                <w:sz w:val="24"/>
                <w:highlight w:val="white"/>
              </w:rPr>
              <w:t xml:space="preserve">Phường Lâm Viên - Đà Lạt, tỉnh Lâm Đồng</w:t>
            </w:r>
            <w:r>
              <w:rPr>
                <w:rFonts w:ascii="Times New Roman" w:hAnsi="Times New Roman" w:eastAsia="Times New Roman" w:cs="Times New Roman"/>
                <w:b/>
                <w:bCs/>
                <w:i/>
                <w:iCs/>
                <w:color w:val="212529"/>
                <w:sz w:val="24"/>
                <w:highlight w:val="none"/>
              </w:rPr>
              <w:t xml:space="preserve">)</w:t>
            </w:r>
            <w:r>
              <w:rPr>
                <w:rFonts w:ascii="Times New Roman" w:hAnsi="Times New Roman" w:eastAsia="Times New Roman" w:cs="Times New Roman"/>
                <w:b/>
                <w:bCs/>
                <w:i/>
                <w:iCs/>
                <w:color w:val="000000"/>
                <w:sz w:val="24"/>
              </w:rPr>
              <w:t xml:space="preserve"> </w:t>
            </w:r>
            <w:r>
              <w:rPr>
                <w:rFonts w:ascii="Times New Roman" w:hAnsi="Times New Roman" w:eastAsia="Times New Roman" w:cs="Times New Roman"/>
                <w:b/>
                <w:bCs/>
                <w:color w:val="000000"/>
                <w:sz w:val="24"/>
              </w:rPr>
              <w:t xml:space="preserve"> theo Giấy chứng nhận quyền sử dụng đất quyền sở hữu nhà ở và tài sản</w:t>
            </w:r>
            <w:r>
              <w:rPr>
                <w:rFonts w:ascii="Times New Roman" w:hAnsi="Times New Roman" w:eastAsia="Times New Roman" w:cs="Times New Roman"/>
                <w:b/>
                <w:bCs/>
                <w:color w:val="000000"/>
                <w:sz w:val="24"/>
              </w:rPr>
              <w:t xml:space="preserve"> khác gắn liền với đất số: DD 602250, số vào sổ cấp GCN: CS 02681 do Sở Tài nguyên và Môi trường tỉnh Lâm Đồng cấp ngày 06/12/2021; Chủ tài sản là Ông Vũ Văn Hệ và vợ là Bà Nguyễn Thị Nguyệt.</w:t>
            </w:r>
            <w:r>
              <w:rPr>
                <w:b/>
                <w:bCs/>
              </w:rPr>
            </w:r>
            <w:r>
              <w:rPr>
                <w:b/>
                <w:bCs/>
              </w:rPr>
            </w:r>
          </w:p>
          <w:p>
            <w:pPr>
              <w:pBdr/>
              <w:spacing/>
              <w:ind/>
              <w:rPr>
                <w:b/>
                <w:bCs/>
              </w:rPr>
            </w:pPr>
            <w:r>
              <w:rPr>
                <w:b/>
                <w:bCs/>
              </w:rPr>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01</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Đất ở tại đô thị</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180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276,2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50.000.000</w:t>
            </w: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sz w:val="24"/>
              </w:rPr>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13.810.000.000</w:t>
            </w:r>
            <w:r/>
          </w:p>
        </w:tc>
      </w:tr>
      <w:tr>
        <w:trPr>
          <w:trHeight w:val="20"/>
        </w:trPr>
        <w:tc>
          <w:tcPr>
            <w:shd w:val="clear" w:color="000000" w:fill="ffffff"/>
            <w:tcBorders/>
            <w:tcW w:w="95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02</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gridSpan w:val="2"/>
            <w:shd w:val="clear" w:color="000000" w:fill="ffffff"/>
            <w:tcBorders/>
            <w:tcW w:w="20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rPr>
                <w:rFonts w:ascii="Times New Roman" w:hAnsi="Times New Roman" w:eastAsia="Times New Roman" w:cs="Times New Roman"/>
                <w:b/>
                <w:bCs/>
                <w:sz w:val="24"/>
              </w:rPr>
            </w:pPr>
            <w:r>
              <w:rPr>
                <w:rFonts w:ascii="Times New Roman" w:hAnsi="Times New Roman" w:eastAsia="Times New Roman" w:cs="Times New Roman"/>
                <w:b/>
                <w:bCs/>
                <w:color w:val="000000"/>
                <w:sz w:val="24"/>
              </w:rPr>
              <w:t xml:space="preserve">Nhà 02 tầng</w:t>
            </w:r>
            <w:r>
              <w:rPr>
                <w:rFonts w:ascii="Times New Roman" w:hAnsi="Times New Roman" w:eastAsia="Times New Roman" w:cs="Times New Roman"/>
                <w:b/>
                <w:bCs/>
                <w:sz w:val="24"/>
              </w:rPr>
            </w:r>
            <w:r>
              <w:rPr>
                <w:rFonts w:ascii="Times New Roman" w:hAnsi="Times New Roman" w:eastAsia="Times New Roman" w:cs="Times New Roman"/>
                <w:b/>
                <w:bCs/>
                <w:sz w:val="24"/>
              </w:rPr>
            </w:r>
          </w:p>
        </w:tc>
        <w:tc>
          <w:tcPr>
            <w:tcBorders/>
            <w:tcW w:w="1802" w:type="dxa"/>
            <w:vAlign w:val="center"/>
            <w:textDirection w:val="lrTb"/>
            <w:noWrap/>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128,13</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8.771.760</w:t>
            </w:r>
            <w:r/>
          </w:p>
        </w:tc>
        <w:tc>
          <w:tcPr>
            <w:shd w:val="clear" w:color="000000" w:fill="ffffff"/>
            <w:tcBorders/>
            <w:tcW w:w="216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88"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70,0%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786.747.926</w:t>
            </w: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ind/>
              <w:rPr/>
            </w:pPr>
            <w:r/>
            <w:r/>
          </w:p>
        </w:tc>
        <w:tc>
          <w:tcPr>
            <w:tcBorders/>
            <w:tcW w:w="2164" w:type="dxa"/>
            <w:vAlign w:val="center"/>
            <w:textDirection w:val="lrTb"/>
            <w:noWrap/>
          </w:tcPr>
          <w:p>
            <w:pPr>
              <w:pBdr/>
              <w:spacing w:after="40" w:before="40" w:line="288" w:lineRule="auto"/>
              <w:ind/>
              <w:jc w:val="center"/>
              <w:rPr>
                <w:b/>
                <w:bCs/>
                <w:color w:val="000000"/>
              </w:rPr>
            </w:pPr>
            <w:r>
              <w:t xml:space="preserve">14.596.747.926</w:t>
            </w:r>
            <w:r>
              <w:rPr>
                <w:b/>
                <w:bCs/>
                <w:color w:val="000000"/>
              </w:rPr>
            </w:r>
            <w:r>
              <w:rPr>
                <w:b/>
                <w:bCs/>
                <w:color w:val="000000"/>
              </w:rPr>
            </w:r>
          </w:p>
        </w:tc>
      </w:tr>
      <w:tr>
        <w:trPr>
          <w:trHeight w:val="20"/>
        </w:trPr>
        <w:tc>
          <w:tcPr>
            <w:gridSpan w:val="5"/>
            <w:tcBorders/>
            <w:tcW w:w="7361"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164" w:type="dxa"/>
            <w:vAlign w:val="center"/>
            <w:textDirection w:val="lrTb"/>
            <w:noWrap/>
          </w:tcPr>
          <w:p>
            <w:pPr>
              <w:pBdr/>
              <w:spacing/>
              <w:ind/>
              <w:rPr>
                <w:b/>
                <w:bCs/>
                <w:color w:val="000000"/>
              </w:rPr>
            </w:pPr>
            <w:r>
              <w:rPr>
                <w:b/>
                <w:bCs/>
                <w:color w:val="000000"/>
              </w:rPr>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color w:val="000000"/>
              </w:rPr>
              <w:t xml:space="preserve">14.596.700.000</w:t>
            </w:r>
            <w:r>
              <w:rPr>
                <w:b/>
                <w:bCs/>
                <w:color w:val="000000"/>
              </w:rPr>
            </w:r>
            <w:r>
              <w:rPr>
                <w:b/>
                <w:bCs/>
                <w:color w:val="000000"/>
              </w:rPr>
            </w:r>
          </w:p>
        </w:tc>
      </w:tr>
      <w:tr>
        <w:trPr>
          <w:trHeight w:val="20"/>
        </w:trPr>
        <w:tc>
          <w:tcPr>
            <w:gridSpan w:val="7"/>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bốn tỷ năm trăm chín mươi sáu triệu bảy trăm nghìn đồng </w:t>
            </w:r>
            <w:r>
              <w:rPr>
                <w:b/>
                <w:bCs/>
                <w:i/>
                <w:iCs/>
                <w:color w:val="000000"/>
              </w:rPr>
              <w:t xml:space="preserve">./.)</w:t>
            </w:r>
            <w:r>
              <w:rPr>
                <w:b/>
                <w:bCs/>
                <w:i/>
                <w:iCs/>
                <w:color w:val="000000"/>
              </w:rPr>
            </w:r>
            <w:r>
              <w:rPr>
                <w:b/>
                <w:bCs/>
                <w:i/>
                <w:iCs/>
                <w:color w:val="000000"/>
              </w:rPr>
            </w:r>
          </w:p>
        </w:tc>
      </w:tr>
    </w:tbl>
    <w:p>
      <w:pPr>
        <w:pStyle w:val="1034"/>
        <w:pBdr/>
        <w:tabs>
          <w:tab w:val="left" w:leader="none" w:pos="993"/>
        </w:tabs>
        <w:spacing w:after="120" w:before="120" w:line="276" w:lineRule="auto"/>
        <w:ind w:left="0"/>
        <w:jc w:val="both"/>
        <w:rPr/>
      </w:pPr>
      <w:r/>
      <w:r/>
    </w:p>
    <w:p>
      <w:pPr>
        <w:pStyle w:val="1034"/>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4"/>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4"/>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4"/>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4"/>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4"/>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4"/>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4"/>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4"/>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4"/>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4"/>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4"/>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34"/>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4"/>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4"/>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4"/>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4"/>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4"/>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4"/>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4"/>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275/2026/0952/VFI-CT.57.A</w:t>
      </w:r>
      <w:r>
        <w:rPr>
          <w:color w:val="ff0000"/>
          <w:lang w:val="vi-VN"/>
        </w:rPr>
        <w:t xml:space="preserve"> </w:t>
      </w:r>
      <w:r>
        <w:rPr>
          <w:color w:val="000000" w:themeColor="text1"/>
        </w:rPr>
        <w:t xml:space="preserve">ngày 25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Minh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275/2026/0952/VFI-BC.57.A</w:t>
      </w:r>
      <w:r>
        <w:rPr>
          <w:i/>
        </w:rPr>
        <w:t xml:space="preserve"> ngày</w:t>
      </w:r>
      <w:r>
        <w:rPr>
          <w:i/>
          <w:lang w:val="pt-BR"/>
        </w:rPr>
        <w:t xml:space="preserve"> </w:t>
      </w:r>
      <w:r>
        <w:rPr>
          <w:i/>
          <w:lang w:val="pt-BR"/>
        </w:rPr>
        <w:t xml:space="preserve">25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8"/>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65442" cy="2149081"/>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83135" name=""/>
                              <pic:cNvPicPr>
                                <a:picLocks noChangeAspect="1"/>
                              </pic:cNvPicPr>
                              <pic:nvPr/>
                            </pic:nvPicPr>
                            <pic:blipFill rotWithShape="1">
                              <a:blip r:embed="rId19"/>
                              <a:stretch/>
                            </pic:blipFill>
                            <pic:spPr bwMode="auto">
                              <a:xfrm flipH="0" flipV="0">
                                <a:off x="0" y="0"/>
                                <a:ext cx="2865441" cy="21490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63pt;height:169.2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70166" cy="215262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67560" name=""/>
                              <pic:cNvPicPr>
                                <a:picLocks noChangeAspect="1"/>
                              </pic:cNvPicPr>
                              <pic:nvPr/>
                            </pic:nvPicPr>
                            <pic:blipFill rotWithShape="1">
                              <a:blip r:embed="rId20"/>
                              <a:stretch/>
                            </pic:blipFill>
                            <pic:spPr bwMode="auto">
                              <a:xfrm flipH="0" flipV="0">
                                <a:off x="0" y="0"/>
                                <a:ext cx="2870165" cy="21526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00pt;height:169.50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13954" cy="2185465"/>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73893" name=""/>
                              <pic:cNvPicPr>
                                <a:picLocks noChangeAspect="1"/>
                              </pic:cNvPicPr>
                              <pic:nvPr/>
                            </pic:nvPicPr>
                            <pic:blipFill rotWithShape="1">
                              <a:blip r:embed="rId21"/>
                              <a:stretch/>
                            </pic:blipFill>
                            <pic:spPr bwMode="auto">
                              <a:xfrm flipH="0" flipV="0">
                                <a:off x="0" y="0"/>
                                <a:ext cx="2913952" cy="21854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45pt;height:172.0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09849" cy="210738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162059" name=""/>
                              <pic:cNvPicPr>
                                <a:picLocks noChangeAspect="1"/>
                              </pic:cNvPicPr>
                              <pic:nvPr/>
                            </pic:nvPicPr>
                            <pic:blipFill rotWithShape="1">
                              <a:blip r:embed="rId22"/>
                              <a:stretch/>
                            </pic:blipFill>
                            <pic:spPr bwMode="auto">
                              <a:xfrm flipH="0" flipV="0">
                                <a:off x="0" y="0"/>
                                <a:ext cx="2809848" cy="21073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1.25pt;height:165.94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0126" cy="221259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257522" name=""/>
                              <pic:cNvPicPr>
                                <a:picLocks noChangeAspect="1"/>
                              </pic:cNvPicPr>
                              <pic:nvPr/>
                            </pic:nvPicPr>
                            <pic:blipFill rotWithShape="1">
                              <a:blip r:embed="rId23"/>
                              <a:stretch/>
                            </pic:blipFill>
                            <pic:spPr bwMode="auto">
                              <a:xfrm flipH="0" flipV="0">
                                <a:off x="0" y="0"/>
                                <a:ext cx="2950125" cy="22125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29pt;height:174.22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024187" cy="226814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98805" name=""/>
                              <pic:cNvPicPr>
                                <a:picLocks noChangeAspect="1"/>
                              </pic:cNvPicPr>
                              <pic:nvPr/>
                            </pic:nvPicPr>
                            <pic:blipFill rotWithShape="1">
                              <a:blip r:embed="rId24"/>
                              <a:stretch/>
                            </pic:blipFill>
                            <pic:spPr bwMode="auto">
                              <a:xfrm flipH="0" flipV="0">
                                <a:off x="0" y="0"/>
                                <a:ext cx="3024187" cy="2268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8.12pt;height:178.5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275/2026/0952/VFI-BC.57.A</w:t>
      </w:r>
      <w:r>
        <w:rPr>
          <w:i/>
        </w:rPr>
        <w:t xml:space="preserve"> ngày</w:t>
      </w:r>
      <w:r>
        <w:rPr>
          <w:i/>
          <w:lang w:val="pt-BR"/>
        </w:rPr>
        <w:t xml:space="preserve"> </w:t>
      </w:r>
      <w:r>
        <w:rPr>
          <w:i/>
          <w:lang w:val="pt-BR"/>
        </w:rPr>
        <w:t xml:space="preserve">25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https://www.facebook.com/groups/1001767636564511/permalink/33494396826874838/</w:t>
            </w:r>
            <w:r>
              <w:rPr>
                <w:color w:val="000000" w:themeColor="text1"/>
                <w:sz w:val="22"/>
                <w:szCs w:val="22"/>
              </w:rPr>
              <w:br/>
              <w:t xml:space="preserve">0937470369</w:t>
            </w:r>
            <w:r>
              <w:rPr>
                <w:sz w:val="22"/>
                <w:szCs w:val="22"/>
              </w:rPr>
              <w:t xml:space="preserve"> </w:t>
            </w:r>
            <w:r>
              <w:rPr>
                <w:sz w:val="22"/>
                <w:szCs w:val="22"/>
              </w:rPr>
              <w:br/>
              <w:t xml:space="preserve">(Sale Nguyễn Bum</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w:t>
            </w:r>
            <w:r>
              <w:rPr>
                <w:color w:val="000000" w:themeColor="text1"/>
                <w:sz w:val="22"/>
                <w:szCs w:val="22"/>
              </w:rPr>
              <w:t xml:space="preserve"> sản tại: Phường 5, Thành phố Đà Lạt, Tỉnh Lâm Đồng, đường Mặt đường Trần Bình Trọng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21508"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2215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2.4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0398925292</w:t>
            </w:r>
            <w:r>
              <w:rPr>
                <w:sz w:val="22"/>
                <w:szCs w:val="22"/>
              </w:rPr>
              <w:t xml:space="preserve"> </w:t>
            </w:r>
            <w:r>
              <w:rPr>
                <w:sz w:val="22"/>
                <w:szCs w:val="22"/>
              </w:rPr>
              <w:br/>
              <w:t xml:space="preserve">(Xuân Bách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(195.99m²)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Lâm Viên - Đà Lạt, Tỉnh Lâm Đồng, khoảng cách ra đường chính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195,99</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39547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3954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6.1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44263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4263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9.8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33.3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Nguyễn Minh Phúc</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t xml:space="preserve">                                                                         </w:t>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0911395389</w:t>
            </w:r>
            <w:r>
              <w:rPr>
                <w:sz w:val="22"/>
                <w:szCs w:val="22"/>
              </w:rPr>
              <w:t xml:space="preserve"> </w:t>
            </w:r>
            <w:r>
              <w:rPr>
                <w:sz w:val="22"/>
                <w:szCs w:val="22"/>
              </w:rPr>
              <w:br/>
              <w:t xml:space="preserve">(Nguyễn Vũ Bụp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(90m²)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Phường Lâm Viên - Đà Lạt, Tỉnh Lâm Đồng, đường KHQ Phạm Hồng Thái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58007"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5800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51.02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30255"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45302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56.71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57502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457502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60.2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Nguyễn Minh Phúc</w:t>
            </w:r>
            <w:r/>
          </w:p>
          <w:p>
            <w:pPr>
              <w:pBdr/>
              <w:spacing/>
              <w:ind/>
              <w:jc w:val="center"/>
              <w:rPr/>
            </w:pPr>
            <w:r/>
            <w:r/>
          </w:p>
        </w:tc>
      </w:tr>
    </w:tbl>
    <w:p>
      <w:pPr>
        <w:pBdr/>
        <w:spacing w:after="200" w:line="276" w:lineRule="auto"/>
        <w:ind/>
        <w:rPr>
          <w:lang w:val="pt-BR"/>
        </w:rPr>
      </w:pPr>
      <w:r>
        <w:rPr>
          <w:iCs/>
          <w:lang w:val="pt-BR"/>
        </w:rPr>
      </w:r>
      <w:r>
        <w:rPr>
          <w:iCs/>
          <w:lang w:val="pt-BR"/>
        </w:rPr>
      </w:r>
      <w:r>
        <w:rPr>
          <w:lang w:val="pt-BR"/>
        </w:rPr>
      </w:r>
    </w:p>
    <w:p>
      <w:pPr>
        <w:pBdr/>
        <w:spacing w:after="200" w:line="276" w:lineRule="auto"/>
        <w:ind/>
        <w:rPr>
          <w:iCs/>
          <w:highlight w:val="none"/>
          <w:lang w:val="pt-BR"/>
        </w:rPr>
      </w:pPr>
      <w:r>
        <w:rPr>
          <w:iCs/>
          <w:lang w:val="pt-BR"/>
        </w:rPr>
        <w:t xml:space="preserve">                                                              HỒ SƠ PHÁP LÝ</w:t>
      </w:r>
      <w:r>
        <w:rPr>
          <w:iCs/>
          <w:lang w:val="pt-BR"/>
        </w:rPr>
      </w:r>
      <w:r>
        <w:rPr>
          <w:iCs/>
          <w:highlight w:val="none"/>
          <w:lang w:val="pt-BR"/>
        </w:rPr>
      </w:r>
    </w:p>
    <w:p>
      <w:pPr>
        <w:pBdr/>
        <w:spacing w:after="200" w:line="276" w:lineRule="auto"/>
        <w:ind/>
        <w:rPr>
          <w:lang w:val="pt-BR"/>
        </w:rPr>
      </w:pPr>
      <w:r>
        <w:rPr>
          <w:highlight w:val="none"/>
        </w:rPr>
      </w:r>
      <w:r>
        <w:rPr>
          <w:highlight w:val="none"/>
        </w:rPr>
      </w:r>
      <w:r>
        <w:rPr>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812071" cy="7991096"/>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527421" name=""/>
                        <pic:cNvPicPr>
                          <a:picLocks noChangeAspect="1"/>
                        </pic:cNvPicPr>
                        <pic:nvPr/>
                      </pic:nvPicPr>
                      <pic:blipFill rotWithShape="1">
                        <a:blip r:embed="rId33"/>
                        <a:srcRect l="0" t="4536" r="10545" b="3314"/>
                        <a:stretch/>
                      </pic:blipFill>
                      <pic:spPr bwMode="auto">
                        <a:xfrm flipH="0" flipV="0">
                          <a:off x="0" y="0"/>
                          <a:ext cx="5812071" cy="7991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57.64pt;height:629.22pt;mso-wrap-distance-left:0.00pt;mso-wrap-distance-top:0.00pt;mso-wrap-distance-right:0.00pt;mso-wrap-distance-bottom:0.00pt;z-index:1;" stroked="false">
                <v:imagedata r:id="rId33" o:title="" croptop="2973f" cropleft="0f" cropbottom="2172f" cropright="6911f"/>
                <o:lock v:ext="edit" rotation="t"/>
              </v:shape>
            </w:pict>
          </mc:Fallback>
        </mc:AlternateContent>
      </w:r>
      <w:r>
        <w:rPr>
          <w:highlight w:val="none"/>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8276685" cy="5949148"/>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733195" name=""/>
                        <pic:cNvPicPr>
                          <a:picLocks noChangeAspect="1"/>
                        </pic:cNvPicPr>
                        <pic:nvPr/>
                      </pic:nvPicPr>
                      <pic:blipFill rotWithShape="1">
                        <a:blip r:embed="rId34"/>
                        <a:stretch/>
                      </pic:blipFill>
                      <pic:spPr bwMode="auto">
                        <a:xfrm rot="16199969" flipH="0" flipV="0">
                          <a:off x="0" y="0"/>
                          <a:ext cx="8276684" cy="59491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651.71pt;height:468.44pt;mso-wrap-distance-left:0.00pt;mso-wrap-distance-top:0.00pt;mso-wrap-distance-right:0.00pt;mso-wrap-distance-bottom:0.00pt;rotation:269;z-index:1;" stroked="false">
                <v:imagedata r:id="rId34" o:title=""/>
                <o:lock v:ext="edit" rotation="t"/>
              </v:shape>
            </w:pict>
          </mc:Fallback>
        </mc:AlternateContent>
      </w:r>
      <w:r>
        <w:rPr>
          <w:highlight w:val="none"/>
        </w:rPr>
      </w:r>
      <w:r>
        <w:rPr>
          <w:highlight w:val="none"/>
          <w:lang w:val="pt-BR" w:bidi="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lang w:val="pt-BR" w:bidi="pt-BR"/>
        </w:rPr>
      </w:pPr>
      <w:r>
        <w:rPr>
          <w:iCs/>
          <w:highlight w:val="none"/>
          <w:lang w:val="pt-BR" w:bidi="pt-BR"/>
        </w:rPr>
        <w:t xml:space="preserve">                                                       BIÊN BẢN KHẢO SÁT</w:t>
      </w:r>
      <w:r>
        <w:rPr>
          <w:highlight w:val="none"/>
        </w:rPr>
      </w:r>
      <w:r>
        <w:rPr>
          <w:highlight w:val="none"/>
          <w:lang w:val="pt-BR" w:bidi="pt-BR"/>
        </w:rPr>
      </w:r>
    </w:p>
    <w:p>
      <w:pPr>
        <w:pBdr/>
        <w:spacing w:after="200" w:line="276" w:lineRule="auto"/>
        <w:ind/>
        <w:rPr>
          <w:highlight w:val="none"/>
        </w:rPr>
      </w:pPr>
      <w:r>
        <w:rPr>
          <w:iCs/>
          <w:highlight w:val="none"/>
          <w:lang w:val="pt-BR" w:bidi="pt-BR"/>
        </w:rPr>
      </w:r>
      <w:r>
        <mc:AlternateContent>
          <mc:Choice Requires="wpg">
            <w:drawing>
              <wp:inline xmlns:wp="http://schemas.openxmlformats.org/drawingml/2006/wordprocessingDrawing" distT="0" distB="0" distL="0" distR="0">
                <wp:extent cx="5667375" cy="75628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25144" name=""/>
                        <pic:cNvPicPr>
                          <a:picLocks noChangeAspect="1"/>
                        </pic:cNvPicPr>
                        <pic:nvPr/>
                      </pic:nvPicPr>
                      <pic:blipFill rotWithShape="1">
                        <a:blip r:embed="rId35"/>
                        <a:stretch/>
                      </pic:blipFill>
                      <pic:spPr bwMode="auto">
                        <a:xfrm>
                          <a:off x="0" y="0"/>
                          <a:ext cx="5667374" cy="75628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46.25pt;height:595.50pt;mso-wrap-distance-left:0.00pt;mso-wrap-distance-top:0.00pt;mso-wrap-distance-right:0.00pt;mso-wrap-distance-bottom:0.00pt;z-index:1;" stroked="false">
                <v:imagedata r:id="rId35" o:title=""/>
                <o:lock v:ext="edit" rotation="t"/>
              </v:shape>
            </w:pict>
          </mc:Fallback>
        </mc:AlternateContent>
      </w:r>
      <w:r>
        <w:rPr>
          <w:iCs/>
          <w:highlight w:val="none"/>
          <w:lang w:val="pt-BR" w:bidi="pt-BR"/>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0"/>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0"/>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8"/>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C5453A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2FAA6AD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0C5453A8"/>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2AB28BB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1">
    <w:nsid w:val="7466D17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6">
    <w:name w:val="Table Grid Light"/>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1"/>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2"/>
    <w:basedOn w:val="1018"/>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3"/>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4"/>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5"/>
    <w:basedOn w:val="101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w:basedOn w:val="101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w:basedOn w:val="101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1"/>
    <w:basedOn w:val="101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5"/>
    <w:basedOn w:val="101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6"/>
    <w:basedOn w:val="101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w:basedOn w:val="101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1"/>
    <w:basedOn w:val="101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2"/>
    <w:basedOn w:val="101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3"/>
    <w:basedOn w:val="101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4"/>
    <w:basedOn w:val="101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5"/>
    <w:basedOn w:val="101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6"/>
    <w:basedOn w:val="101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1"/>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2"/>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3"/>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4"/>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5"/>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6"/>
    <w:basedOn w:val="101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8">
    <w:name w:val="Grid Table 6 Colorful - Accent 1"/>
    <w:basedOn w:val="101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9">
    <w:name w:val="Grid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0">
    <w:name w:val="Grid Table 6 Colorful - Accent 3"/>
    <w:basedOn w:val="101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1">
    <w:name w:val="Grid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2">
    <w:name w:val="Grid Table 6 Colorful - Accent 5"/>
    <w:basedOn w:val="101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3">
    <w:name w:val="Grid Table 6 Colorful - Accent 6"/>
    <w:basedOn w:val="101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7 Colorful"/>
    <w:basedOn w:val="101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1"/>
    <w:basedOn w:val="101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2"/>
    <w:basedOn w:val="101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3"/>
    <w:basedOn w:val="101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4"/>
    <w:basedOn w:val="101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5"/>
    <w:basedOn w:val="101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6"/>
    <w:basedOn w:val="101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1"/>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2"/>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3"/>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4"/>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5"/>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6"/>
    <w:basedOn w:val="101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w:basedOn w:val="101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1"/>
    <w:basedOn w:val="101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2"/>
    <w:basedOn w:val="101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3"/>
    <w:basedOn w:val="101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4"/>
    <w:basedOn w:val="101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5"/>
    <w:basedOn w:val="101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6"/>
    <w:basedOn w:val="101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1"/>
    <w:basedOn w:val="101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2"/>
    <w:basedOn w:val="101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3"/>
    <w:basedOn w:val="101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4"/>
    <w:basedOn w:val="101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5"/>
    <w:basedOn w:val="101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6"/>
    <w:basedOn w:val="101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w:basedOn w:val="101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1"/>
    <w:basedOn w:val="101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2"/>
    <w:basedOn w:val="101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3"/>
    <w:basedOn w:val="101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4"/>
    <w:basedOn w:val="101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5"/>
    <w:basedOn w:val="101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6"/>
    <w:basedOn w:val="101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5 Dark"/>
    <w:basedOn w:val="101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1"/>
    <w:basedOn w:val="101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2"/>
    <w:basedOn w:val="101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3"/>
    <w:basedOn w:val="101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4"/>
    <w:basedOn w:val="101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5"/>
    <w:basedOn w:val="101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6"/>
    <w:basedOn w:val="101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6 Colorful"/>
    <w:basedOn w:val="101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1"/>
    <w:basedOn w:val="101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2"/>
    <w:basedOn w:val="101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3"/>
    <w:basedOn w:val="101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4"/>
    <w:basedOn w:val="101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5"/>
    <w:basedOn w:val="101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6"/>
    <w:basedOn w:val="101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7 Colorful"/>
    <w:basedOn w:val="101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4">
    <w:name w:val="List Table 7 Colorful - Accent 1"/>
    <w:basedOn w:val="101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5">
    <w:name w:val="List Table 7 Colorful - Accent 2"/>
    <w:basedOn w:val="101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6">
    <w:name w:val="List Table 7 Colorful - Accent 3"/>
    <w:basedOn w:val="101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7">
    <w:name w:val="List Table 7 Colorful - Accent 4"/>
    <w:basedOn w:val="101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8">
    <w:name w:val="List Table 7 Colorful - Accent 5"/>
    <w:basedOn w:val="101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9">
    <w:name w:val="List Table 7 Colorful - Accent 6"/>
    <w:basedOn w:val="101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0">
    <w:name w:val="Lined - Accent"/>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1"/>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2"/>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3"/>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4"/>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5"/>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6"/>
    <w:basedOn w:val="101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w:basedOn w:val="101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1"/>
    <w:basedOn w:val="101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2"/>
    <w:basedOn w:val="101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3"/>
    <w:basedOn w:val="101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4"/>
    <w:basedOn w:val="101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5"/>
    <w:basedOn w:val="101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6"/>
    <w:basedOn w:val="101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w:basedOn w:val="101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1"/>
    <w:basedOn w:val="101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2"/>
    <w:basedOn w:val="101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3"/>
    <w:basedOn w:val="101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4"/>
    <w:basedOn w:val="101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5"/>
    <w:basedOn w:val="101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6"/>
    <w:basedOn w:val="101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1">
    <w:name w:val="Heading 5"/>
    <w:basedOn w:val="1012"/>
    <w:next w:val="1012"/>
    <w:link w:val="976"/>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2">
    <w:name w:val="Heading 6"/>
    <w:basedOn w:val="1012"/>
    <w:next w:val="1012"/>
    <w:link w:val="977"/>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3">
    <w:name w:val="Heading 7"/>
    <w:basedOn w:val="1012"/>
    <w:next w:val="1012"/>
    <w:link w:val="978"/>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4">
    <w:name w:val="Heading 8"/>
    <w:basedOn w:val="1012"/>
    <w:next w:val="1012"/>
    <w:link w:val="979"/>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5">
    <w:name w:val="Heading 9"/>
    <w:basedOn w:val="1012"/>
    <w:next w:val="1012"/>
    <w:link w:val="980"/>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6">
    <w:name w:val="Heading 5 Char"/>
    <w:basedOn w:val="1017"/>
    <w:link w:val="971"/>
    <w:uiPriority w:val="9"/>
    <w:pPr>
      <w:pBdr/>
      <w:spacing/>
      <w:ind/>
    </w:pPr>
    <w:rPr>
      <w:rFonts w:ascii="Arial" w:hAnsi="Arial" w:eastAsia="Arial" w:cs="Arial"/>
      <w:color w:val="0f4761" w:themeColor="accent1" w:themeShade="BF"/>
    </w:rPr>
  </w:style>
  <w:style w:type="character" w:styleId="977">
    <w:name w:val="Heading 6 Char"/>
    <w:basedOn w:val="1017"/>
    <w:link w:val="972"/>
    <w:uiPriority w:val="9"/>
    <w:pPr>
      <w:pBdr/>
      <w:spacing/>
      <w:ind/>
    </w:pPr>
    <w:rPr>
      <w:rFonts w:ascii="Arial" w:hAnsi="Arial" w:eastAsia="Arial" w:cs="Arial"/>
      <w:i/>
      <w:iCs/>
      <w:color w:val="595959" w:themeColor="text1" w:themeTint="A6"/>
    </w:rPr>
  </w:style>
  <w:style w:type="character" w:styleId="978">
    <w:name w:val="Heading 7 Char"/>
    <w:basedOn w:val="1017"/>
    <w:link w:val="973"/>
    <w:uiPriority w:val="9"/>
    <w:pPr>
      <w:pBdr/>
      <w:spacing/>
      <w:ind/>
    </w:pPr>
    <w:rPr>
      <w:rFonts w:ascii="Arial" w:hAnsi="Arial" w:eastAsia="Arial" w:cs="Arial"/>
      <w:color w:val="595959" w:themeColor="text1" w:themeTint="A6"/>
    </w:rPr>
  </w:style>
  <w:style w:type="character" w:styleId="979">
    <w:name w:val="Heading 8 Char"/>
    <w:basedOn w:val="1017"/>
    <w:link w:val="974"/>
    <w:uiPriority w:val="9"/>
    <w:pPr>
      <w:pBdr/>
      <w:spacing/>
      <w:ind/>
    </w:pPr>
    <w:rPr>
      <w:rFonts w:ascii="Arial" w:hAnsi="Arial" w:eastAsia="Arial" w:cs="Arial"/>
      <w:i/>
      <w:iCs/>
      <w:color w:val="272727" w:themeColor="text1" w:themeTint="D8"/>
    </w:rPr>
  </w:style>
  <w:style w:type="character" w:styleId="980">
    <w:name w:val="Heading 9 Char"/>
    <w:basedOn w:val="1017"/>
    <w:link w:val="975"/>
    <w:uiPriority w:val="9"/>
    <w:pPr>
      <w:pBdr/>
      <w:spacing/>
      <w:ind/>
    </w:pPr>
    <w:rPr>
      <w:rFonts w:ascii="Arial" w:hAnsi="Arial" w:eastAsia="Arial" w:cs="Arial"/>
      <w:i/>
      <w:iCs/>
      <w:color w:val="272727" w:themeColor="text1" w:themeTint="D8"/>
    </w:rPr>
  </w:style>
  <w:style w:type="paragraph" w:styleId="981">
    <w:name w:val="Subtitle"/>
    <w:basedOn w:val="1012"/>
    <w:next w:val="1012"/>
    <w:link w:val="982"/>
    <w:uiPriority w:val="11"/>
    <w:qFormat/>
    <w:pPr>
      <w:numPr>
        <w:ilvl w:val="1"/>
      </w:numPr>
      <w:pBdr/>
      <w:spacing/>
      <w:ind/>
    </w:pPr>
    <w:rPr>
      <w:color w:val="595959" w:themeColor="text1" w:themeTint="A6"/>
      <w:spacing w:val="15"/>
      <w:sz w:val="28"/>
      <w:szCs w:val="28"/>
    </w:rPr>
  </w:style>
  <w:style w:type="character" w:styleId="982">
    <w:name w:val="Subtitle Char"/>
    <w:basedOn w:val="1017"/>
    <w:link w:val="981"/>
    <w:uiPriority w:val="11"/>
    <w:pPr>
      <w:pBdr/>
      <w:spacing/>
      <w:ind/>
    </w:pPr>
    <w:rPr>
      <w:color w:val="595959" w:themeColor="text1" w:themeTint="A6"/>
      <w:spacing w:val="15"/>
      <w:sz w:val="28"/>
      <w:szCs w:val="28"/>
    </w:rPr>
  </w:style>
  <w:style w:type="paragraph" w:styleId="983">
    <w:name w:val="Quote"/>
    <w:basedOn w:val="1012"/>
    <w:next w:val="1012"/>
    <w:link w:val="984"/>
    <w:uiPriority w:val="29"/>
    <w:qFormat/>
    <w:pPr>
      <w:pBdr/>
      <w:spacing w:before="160"/>
      <w:ind/>
      <w:jc w:val="center"/>
    </w:pPr>
    <w:rPr>
      <w:i/>
      <w:iCs/>
      <w:color w:val="404040" w:themeColor="text1" w:themeTint="BF"/>
    </w:rPr>
  </w:style>
  <w:style w:type="character" w:styleId="984">
    <w:name w:val="Quote Char"/>
    <w:basedOn w:val="1017"/>
    <w:link w:val="983"/>
    <w:uiPriority w:val="29"/>
    <w:pPr>
      <w:pBdr/>
      <w:spacing/>
      <w:ind/>
    </w:pPr>
    <w:rPr>
      <w:i/>
      <w:iCs/>
      <w:color w:val="404040" w:themeColor="text1" w:themeTint="BF"/>
    </w:rPr>
  </w:style>
  <w:style w:type="character" w:styleId="985">
    <w:name w:val="Intense Emphasis"/>
    <w:basedOn w:val="1017"/>
    <w:uiPriority w:val="21"/>
    <w:qFormat/>
    <w:pPr>
      <w:pBdr/>
      <w:spacing/>
      <w:ind/>
    </w:pPr>
    <w:rPr>
      <w:i/>
      <w:iCs/>
      <w:color w:val="0f4761" w:themeColor="accent1" w:themeShade="BF"/>
    </w:rPr>
  </w:style>
  <w:style w:type="paragraph" w:styleId="986">
    <w:name w:val="Intense Quote"/>
    <w:basedOn w:val="1012"/>
    <w:next w:val="1012"/>
    <w:link w:val="987"/>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7">
    <w:name w:val="Intense Quote Char"/>
    <w:basedOn w:val="1017"/>
    <w:link w:val="986"/>
    <w:uiPriority w:val="30"/>
    <w:pPr>
      <w:pBdr/>
      <w:spacing/>
      <w:ind/>
    </w:pPr>
    <w:rPr>
      <w:i/>
      <w:iCs/>
      <w:color w:val="0f4761" w:themeColor="accent1" w:themeShade="BF"/>
    </w:rPr>
  </w:style>
  <w:style w:type="character" w:styleId="988">
    <w:name w:val="Intense Reference"/>
    <w:basedOn w:val="1017"/>
    <w:uiPriority w:val="32"/>
    <w:qFormat/>
    <w:pPr>
      <w:pBdr/>
      <w:spacing/>
      <w:ind/>
    </w:pPr>
    <w:rPr>
      <w:b/>
      <w:bCs/>
      <w:smallCaps/>
      <w:color w:val="0f4761" w:themeColor="accent1" w:themeShade="BF"/>
      <w:spacing w:val="5"/>
    </w:rPr>
  </w:style>
  <w:style w:type="paragraph" w:styleId="989">
    <w:name w:val="No Spacing"/>
    <w:basedOn w:val="1012"/>
    <w:uiPriority w:val="1"/>
    <w:qFormat/>
    <w:pPr>
      <w:pBdr/>
      <w:spacing w:after="0" w:line="240" w:lineRule="auto"/>
      <w:ind/>
    </w:pPr>
  </w:style>
  <w:style w:type="character" w:styleId="990">
    <w:name w:val="Subtle Emphasis"/>
    <w:basedOn w:val="1017"/>
    <w:uiPriority w:val="19"/>
    <w:qFormat/>
    <w:pPr>
      <w:pBdr/>
      <w:spacing/>
      <w:ind/>
    </w:pPr>
    <w:rPr>
      <w:i/>
      <w:iCs/>
      <w:color w:val="404040" w:themeColor="text1" w:themeTint="BF"/>
    </w:rPr>
  </w:style>
  <w:style w:type="character" w:styleId="991">
    <w:name w:val="Subtle Reference"/>
    <w:basedOn w:val="1017"/>
    <w:uiPriority w:val="31"/>
    <w:qFormat/>
    <w:pPr>
      <w:pBdr/>
      <w:spacing/>
      <w:ind/>
    </w:pPr>
    <w:rPr>
      <w:smallCaps/>
      <w:color w:val="5a5a5a" w:themeColor="text1" w:themeTint="A5"/>
    </w:rPr>
  </w:style>
  <w:style w:type="character" w:styleId="992">
    <w:name w:val="Book Title"/>
    <w:basedOn w:val="1017"/>
    <w:uiPriority w:val="33"/>
    <w:qFormat/>
    <w:pPr>
      <w:pBdr/>
      <w:spacing/>
      <w:ind/>
    </w:pPr>
    <w:rPr>
      <w:b/>
      <w:bCs/>
      <w:i/>
      <w:iCs/>
      <w:spacing w:val="5"/>
    </w:rPr>
  </w:style>
  <w:style w:type="paragraph" w:styleId="993">
    <w:name w:val="Caption"/>
    <w:basedOn w:val="1012"/>
    <w:next w:val="1012"/>
    <w:uiPriority w:val="35"/>
    <w:unhideWhenUsed/>
    <w:qFormat/>
    <w:pPr>
      <w:pBdr/>
      <w:spacing w:after="200" w:line="240" w:lineRule="auto"/>
      <w:ind/>
    </w:pPr>
    <w:rPr>
      <w:i/>
      <w:iCs/>
      <w:color w:val="0e2841" w:themeColor="text2"/>
      <w:sz w:val="18"/>
      <w:szCs w:val="18"/>
    </w:rPr>
  </w:style>
  <w:style w:type="paragraph" w:styleId="994">
    <w:name w:val="footnote text"/>
    <w:basedOn w:val="1012"/>
    <w:link w:val="995"/>
    <w:uiPriority w:val="99"/>
    <w:semiHidden/>
    <w:unhideWhenUsed/>
    <w:pPr>
      <w:pBdr/>
      <w:spacing w:after="0" w:line="240" w:lineRule="auto"/>
      <w:ind/>
    </w:pPr>
    <w:rPr>
      <w:sz w:val="20"/>
      <w:szCs w:val="20"/>
    </w:rPr>
  </w:style>
  <w:style w:type="character" w:styleId="995">
    <w:name w:val="Footnote Text Char"/>
    <w:basedOn w:val="1017"/>
    <w:link w:val="994"/>
    <w:uiPriority w:val="99"/>
    <w:semiHidden/>
    <w:pPr>
      <w:pBdr/>
      <w:spacing/>
      <w:ind/>
    </w:pPr>
    <w:rPr>
      <w:sz w:val="20"/>
      <w:szCs w:val="20"/>
    </w:rPr>
  </w:style>
  <w:style w:type="character" w:styleId="996">
    <w:name w:val="footnote reference"/>
    <w:basedOn w:val="1017"/>
    <w:uiPriority w:val="99"/>
    <w:semiHidden/>
    <w:unhideWhenUsed/>
    <w:pPr>
      <w:pBdr/>
      <w:spacing/>
      <w:ind/>
    </w:pPr>
    <w:rPr>
      <w:vertAlign w:val="superscript"/>
    </w:rPr>
  </w:style>
  <w:style w:type="paragraph" w:styleId="997">
    <w:name w:val="endnote text"/>
    <w:basedOn w:val="1012"/>
    <w:link w:val="998"/>
    <w:uiPriority w:val="99"/>
    <w:semiHidden/>
    <w:unhideWhenUsed/>
    <w:pPr>
      <w:pBdr/>
      <w:spacing w:after="0" w:line="240" w:lineRule="auto"/>
      <w:ind/>
    </w:pPr>
    <w:rPr>
      <w:sz w:val="20"/>
      <w:szCs w:val="20"/>
    </w:rPr>
  </w:style>
  <w:style w:type="character" w:styleId="998">
    <w:name w:val="Endnote Text Char"/>
    <w:basedOn w:val="1017"/>
    <w:link w:val="997"/>
    <w:uiPriority w:val="99"/>
    <w:semiHidden/>
    <w:pPr>
      <w:pBdr/>
      <w:spacing/>
      <w:ind/>
    </w:pPr>
    <w:rPr>
      <w:sz w:val="20"/>
      <w:szCs w:val="20"/>
    </w:rPr>
  </w:style>
  <w:style w:type="character" w:styleId="999">
    <w:name w:val="endnote reference"/>
    <w:basedOn w:val="1017"/>
    <w:uiPriority w:val="99"/>
    <w:semiHidden/>
    <w:unhideWhenUsed/>
    <w:pPr>
      <w:pBdr/>
      <w:spacing/>
      <w:ind/>
    </w:pPr>
    <w:rPr>
      <w:vertAlign w:val="superscript"/>
    </w:rPr>
  </w:style>
  <w:style w:type="paragraph" w:styleId="1000">
    <w:name w:val="toc 1"/>
    <w:basedOn w:val="1012"/>
    <w:next w:val="1012"/>
    <w:uiPriority w:val="39"/>
    <w:unhideWhenUsed/>
    <w:pPr>
      <w:pBdr/>
      <w:spacing w:after="100"/>
      <w:ind/>
    </w:pPr>
  </w:style>
  <w:style w:type="paragraph" w:styleId="1001">
    <w:name w:val="toc 2"/>
    <w:basedOn w:val="1012"/>
    <w:next w:val="1012"/>
    <w:uiPriority w:val="39"/>
    <w:unhideWhenUsed/>
    <w:pPr>
      <w:pBdr/>
      <w:spacing w:after="100"/>
      <w:ind w:left="220"/>
    </w:pPr>
  </w:style>
  <w:style w:type="paragraph" w:styleId="1002">
    <w:name w:val="toc 3"/>
    <w:basedOn w:val="1012"/>
    <w:next w:val="1012"/>
    <w:uiPriority w:val="39"/>
    <w:unhideWhenUsed/>
    <w:pPr>
      <w:pBdr/>
      <w:spacing w:after="100"/>
      <w:ind w:left="440"/>
    </w:pPr>
  </w:style>
  <w:style w:type="paragraph" w:styleId="1003">
    <w:name w:val="toc 4"/>
    <w:basedOn w:val="1012"/>
    <w:next w:val="1012"/>
    <w:uiPriority w:val="39"/>
    <w:unhideWhenUsed/>
    <w:pPr>
      <w:pBdr/>
      <w:spacing w:after="100"/>
      <w:ind w:left="660"/>
    </w:pPr>
  </w:style>
  <w:style w:type="paragraph" w:styleId="1004">
    <w:name w:val="toc 5"/>
    <w:basedOn w:val="1012"/>
    <w:next w:val="1012"/>
    <w:uiPriority w:val="39"/>
    <w:unhideWhenUsed/>
    <w:pPr>
      <w:pBdr/>
      <w:spacing w:after="100"/>
      <w:ind w:left="880"/>
    </w:pPr>
  </w:style>
  <w:style w:type="paragraph" w:styleId="1005">
    <w:name w:val="toc 6"/>
    <w:basedOn w:val="1012"/>
    <w:next w:val="1012"/>
    <w:uiPriority w:val="39"/>
    <w:unhideWhenUsed/>
    <w:pPr>
      <w:pBdr/>
      <w:spacing w:after="100"/>
      <w:ind w:left="1100"/>
    </w:pPr>
  </w:style>
  <w:style w:type="paragraph" w:styleId="1006">
    <w:name w:val="toc 7"/>
    <w:basedOn w:val="1012"/>
    <w:next w:val="1012"/>
    <w:uiPriority w:val="39"/>
    <w:unhideWhenUsed/>
    <w:pPr>
      <w:pBdr/>
      <w:spacing w:after="100"/>
      <w:ind w:left="1320"/>
    </w:pPr>
  </w:style>
  <w:style w:type="paragraph" w:styleId="1007">
    <w:name w:val="toc 8"/>
    <w:basedOn w:val="1012"/>
    <w:next w:val="1012"/>
    <w:uiPriority w:val="39"/>
    <w:unhideWhenUsed/>
    <w:pPr>
      <w:pBdr/>
      <w:spacing w:after="100"/>
      <w:ind w:left="1540"/>
    </w:pPr>
  </w:style>
  <w:style w:type="paragraph" w:styleId="1008">
    <w:name w:val="toc 9"/>
    <w:basedOn w:val="1012"/>
    <w:next w:val="1012"/>
    <w:uiPriority w:val="39"/>
    <w:unhideWhenUsed/>
    <w:pPr>
      <w:pBdr/>
      <w:spacing w:after="100"/>
      <w:ind w:left="1760"/>
    </w:pPr>
  </w:style>
  <w:style w:type="character" w:styleId="1009">
    <w:name w:val="Placeholder Text"/>
    <w:basedOn w:val="1017"/>
    <w:uiPriority w:val="99"/>
    <w:semiHidden/>
    <w:pPr>
      <w:pBdr/>
      <w:spacing/>
      <w:ind/>
    </w:pPr>
    <w:rPr>
      <w:color w:val="666666"/>
    </w:rPr>
  </w:style>
  <w:style w:type="paragraph" w:styleId="1010">
    <w:name w:val="TOC Heading"/>
    <w:uiPriority w:val="39"/>
    <w:unhideWhenUsed/>
    <w:pPr>
      <w:pBdr/>
      <w:spacing/>
      <w:ind/>
    </w:pPr>
  </w:style>
  <w:style w:type="paragraph" w:styleId="1011">
    <w:name w:val="table of figures"/>
    <w:basedOn w:val="1012"/>
    <w:next w:val="1012"/>
    <w:uiPriority w:val="99"/>
    <w:unhideWhenUsed/>
    <w:pPr>
      <w:pBdr/>
      <w:spacing w:after="0" w:afterAutospacing="0"/>
      <w:ind/>
    </w:pPr>
  </w:style>
  <w:style w:type="paragraph" w:styleId="1012" w:default="1">
    <w:name w:val="Normal"/>
    <w:qFormat/>
    <w:pPr>
      <w:pBdr/>
      <w:spacing w:after="0" w:line="240" w:lineRule="auto"/>
      <w:ind/>
    </w:pPr>
    <w:rPr>
      <w:rFonts w:ascii="Times New Roman" w:hAnsi="Times New Roman" w:eastAsia="Times New Roman" w:cs="Times New Roman"/>
      <w:sz w:val="24"/>
      <w:szCs w:val="24"/>
    </w:rPr>
  </w:style>
  <w:style w:type="paragraph" w:styleId="1013">
    <w:name w:val="Heading 1"/>
    <w:basedOn w:val="1012"/>
    <w:next w:val="1012"/>
    <w:link w:val="1020"/>
    <w:qFormat/>
    <w:pPr>
      <w:keepNext w:val="true"/>
      <w:pBdr/>
      <w:spacing w:after="120" w:before="120"/>
      <w:ind/>
      <w:jc w:val="center"/>
      <w:outlineLvl w:val="0"/>
    </w:pPr>
    <w:rPr>
      <w:b/>
      <w:bCs/>
      <w:sz w:val="27"/>
      <w:szCs w:val="27"/>
    </w:rPr>
  </w:style>
  <w:style w:type="paragraph" w:styleId="1014">
    <w:name w:val="Heading 2"/>
    <w:basedOn w:val="1012"/>
    <w:next w:val="1012"/>
    <w:link w:val="1021"/>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5">
    <w:name w:val="Heading 3"/>
    <w:basedOn w:val="1012"/>
    <w:next w:val="1012"/>
    <w:link w:val="1022"/>
    <w:qFormat/>
    <w:pPr>
      <w:keepNext w:val="true"/>
      <w:pBdr/>
      <w:spacing w:before="60"/>
      <w:ind/>
      <w:outlineLvl w:val="2"/>
    </w:pPr>
    <w:rPr>
      <w:sz w:val="28"/>
      <w:szCs w:val="28"/>
    </w:rPr>
  </w:style>
  <w:style w:type="paragraph" w:styleId="1016">
    <w:name w:val="Heading 4"/>
    <w:basedOn w:val="1012"/>
    <w:next w:val="1012"/>
    <w:link w:val="1023"/>
    <w:qFormat/>
    <w:pPr>
      <w:keepNext w:val="true"/>
      <w:pBdr/>
      <w:spacing/>
      <w:ind/>
      <w:jc w:val="center"/>
      <w:outlineLvl w:val="3"/>
    </w:pPr>
    <w:rPr>
      <w:b/>
      <w:bCs/>
    </w:rPr>
  </w:style>
  <w:style w:type="character" w:styleId="1017" w:default="1">
    <w:name w:val="Default Paragraph Font"/>
    <w:uiPriority w:val="1"/>
    <w:semiHidden/>
    <w:unhideWhenUsed/>
    <w:pPr>
      <w:pBdr/>
      <w:spacing/>
      <w:ind/>
    </w:pPr>
  </w:style>
  <w:style w:type="table" w:styleId="1018"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9" w:default="1">
    <w:name w:val="No List"/>
    <w:uiPriority w:val="99"/>
    <w:semiHidden/>
    <w:unhideWhenUsed/>
    <w:pPr>
      <w:pBdr/>
      <w:spacing/>
      <w:ind/>
    </w:pPr>
  </w:style>
  <w:style w:type="character" w:styleId="1020" w:customStyle="1">
    <w:name w:val="Heading 1 Char"/>
    <w:basedOn w:val="1017"/>
    <w:link w:val="1013"/>
    <w:pPr>
      <w:pBdr/>
      <w:spacing/>
      <w:ind/>
    </w:pPr>
    <w:rPr>
      <w:rFonts w:ascii="Times New Roman" w:hAnsi="Times New Roman" w:eastAsia="Times New Roman" w:cs="Times New Roman"/>
      <w:b/>
      <w:bCs/>
      <w:sz w:val="27"/>
      <w:szCs w:val="27"/>
    </w:rPr>
  </w:style>
  <w:style w:type="character" w:styleId="1021" w:customStyle="1">
    <w:name w:val="Heading 2 Char"/>
    <w:basedOn w:val="1017"/>
    <w:link w:val="1014"/>
    <w:uiPriority w:val="9"/>
    <w:pPr>
      <w:pBdr/>
      <w:spacing/>
      <w:ind/>
    </w:pPr>
    <w:rPr>
      <w:rFonts w:asciiTheme="majorHAnsi" w:hAnsiTheme="majorHAnsi" w:eastAsiaTheme="majorEastAsia" w:cstheme="majorBidi"/>
      <w:color w:val="365f91" w:themeColor="accent1" w:themeShade="BF"/>
      <w:sz w:val="26"/>
      <w:szCs w:val="26"/>
    </w:rPr>
  </w:style>
  <w:style w:type="character" w:styleId="1022" w:customStyle="1">
    <w:name w:val="Heading 3 Char"/>
    <w:basedOn w:val="1017"/>
    <w:link w:val="1015"/>
    <w:pPr>
      <w:pBdr/>
      <w:spacing/>
      <w:ind/>
    </w:pPr>
    <w:rPr>
      <w:rFonts w:ascii="Times New Roman" w:hAnsi="Times New Roman" w:eastAsia="Times New Roman" w:cs="Times New Roman"/>
      <w:sz w:val="28"/>
      <w:szCs w:val="28"/>
    </w:rPr>
  </w:style>
  <w:style w:type="character" w:styleId="1023" w:customStyle="1">
    <w:name w:val="Heading 4 Char"/>
    <w:basedOn w:val="1017"/>
    <w:link w:val="1016"/>
    <w:pPr>
      <w:pBdr/>
      <w:spacing/>
      <w:ind/>
    </w:pPr>
    <w:rPr>
      <w:rFonts w:ascii="Times New Roman" w:hAnsi="Times New Roman" w:eastAsia="Times New Roman" w:cs="Times New Roman"/>
      <w:b/>
      <w:bCs/>
      <w:sz w:val="24"/>
      <w:szCs w:val="24"/>
    </w:rPr>
  </w:style>
  <w:style w:type="character" w:styleId="1024">
    <w:name w:val="Hyperlink"/>
    <w:uiPriority w:val="99"/>
    <w:pPr>
      <w:pBdr/>
      <w:spacing/>
      <w:ind/>
    </w:pPr>
    <w:rPr>
      <w:color w:val="000000"/>
      <w:u w:val="single"/>
    </w:rPr>
  </w:style>
  <w:style w:type="character" w:styleId="1025">
    <w:name w:val="Strong"/>
    <w:uiPriority w:val="22"/>
    <w:qFormat/>
    <w:pPr>
      <w:pBdr/>
      <w:spacing/>
      <w:ind/>
    </w:pPr>
    <w:rPr>
      <w:b/>
      <w:bCs/>
    </w:rPr>
  </w:style>
  <w:style w:type="paragraph" w:styleId="1026">
    <w:name w:val="Balloon Text"/>
    <w:basedOn w:val="1012"/>
    <w:link w:val="1027"/>
    <w:uiPriority w:val="99"/>
    <w:semiHidden/>
    <w:unhideWhenUsed/>
    <w:pPr>
      <w:pBdr/>
      <w:spacing/>
      <w:ind/>
    </w:pPr>
    <w:rPr>
      <w:rFonts w:ascii="Tahoma" w:hAnsi="Tahoma" w:cs="Tahoma"/>
      <w:sz w:val="16"/>
      <w:szCs w:val="16"/>
    </w:rPr>
  </w:style>
  <w:style w:type="character" w:styleId="1027" w:customStyle="1">
    <w:name w:val="Balloon Text Char"/>
    <w:basedOn w:val="1017"/>
    <w:link w:val="1026"/>
    <w:uiPriority w:val="99"/>
    <w:semiHidden/>
    <w:pPr>
      <w:pBdr/>
      <w:spacing/>
      <w:ind/>
    </w:pPr>
    <w:rPr>
      <w:rFonts w:ascii="Tahoma" w:hAnsi="Tahoma" w:eastAsia="Times New Roman" w:cs="Tahoma"/>
      <w:sz w:val="16"/>
      <w:szCs w:val="16"/>
    </w:rPr>
  </w:style>
  <w:style w:type="paragraph" w:styleId="1028">
    <w:name w:val="Header"/>
    <w:basedOn w:val="1012"/>
    <w:link w:val="1029"/>
    <w:unhideWhenUsed/>
    <w:pPr>
      <w:pBdr/>
      <w:tabs>
        <w:tab w:val="center" w:leader="none" w:pos="4680"/>
        <w:tab w:val="right" w:leader="none" w:pos="9360"/>
      </w:tabs>
      <w:spacing/>
      <w:ind/>
    </w:pPr>
  </w:style>
  <w:style w:type="character" w:styleId="1029" w:customStyle="1">
    <w:name w:val="Header Char"/>
    <w:basedOn w:val="1017"/>
    <w:link w:val="1028"/>
    <w:pPr>
      <w:pBdr/>
      <w:spacing/>
      <w:ind/>
    </w:pPr>
    <w:rPr>
      <w:rFonts w:ascii="Times New Roman" w:hAnsi="Times New Roman" w:eastAsia="Times New Roman" w:cs="Times New Roman"/>
      <w:sz w:val="24"/>
      <w:szCs w:val="24"/>
    </w:rPr>
  </w:style>
  <w:style w:type="paragraph" w:styleId="1030">
    <w:name w:val="Footer"/>
    <w:basedOn w:val="1012"/>
    <w:link w:val="1031"/>
    <w:uiPriority w:val="99"/>
    <w:unhideWhenUsed/>
    <w:pPr>
      <w:pBdr/>
      <w:tabs>
        <w:tab w:val="center" w:leader="none" w:pos="4680"/>
        <w:tab w:val="right" w:leader="none" w:pos="9360"/>
      </w:tabs>
      <w:spacing/>
      <w:ind/>
    </w:pPr>
  </w:style>
  <w:style w:type="character" w:styleId="1031" w:customStyle="1">
    <w:name w:val="Footer Char"/>
    <w:basedOn w:val="1017"/>
    <w:link w:val="1030"/>
    <w:uiPriority w:val="99"/>
    <w:pPr>
      <w:pBdr/>
      <w:spacing/>
      <w:ind/>
    </w:pPr>
    <w:rPr>
      <w:rFonts w:ascii="Times New Roman" w:hAnsi="Times New Roman" w:eastAsia="Times New Roman" w:cs="Times New Roman"/>
      <w:sz w:val="24"/>
      <w:szCs w:val="24"/>
    </w:rPr>
  </w:style>
  <w:style w:type="character" w:styleId="1032" w:customStyle="1">
    <w:name w:val="normal-h1"/>
    <w:pPr>
      <w:pBdr/>
      <w:spacing/>
      <w:ind/>
    </w:pPr>
    <w:rPr>
      <w:rFonts w:hint="default" w:ascii=".VnTime" w:hAnsi=".VnTime"/>
      <w:color w:val="0000ff"/>
      <w:sz w:val="24"/>
      <w:szCs w:val="24"/>
    </w:rPr>
  </w:style>
  <w:style w:type="paragraph" w:styleId="1033" w:customStyle="1">
    <w:name w:val="normal-p"/>
    <w:basedOn w:val="1012"/>
    <w:pPr>
      <w:pBdr/>
      <w:spacing/>
      <w:ind/>
      <w:jc w:val="both"/>
    </w:pPr>
    <w:rPr>
      <w:sz w:val="20"/>
      <w:szCs w:val="20"/>
    </w:rPr>
  </w:style>
  <w:style w:type="paragraph" w:styleId="1034">
    <w:name w:val="List Paragraph"/>
    <w:basedOn w:val="1012"/>
    <w:link w:val="1121"/>
    <w:uiPriority w:val="34"/>
    <w:qFormat/>
    <w:pPr>
      <w:pBdr/>
      <w:spacing/>
      <w:ind w:left="720"/>
    </w:pPr>
  </w:style>
  <w:style w:type="paragraph" w:styleId="1035">
    <w:name w:val="Normal (Web)"/>
    <w:basedOn w:val="1012"/>
    <w:uiPriority w:val="99"/>
    <w:pPr>
      <w:pBdr/>
      <w:spacing w:after="100" w:afterAutospacing="1" w:before="100" w:beforeAutospacing="1"/>
      <w:ind/>
    </w:pPr>
  </w:style>
  <w:style w:type="paragraph" w:styleId="1036">
    <w:name w:val="Body Text"/>
    <w:basedOn w:val="1012"/>
    <w:link w:val="1037"/>
    <w:pPr>
      <w:pBdr/>
      <w:spacing w:after="120"/>
      <w:ind/>
      <w:jc w:val="both"/>
    </w:pPr>
  </w:style>
  <w:style w:type="character" w:styleId="1037" w:customStyle="1">
    <w:name w:val="Body Text Char"/>
    <w:basedOn w:val="1017"/>
    <w:link w:val="1036"/>
    <w:pPr>
      <w:pBdr/>
      <w:spacing/>
      <w:ind/>
    </w:pPr>
    <w:rPr>
      <w:rFonts w:ascii="Times New Roman" w:hAnsi="Times New Roman" w:eastAsia="Times New Roman" w:cs="Times New Roman"/>
      <w:sz w:val="24"/>
      <w:szCs w:val="24"/>
    </w:rPr>
  </w:style>
  <w:style w:type="table" w:styleId="1038">
    <w:name w:val="Table Grid"/>
    <w:basedOn w:val="1018"/>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9"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0">
    <w:name w:val="annotation reference"/>
    <w:basedOn w:val="1017"/>
    <w:uiPriority w:val="99"/>
    <w:semiHidden/>
    <w:unhideWhenUsed/>
    <w:pPr>
      <w:pBdr/>
      <w:spacing/>
      <w:ind/>
    </w:pPr>
    <w:rPr>
      <w:sz w:val="16"/>
      <w:szCs w:val="16"/>
    </w:rPr>
  </w:style>
  <w:style w:type="paragraph" w:styleId="1041">
    <w:name w:val="annotation text"/>
    <w:basedOn w:val="1012"/>
    <w:link w:val="1042"/>
    <w:uiPriority w:val="99"/>
    <w:unhideWhenUsed/>
    <w:pPr>
      <w:pBdr/>
      <w:spacing/>
      <w:ind/>
    </w:pPr>
    <w:rPr>
      <w:sz w:val="20"/>
      <w:szCs w:val="20"/>
    </w:rPr>
  </w:style>
  <w:style w:type="character" w:styleId="1042" w:customStyle="1">
    <w:name w:val="Comment Text Char"/>
    <w:basedOn w:val="1017"/>
    <w:link w:val="1041"/>
    <w:uiPriority w:val="99"/>
    <w:pPr>
      <w:pBdr/>
      <w:spacing/>
      <w:ind/>
    </w:pPr>
    <w:rPr>
      <w:rFonts w:ascii="Times New Roman" w:hAnsi="Times New Roman" w:eastAsia="Times New Roman" w:cs="Times New Roman"/>
      <w:sz w:val="20"/>
      <w:szCs w:val="20"/>
    </w:rPr>
  </w:style>
  <w:style w:type="paragraph" w:styleId="1043">
    <w:name w:val="annotation subject"/>
    <w:basedOn w:val="1041"/>
    <w:next w:val="1041"/>
    <w:link w:val="1044"/>
    <w:uiPriority w:val="99"/>
    <w:semiHidden/>
    <w:unhideWhenUsed/>
    <w:pPr>
      <w:pBdr/>
      <w:spacing/>
      <w:ind/>
    </w:pPr>
    <w:rPr>
      <w:b/>
      <w:bCs/>
    </w:rPr>
  </w:style>
  <w:style w:type="character" w:styleId="1044" w:customStyle="1">
    <w:name w:val="Comment Subject Char"/>
    <w:basedOn w:val="1042"/>
    <w:link w:val="1043"/>
    <w:uiPriority w:val="99"/>
    <w:semiHidden/>
    <w:pPr>
      <w:pBdr/>
      <w:spacing/>
      <w:ind/>
    </w:pPr>
    <w:rPr>
      <w:rFonts w:ascii="Times New Roman" w:hAnsi="Times New Roman" w:eastAsia="Times New Roman" w:cs="Times New Roman"/>
      <w:b/>
      <w:bCs/>
      <w:sz w:val="20"/>
      <w:szCs w:val="20"/>
    </w:rPr>
  </w:style>
  <w:style w:type="paragraph" w:styleId="1045" w:customStyle="1">
    <w:name w:val="font5"/>
    <w:basedOn w:val="1012"/>
    <w:pPr>
      <w:pBdr/>
      <w:spacing w:after="100" w:afterAutospacing="1" w:before="100" w:beforeAutospacing="1"/>
      <w:ind/>
    </w:pPr>
    <w:rPr>
      <w:rFonts w:ascii="Tahoma" w:hAnsi="Tahoma" w:cs="Tahoma"/>
      <w:color w:val="000000"/>
      <w:sz w:val="18"/>
      <w:szCs w:val="18"/>
    </w:rPr>
  </w:style>
  <w:style w:type="paragraph" w:styleId="1046" w:customStyle="1">
    <w:name w:val="font6"/>
    <w:basedOn w:val="1012"/>
    <w:pPr>
      <w:pBdr/>
      <w:spacing w:after="100" w:afterAutospacing="1" w:before="100" w:beforeAutospacing="1"/>
      <w:ind/>
    </w:pPr>
    <w:rPr>
      <w:rFonts w:ascii="Tahoma" w:hAnsi="Tahoma" w:cs="Tahoma"/>
      <w:b/>
      <w:bCs/>
      <w:color w:val="000000"/>
      <w:sz w:val="18"/>
      <w:szCs w:val="18"/>
    </w:rPr>
  </w:style>
  <w:style w:type="paragraph" w:styleId="1047" w:customStyle="1">
    <w:name w:val="xl23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8" w:customStyle="1">
    <w:name w:val="xl234"/>
    <w:basedOn w:val="1012"/>
    <w:pPr>
      <w:pBdr/>
      <w:spacing w:after="100" w:afterAutospacing="1" w:before="100" w:beforeAutospacing="1"/>
      <w:ind/>
      <w:jc w:val="center"/>
    </w:pPr>
  </w:style>
  <w:style w:type="paragraph" w:styleId="1049" w:customStyle="1">
    <w:name w:val="xl235"/>
    <w:basedOn w:val="1012"/>
    <w:pPr>
      <w:pBdr/>
      <w:spacing w:after="100" w:afterAutospacing="1" w:before="100" w:beforeAutospacing="1"/>
      <w:ind/>
      <w:jc w:val="center"/>
    </w:pPr>
    <w:rPr>
      <w:b/>
      <w:bCs/>
    </w:rPr>
  </w:style>
  <w:style w:type="paragraph" w:styleId="1050" w:customStyle="1">
    <w:name w:val="xl236"/>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1" w:customStyle="1">
    <w:name w:val="xl23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38"/>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3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4" w:customStyle="1">
    <w:name w:val="xl240"/>
    <w:basedOn w:val="1012"/>
    <w:pPr>
      <w:pBdr/>
      <w:spacing w:after="100" w:afterAutospacing="1" w:before="100" w:beforeAutospacing="1"/>
      <w:ind/>
    </w:pPr>
  </w:style>
  <w:style w:type="paragraph" w:styleId="1055" w:customStyle="1">
    <w:name w:val="xl241"/>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6" w:customStyle="1">
    <w:name w:val="xl242"/>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3"/>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44"/>
    <w:basedOn w:val="1012"/>
    <w:pPr>
      <w:pBdr/>
      <w:spacing w:after="100" w:afterAutospacing="1" w:before="100" w:beforeAutospacing="1"/>
      <w:ind/>
    </w:pPr>
    <w:rPr>
      <w:b/>
      <w:bCs/>
    </w:rPr>
  </w:style>
  <w:style w:type="paragraph" w:styleId="1059" w:customStyle="1">
    <w:name w:val="xl245"/>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47"/>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2" w:customStyle="1">
    <w:name w:val="xl24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3" w:customStyle="1">
    <w:name w:val="xl24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4" w:customStyle="1">
    <w:name w:val="xl25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5" w:customStyle="1">
    <w:name w:val="xl25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3"/>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4"/>
    <w:basedOn w:val="1012"/>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5"/>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0" w:customStyle="1">
    <w:name w:val="xl256"/>
    <w:basedOn w:val="1012"/>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2" w:customStyle="1">
    <w:name w:val="xl258"/>
    <w:basedOn w:val="1012"/>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4" w:customStyle="1">
    <w:name w:val="xl260"/>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1"/>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2"/>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63"/>
    <w:basedOn w:val="1012"/>
    <w:pPr>
      <w:pBdr/>
      <w:shd w:val="clear" w:color="000000" w:fill="ffffff"/>
      <w:spacing w:after="100" w:afterAutospacing="1" w:before="100" w:beforeAutospacing="1"/>
      <w:ind/>
    </w:pPr>
  </w:style>
  <w:style w:type="paragraph" w:styleId="1078" w:customStyle="1">
    <w:name w:val="xl264"/>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5"/>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0" w:customStyle="1">
    <w:name w:val="xl26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1" w:customStyle="1">
    <w:name w:val="xl267"/>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2" w:customStyle="1">
    <w:name w:val="xl268"/>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3" w:customStyle="1">
    <w:name w:val="xl269"/>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7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1"/>
    <w:basedOn w:val="1012"/>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6" w:customStyle="1">
    <w:name w:val="xl27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73"/>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8" w:customStyle="1">
    <w:name w:val="xl274"/>
    <w:basedOn w:val="1012"/>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75"/>
    <w:basedOn w:val="1012"/>
    <w:pPr>
      <w:pBdr/>
      <w:spacing w:after="100" w:afterAutospacing="1" w:before="100" w:beforeAutospacing="1"/>
      <w:ind/>
    </w:pPr>
  </w:style>
  <w:style w:type="paragraph" w:styleId="1090" w:customStyle="1">
    <w:name w:val="xl27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1" w:customStyle="1">
    <w:name w:val="xl277"/>
    <w:basedOn w:val="1012"/>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2" w:customStyle="1">
    <w:name w:val="xl278"/>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79"/>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0"/>
    <w:basedOn w:val="101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5" w:customStyle="1">
    <w:name w:val="xl281"/>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82"/>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3"/>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4"/>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5"/>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6"/>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7"/>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8"/>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89"/>
    <w:basedOn w:val="1012"/>
    <w:pPr>
      <w:pBdr>
        <w:left w:val="single" w:color="000000" w:sz="4" w:space="0"/>
        <w:right w:val="single" w:color="000000" w:sz="4" w:space="0"/>
      </w:pBdr>
      <w:spacing w:after="100" w:afterAutospacing="1" w:before="100" w:beforeAutospacing="1"/>
      <w:ind/>
    </w:pPr>
    <w:rPr>
      <w:b/>
      <w:bCs/>
    </w:rPr>
  </w:style>
  <w:style w:type="paragraph" w:styleId="1104" w:customStyle="1">
    <w:name w:val="xl290"/>
    <w:basedOn w:val="1012"/>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5" w:customStyle="1">
    <w:name w:val="xl291"/>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6" w:customStyle="1">
    <w:name w:val="xl292"/>
    <w:basedOn w:val="1012"/>
    <w:pPr>
      <w:pBdr>
        <w:top w:val="single" w:color="000000" w:sz="4" w:space="0"/>
        <w:left w:val="single" w:color="000000" w:sz="4" w:space="0"/>
        <w:right w:val="single" w:color="000000" w:sz="4" w:space="0"/>
      </w:pBdr>
      <w:spacing w:after="100" w:afterAutospacing="1" w:before="100" w:beforeAutospacing="1"/>
      <w:ind/>
    </w:pPr>
  </w:style>
  <w:style w:type="paragraph" w:styleId="1107" w:customStyle="1">
    <w:name w:val="xl293"/>
    <w:basedOn w:val="1012"/>
    <w:pPr>
      <w:pBdr>
        <w:left w:val="single" w:color="000000" w:sz="4" w:space="0"/>
        <w:bottom w:val="single" w:color="000000" w:sz="4" w:space="0"/>
        <w:right w:val="single" w:color="000000" w:sz="4" w:space="0"/>
      </w:pBdr>
      <w:spacing w:after="100" w:afterAutospacing="1" w:before="100" w:beforeAutospacing="1"/>
      <w:ind/>
    </w:pPr>
  </w:style>
  <w:style w:type="paragraph" w:styleId="1108" w:customStyle="1">
    <w:name w:val="xl294"/>
    <w:basedOn w:val="101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name w:val="Title"/>
    <w:basedOn w:val="1012"/>
    <w:link w:val="1110"/>
    <w:qFormat/>
    <w:pPr>
      <w:pBdr/>
      <w:spacing/>
      <w:ind/>
      <w:jc w:val="center"/>
    </w:pPr>
    <w:rPr>
      <w:b/>
      <w:bCs/>
      <w:sz w:val="32"/>
      <w:szCs w:val="26"/>
    </w:rPr>
  </w:style>
  <w:style w:type="character" w:styleId="1110" w:customStyle="1">
    <w:name w:val="Title Char"/>
    <w:basedOn w:val="1017"/>
    <w:link w:val="1109"/>
    <w:pPr>
      <w:pBdr/>
      <w:spacing/>
      <w:ind/>
    </w:pPr>
    <w:rPr>
      <w:rFonts w:ascii="Times New Roman" w:hAnsi="Times New Roman" w:eastAsia="Times New Roman" w:cs="Times New Roman"/>
      <w:b/>
      <w:bCs/>
      <w:sz w:val="32"/>
      <w:szCs w:val="26"/>
    </w:rPr>
  </w:style>
  <w:style w:type="character" w:styleId="1111" w:customStyle="1">
    <w:name w:val="Unresolved Mention1"/>
    <w:basedOn w:val="1017"/>
    <w:uiPriority w:val="99"/>
    <w:semiHidden/>
    <w:unhideWhenUsed/>
    <w:pPr>
      <w:pBdr/>
      <w:spacing/>
      <w:ind/>
    </w:pPr>
    <w:rPr>
      <w:color w:val="605e5c"/>
      <w:shd w:val="clear" w:color="auto" w:fill="e1dfdd"/>
    </w:rPr>
  </w:style>
  <w:style w:type="character" w:styleId="1112" w:customStyle="1">
    <w:name w:val="Body text (3)_"/>
    <w:link w:val="1113"/>
    <w:pPr>
      <w:pBdr/>
      <w:spacing/>
      <w:ind/>
    </w:pPr>
    <w:rPr>
      <w:rFonts w:ascii="Times New Roman" w:hAnsi="Times New Roman" w:cs="Times New Roman"/>
      <w:i/>
      <w:iCs/>
      <w:spacing w:val="4"/>
      <w:shd w:val="clear" w:color="auto" w:fill="ffffff"/>
    </w:rPr>
  </w:style>
  <w:style w:type="paragraph" w:styleId="1113" w:customStyle="1">
    <w:name w:val="Body text (3)1"/>
    <w:basedOn w:val="1012"/>
    <w:link w:val="1112"/>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4" w:customStyle="1">
    <w:name w:val="t-j"/>
    <w:basedOn w:val="1012"/>
    <w:pPr>
      <w:pBdr/>
      <w:spacing w:after="100" w:afterAutospacing="1" w:before="100" w:beforeAutospacing="1"/>
      <w:ind/>
    </w:pPr>
  </w:style>
  <w:style w:type="character" w:styleId="1115" w:customStyle="1">
    <w:name w:val="Unresolved Mention2"/>
    <w:basedOn w:val="1017"/>
    <w:uiPriority w:val="99"/>
    <w:semiHidden/>
    <w:unhideWhenUsed/>
    <w:pPr>
      <w:pBdr/>
      <w:spacing/>
      <w:ind/>
    </w:pPr>
    <w:rPr>
      <w:color w:val="605e5c"/>
      <w:shd w:val="clear" w:color="auto" w:fill="e1dfdd"/>
    </w:rPr>
  </w:style>
  <w:style w:type="character" w:styleId="1116">
    <w:name w:val="FollowedHyperlink"/>
    <w:basedOn w:val="1017"/>
    <w:uiPriority w:val="99"/>
    <w:semiHidden/>
    <w:unhideWhenUsed/>
    <w:pPr>
      <w:pBdr/>
      <w:spacing/>
      <w:ind/>
    </w:pPr>
    <w:rPr>
      <w:color w:val="800080" w:themeColor="followedHyperlink"/>
      <w:u w:val="single"/>
    </w:rPr>
  </w:style>
  <w:style w:type="character" w:styleId="1117" w:customStyle="1">
    <w:name w:val="text"/>
    <w:basedOn w:val="1017"/>
    <w:pPr>
      <w:pBdr/>
      <w:spacing/>
      <w:ind/>
    </w:pPr>
  </w:style>
  <w:style w:type="character" w:styleId="1118" w:customStyle="1">
    <w:name w:val="card-send-time__sendtime"/>
    <w:basedOn w:val="1017"/>
    <w:pPr>
      <w:pBdr/>
      <w:spacing/>
      <w:ind/>
    </w:pPr>
  </w:style>
  <w:style w:type="character" w:styleId="1119" w:customStyle="1">
    <w:name w:val="Đề cập Chưa giải quyết1"/>
    <w:basedOn w:val="1017"/>
    <w:uiPriority w:val="99"/>
    <w:semiHidden/>
    <w:unhideWhenUsed/>
    <w:pPr>
      <w:pBdr/>
      <w:spacing/>
      <w:ind/>
    </w:pPr>
    <w:rPr>
      <w:color w:val="605e5c"/>
      <w:shd w:val="clear" w:color="auto" w:fill="e1dfdd"/>
    </w:rPr>
  </w:style>
  <w:style w:type="paragraph" w:styleId="1120" w:customStyle="1">
    <w:name w:val="nqtitle"/>
    <w:basedOn w:val="1012"/>
    <w:pPr>
      <w:pBdr/>
      <w:spacing w:after="100" w:afterAutospacing="1" w:before="100" w:beforeAutospacing="1"/>
      <w:ind/>
    </w:pPr>
    <w:rPr>
      <w:lang w:val="vi-VN" w:eastAsia="vi-VN"/>
    </w:rPr>
  </w:style>
  <w:style w:type="character" w:styleId="1121" w:customStyle="1">
    <w:name w:val="List Paragraph Char"/>
    <w:link w:val="1034"/>
    <w:uiPriority w:val="34"/>
    <w:qFormat/>
    <w:pPr>
      <w:pBdr/>
      <w:spacing/>
      <w:ind/>
    </w:pPr>
    <w:rPr>
      <w:rFonts w:ascii="Times New Roman" w:hAnsi="Times New Roman" w:eastAsia="Times New Roman" w:cs="Times New Roman"/>
      <w:sz w:val="24"/>
      <w:szCs w:val="24"/>
    </w:rPr>
  </w:style>
  <w:style w:type="character" w:styleId="1122" w:customStyle="1">
    <w:name w:val="Đề cập Chưa giải quyết2"/>
    <w:basedOn w:val="1017"/>
    <w:uiPriority w:val="99"/>
    <w:semiHidden/>
    <w:unhideWhenUsed/>
    <w:pPr>
      <w:pBdr/>
      <w:spacing/>
      <w:ind/>
    </w:pPr>
    <w:rPr>
      <w:color w:val="605e5c"/>
      <w:shd w:val="clear" w:color="auto" w:fill="e1dfdd"/>
    </w:rPr>
  </w:style>
  <w:style w:type="character" w:styleId="1123" w:customStyle="1">
    <w:name w:val="Unresolved Mention3"/>
    <w:basedOn w:val="1017"/>
    <w:uiPriority w:val="99"/>
    <w:semiHidden/>
    <w:unhideWhenUsed/>
    <w:pPr>
      <w:pBdr/>
      <w:spacing/>
      <w:ind/>
    </w:pPr>
    <w:rPr>
      <w:color w:val="605e5c"/>
      <w:shd w:val="clear" w:color="auto" w:fill="e1dfdd"/>
    </w:rPr>
  </w:style>
  <w:style w:type="character" w:styleId="1124" w:customStyle="1">
    <w:name w:val="copy"/>
    <w:basedOn w:val="1017"/>
    <w:pPr>
      <w:pBdr/>
      <w:spacing/>
      <w:ind/>
    </w:pPr>
  </w:style>
  <w:style w:type="paragraph" w:styleId="1125" w:customStyle="1">
    <w:name w:val="align-justify"/>
    <w:basedOn w:val="1012"/>
    <w:pPr>
      <w:pBdr/>
      <w:spacing w:after="100" w:afterAutospacing="1" w:before="100" w:beforeAutospacing="1"/>
      <w:ind/>
    </w:pPr>
  </w:style>
  <w:style w:type="character" w:styleId="1126" w:customStyle="1">
    <w:name w:val="btn"/>
    <w:basedOn w:val="1017"/>
    <w:pPr>
      <w:pBdr/>
      <w:spacing/>
      <w:ind/>
    </w:pPr>
  </w:style>
  <w:style w:type="character" w:styleId="1127" w:customStyle="1">
    <w:name w:val="hide_mobile"/>
    <w:basedOn w:val="1017"/>
    <w:pPr>
      <w:pBdr/>
      <w:spacing/>
      <w:ind/>
    </w:pPr>
  </w:style>
  <w:style w:type="character" w:styleId="1128">
    <w:name w:val="Emphasis"/>
    <w:basedOn w:val="1017"/>
    <w:uiPriority w:val="20"/>
    <w:qFormat/>
    <w:pPr>
      <w:pBdr/>
      <w:spacing/>
      <w:ind/>
    </w:pPr>
    <w:rPr>
      <w:i/>
      <w:iCs/>
    </w:rPr>
  </w:style>
  <w:style w:type="character" w:styleId="1129" w:customStyle="1">
    <w:name w:val="t1"/>
    <w:basedOn w:val="1017"/>
    <w:pPr>
      <w:pBdr/>
      <w:spacing/>
      <w:ind/>
    </w:pPr>
  </w:style>
  <w:style w:type="character" w:styleId="1130" w:customStyle="1">
    <w:name w:val="Unresolved Mention4"/>
    <w:basedOn w:val="1017"/>
    <w:uiPriority w:val="99"/>
    <w:semiHidden/>
    <w:unhideWhenUsed/>
    <w:pPr>
      <w:pBdr/>
      <w:spacing/>
      <w:ind/>
    </w:pPr>
    <w:rPr>
      <w:color w:val="605e5c"/>
      <w:shd w:val="clear" w:color="auto" w:fill="e1dfdd"/>
    </w:rPr>
  </w:style>
  <w:style w:type="character" w:styleId="1131">
    <w:name w:val="Unresolved Mention"/>
    <w:basedOn w:val="1017"/>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jp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Đỗ Thanh Thảo</cp:lastModifiedBy>
  <cp:revision>511</cp:revision>
  <dcterms:created xsi:type="dcterms:W3CDTF">2025-09-15T02:01:00Z</dcterms:created>
  <dcterms:modified xsi:type="dcterms:W3CDTF">2026-06-26T05:40:50Z</dcterms:modified>
</cp:coreProperties>
</file>