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5921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5921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275/2026/0881/VFI-CT.57.A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ÔNG NGUYỄN QUANG KHẢI</w:t>
                            </w:r>
                            <w:r>
                              <w:rPr>
                                <w:rFonts w:ascii="Times New Roman Bold" w:hAnsi="Times New Roman Bold"/>
                                <w:b/>
                                <w:color w:val="000000" w:themeColor="text1"/>
                                <w:lang w:val="pt-BR"/>
                              </w:rPr>
                            </w:r>
                            <w:r>
                              <w:rPr>
                                <w:rFonts w:ascii="Times New Roman Bold" w:hAnsi="Times New Roman Bold"/>
                                <w:b/>
                                <w:color w:val="000000" w:themeColor="text1"/>
                              </w:rPr>
                            </w:r>
                          </w:p>
                          <w:p>
                            <w:pPr>
                              <w:pBdr/>
                              <w:spacing w:after="120" w:before="120" w:line="360" w:lineRule="auto"/>
                              <w:ind/>
                              <w:jc w:val="both"/>
                              <w:rPr>
                                <w:b/>
                                <w:bCs/>
                                <w:iCs/>
                              </w:rPr>
                            </w:pPr>
                            <w:r>
                              <w:rPr>
                                <w:b/>
                                <w:color w:val="000000" w:themeColor="text1"/>
                              </w:rPr>
                              <w:t xml:space="preserve">Tài sản thẩm </w:t>
                            </w:r>
                            <w:r>
                              <w:rPr>
                                <w:b/>
                                <w:color w:val="000000" w:themeColor="text1"/>
                              </w:rPr>
                              <w:t xml:space="preserve">định: </w:t>
                            </w:r>
                            <w:r>
                              <w:rPr>
                                <w:rFonts w:ascii="Times New Roman" w:hAnsi="Times New Roman" w:eastAsia="Times New Roman" w:cs="Times New Roman"/>
                                <w:color w:val="000000" w:themeColor="text1"/>
                                <w:sz w:val="24"/>
                              </w:rPr>
                              <w:t xml:space="preserve">Quyền sử dụng đất tại thửa đất số: 126, tờ bản đồ: 05 (306594-4-(b))  có địa chỉ:</w:t>
                            </w:r>
                            <w:r>
                              <w:rPr>
                                <w:color w:val="000000" w:themeColor="text1"/>
                              </w:rPr>
                              <w:t xml:space="preserve"> Khu tái định cư Đồng Hòa 1,</w:t>
                            </w:r>
                            <w:r>
                              <w:rPr>
                                <w:color w:val="000000"/>
                              </w:rPr>
                              <w:t xml:space="preserve"> Phường Đồng Hòa, Quận Kiến An, Hải Phòng</w:t>
                            </w:r>
                            <w:r>
                              <w:rPr>
                                <w:rFonts w:ascii="Times New Roman" w:hAnsi="Times New Roman" w:eastAsia="Times New Roman" w:cs="Times New Roman"/>
                                <w:color w:val="000000"/>
                                <w:sz w:val="24"/>
                              </w:rPr>
                              <w:t xml:space="preserve"> </w:t>
                            </w:r>
                            <w:r>
                              <w:rPr>
                                <w:rFonts w:ascii="Times New Roman" w:hAnsi="Times New Roman" w:eastAsia="Times New Roman" w:cs="Times New Roman"/>
                                <w:i/>
                                <w:color w:val="000000"/>
                                <w:sz w:val="24"/>
                              </w:rPr>
                              <w:t xml:space="preserve">(Nay là Phường Kiến An,, Thành Phố Hải Phòng)</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đất số: CB 225093, số vào sổ cấp GCN: CH000111/ĐH do UBND quận Kiến An, thành phố Hải Phòng cấp ngày 05/11/2015; Chủ sử dụng đất ông Nguyễn Quang Khải và </w:t>
                            </w:r>
                            <w:r>
                              <w:rPr>
                                <w:rFonts w:ascii="Times New Roman" w:hAnsi="Times New Roman" w:eastAsia="Times New Roman" w:cs="Times New Roman"/>
                                <w:color w:val="000000"/>
                                <w:sz w:val="24"/>
                              </w:rPr>
                              <w:t xml:space="preserve">Bà Đỗ Thị Thơ.</w:t>
                            </w:r>
                            <w:r>
                              <w:rPr>
                                <w:b/>
                                <w:bCs/>
                                <w:iCs/>
                              </w:rPr>
                            </w:r>
                            <w:r>
                              <w:rPr>
                                <w:b/>
                                <w:bCs/>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82.8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275/2026/0881/VFI-CT.57.A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ÔNG NGUYỄN QUANG KHẢI</w:t>
                      </w:r>
                      <w:r>
                        <w:rPr>
                          <w:rFonts w:ascii="Times New Roman Bold" w:hAnsi="Times New Roman Bold"/>
                          <w:b/>
                          <w:color w:val="000000" w:themeColor="text1"/>
                          <w:lang w:val="pt-BR"/>
                        </w:rPr>
                      </w:r>
                      <w:r>
                        <w:rPr>
                          <w:rFonts w:ascii="Times New Roman Bold" w:hAnsi="Times New Roman Bold"/>
                          <w:b/>
                          <w:color w:val="000000" w:themeColor="text1"/>
                        </w:rPr>
                      </w:r>
                    </w:p>
                    <w:p>
                      <w:pPr>
                        <w:pBdr/>
                        <w:spacing w:after="120" w:before="120" w:line="360" w:lineRule="auto"/>
                        <w:ind/>
                        <w:jc w:val="both"/>
                        <w:rPr>
                          <w:b/>
                          <w:bCs/>
                          <w:iCs/>
                        </w:rPr>
                      </w:pPr>
                      <w:r>
                        <w:rPr>
                          <w:b/>
                          <w:color w:val="000000" w:themeColor="text1"/>
                        </w:rPr>
                        <w:t xml:space="preserve">Tài sản thẩm </w:t>
                      </w:r>
                      <w:r>
                        <w:rPr>
                          <w:b/>
                          <w:color w:val="000000" w:themeColor="text1"/>
                        </w:rPr>
                        <w:t xml:space="preserve">định: </w:t>
                      </w:r>
                      <w:r>
                        <w:rPr>
                          <w:rFonts w:ascii="Times New Roman" w:hAnsi="Times New Roman" w:eastAsia="Times New Roman" w:cs="Times New Roman"/>
                          <w:color w:val="000000" w:themeColor="text1"/>
                          <w:sz w:val="24"/>
                        </w:rPr>
                        <w:t xml:space="preserve">Quyền sử dụng đất tại thửa đất số: 126, tờ bản đồ: 05 (306594-4-(b))  có địa chỉ:</w:t>
                      </w:r>
                      <w:r>
                        <w:rPr>
                          <w:color w:val="000000" w:themeColor="text1"/>
                        </w:rPr>
                        <w:t xml:space="preserve"> Khu tái định cư Đồng Hòa 1,</w:t>
                      </w:r>
                      <w:r>
                        <w:rPr>
                          <w:color w:val="000000"/>
                        </w:rPr>
                        <w:t xml:space="preserve"> Phường Đồng Hòa, Quận Kiến An, Hải Phòng</w:t>
                      </w:r>
                      <w:r>
                        <w:rPr>
                          <w:rFonts w:ascii="Times New Roman" w:hAnsi="Times New Roman" w:eastAsia="Times New Roman" w:cs="Times New Roman"/>
                          <w:color w:val="000000"/>
                          <w:sz w:val="24"/>
                        </w:rPr>
                        <w:t xml:space="preserve"> </w:t>
                      </w:r>
                      <w:r>
                        <w:rPr>
                          <w:rFonts w:ascii="Times New Roman" w:hAnsi="Times New Roman" w:eastAsia="Times New Roman" w:cs="Times New Roman"/>
                          <w:i/>
                          <w:color w:val="000000"/>
                          <w:sz w:val="24"/>
                        </w:rPr>
                        <w:t xml:space="preserve">(Nay là Phường Kiến An,, Thành Phố Hải Phòng)</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đất số: CB 225093, số vào sổ cấp GCN: CH000111/ĐH do UBND quận Kiến An, thành phố Hải Phòng cấp ngày 05/11/2015; Chủ sử dụng đất ông Nguyễn Quang Khải và </w:t>
                      </w:r>
                      <w:r>
                        <w:rPr>
                          <w:rFonts w:ascii="Times New Roman" w:hAnsi="Times New Roman" w:eastAsia="Times New Roman" w:cs="Times New Roman"/>
                          <w:color w:val="000000"/>
                          <w:sz w:val="24"/>
                        </w:rPr>
                        <w:t xml:space="preserve">Bà Đỗ Thị Thơ.</w:t>
                      </w:r>
                      <w:r>
                        <w:rPr>
                          <w:b/>
                          <w:bCs/>
                          <w:iCs/>
                        </w:rPr>
                      </w:r>
                      <w:r>
                        <w:rPr>
                          <w:b/>
                          <w:bCs/>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yellow"/>
              </w:rPr>
            </w:pPr>
            <w:r>
              <w:rPr>
                <w:b/>
                <w:color w:val="000000" w:themeColor="text1"/>
                <w:highlight w:val="yellow"/>
              </w:rPr>
              <w:t xml:space="preserve">1-3</w:t>
            </w:r>
            <w:r>
              <w:rPr>
                <w:b/>
                <w:highlight w:val="yellow"/>
              </w:rPr>
            </w:r>
            <w:r>
              <w:rPr>
                <w:b/>
                <w:highlight w:val="yellow"/>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yellow"/>
              </w:rPr>
            </w:pPr>
            <w:r>
              <w:rPr>
                <w:b/>
                <w:color w:val="000000" w:themeColor="text1"/>
                <w:highlight w:val="yellow"/>
              </w:rPr>
              <w:t xml:space="preserve">4-17</w:t>
            </w:r>
            <w:r>
              <w:rPr>
                <w:b/>
                <w:highlight w:val="yellow"/>
                <w:lang w:val="vi-VN"/>
              </w:rPr>
            </w:r>
            <w:r>
              <w:rPr>
                <w:b/>
                <w:highlight w:val="yellow"/>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highlight w:val="yellow"/>
              </w:rPr>
            </w:pPr>
            <w:r>
              <w:rPr>
                <w:b/>
                <w:bCs/>
                <w:highlight w:val="yellow"/>
              </w:rPr>
            </w:r>
            <w:r>
              <w:rPr>
                <w:b/>
                <w:bCs/>
                <w:highlight w:val="yellow"/>
              </w:rPr>
            </w:r>
            <w:r>
              <w:rPr>
                <w:b/>
                <w:bCs/>
                <w:highlight w:val="yellow"/>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yellow"/>
              </w:rPr>
            </w:pPr>
            <w:r>
              <w:rPr>
                <w:b/>
                <w:bCs/>
                <w:highlight w:val="yellow"/>
              </w:rPr>
              <w:t xml:space="preserve">18</w:t>
            </w:r>
            <w:r>
              <w:rPr>
                <w:b/>
                <w:bCs/>
                <w:highlight w:val="yellow"/>
              </w:rPr>
            </w:r>
            <w:r>
              <w:rPr>
                <w:b/>
                <w:bCs/>
                <w:highlight w:val="yellow"/>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yellow"/>
              </w:rPr>
            </w:pPr>
            <w:r>
              <w:rPr>
                <w:b/>
                <w:bCs/>
                <w:highlight w:val="yellow"/>
              </w:rPr>
              <w:t xml:space="preserve">19-22</w:t>
            </w:r>
            <w:r>
              <w:rPr>
                <w:b/>
                <w:bCs/>
                <w:highlight w:val="yellow"/>
              </w:rPr>
            </w:r>
            <w:r>
              <w:rPr>
                <w:b/>
                <w:bCs/>
                <w:highlight w:val="yellow"/>
              </w:rPr>
            </w:r>
          </w:p>
        </w:tc>
      </w:tr>
    </w:tbl>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 </w:t>
            </w:r>
            <w:r>
              <w:rPr>
                <w:rStyle w:val="1025"/>
                <w:rFonts w:ascii="Times New Roman" w:hAnsi="Times New Roman"/>
                <w:color w:val="000000" w:themeColor="text1"/>
                <w:lang w:val="pt-BR"/>
              </w:rPr>
              <w:t xml:space="preserve">275/2026/0881/VFI-CT.57.A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Hà 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11 tháng 6 năm 2026</w:t>
            </w:r>
            <w:r>
              <w:rPr>
                <w:color w:val="000000" w:themeColor="text1"/>
                <w:sz w:val="24"/>
                <w:szCs w:val="24"/>
                <w:lang w:val="vi-VN"/>
              </w:rPr>
            </w:r>
            <w:r>
              <w:rPr>
                <w:color w:val="000000" w:themeColor="text1"/>
                <w:sz w:val="24"/>
                <w:szCs w:val="24"/>
                <w:lang w:val="vi-VN"/>
              </w:rPr>
            </w:r>
          </w:p>
        </w:tc>
      </w:tr>
    </w:tbl>
    <w:p>
      <w:pPr>
        <w:pStyle w:val="1026"/>
        <w:pBdr/>
        <w:spacing w:after="120" w:before="200" w:line="288" w:lineRule="auto"/>
        <w:ind/>
        <w:jc w:val="center"/>
        <w:rPr>
          <w:rStyle w:val="1025"/>
          <w:rFonts w:ascii="Times New Roman" w:hAnsi="Times New Roman"/>
          <w:b/>
          <w:bCs/>
          <w:color w:val="auto"/>
          <w:sz w:val="30"/>
          <w:szCs w:val="30"/>
          <w:lang w:val="vi-VN"/>
        </w:rPr>
      </w:pPr>
      <w:r>
        <w:rPr>
          <w:rStyle w:val="1025"/>
          <w:rFonts w:ascii="Times New Roman" w:hAnsi="Times New Roman"/>
          <w:b/>
          <w:bCs/>
          <w:color w:val="auto"/>
          <w:sz w:val="30"/>
          <w:szCs w:val="30"/>
          <w:lang w:val="vi-VN"/>
        </w:rPr>
        <w:t xml:space="preserve">CHỨNG THƯ THẨM ĐỊNH GIÁ</w:t>
      </w:r>
      <w:r>
        <w:rPr>
          <w:rStyle w:val="1025"/>
          <w:rFonts w:ascii="Times New Roman" w:hAnsi="Times New Roman"/>
          <w:b/>
          <w:bCs/>
          <w:color w:val="auto"/>
          <w:sz w:val="30"/>
          <w:szCs w:val="30"/>
          <w:lang w:val="vi-VN"/>
        </w:rPr>
      </w:r>
      <w:r>
        <w:rPr>
          <w:rStyle w:val="1025"/>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NGUYỄN QUANG KHẢI</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275/2026/0881/VFI-HĐTĐ.57.A</w:t>
      </w:r>
      <w:r>
        <w:rPr>
          <w:spacing w:val="-4"/>
          <w:lang w:val="vi-VN"/>
        </w:rPr>
        <w:t xml:space="preserve"> ký ngày </w:t>
      </w:r>
      <w:r>
        <w:rPr>
          <w:color w:val="000000" w:themeColor="text1"/>
          <w:spacing w:val="-4"/>
        </w:rPr>
        <w:t xml:space="preserve">9 tháng 6 năm 2026</w:t>
      </w:r>
      <w:r>
        <w:rPr>
          <w:spacing w:val="-4"/>
          <w:lang w:val="vi-VN"/>
        </w:rPr>
        <w:t xml:space="preserve"> </w:t>
      </w:r>
      <w:r>
        <w:rPr>
          <w:spacing w:val="-4"/>
          <w:lang w:val="vi-VN"/>
        </w:rPr>
        <w:t xml:space="preserve">giữa </w:t>
      </w:r>
      <w:r>
        <w:rPr>
          <w:color w:val="000000" w:themeColor="text1"/>
          <w:spacing w:val="-4"/>
        </w:rPr>
        <w:t xml:space="preserve">Ông Nguyễn Quang Khải</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275/2026/0881/VFI-BC.57.A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11 tháng 6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ÔNG NGUYỄN QUANG KHẢI</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031084001695</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1984</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Tiên Lãng, Thành phố Hải Phòng</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Quyền sử dụng đất tại thửa đất số: 126, tờ bản đồ: 05 (306594-4-(b))  có địa chỉ:</w:t>
      </w:r>
      <w:r>
        <w:rPr>
          <w:color w:val="000000"/>
        </w:rPr>
        <w:t xml:space="preserve"> Khu tái định cư Đồng Hòa 1,</w:t>
      </w:r>
      <w:r>
        <w:rPr>
          <w:color w:val="000000"/>
        </w:rPr>
        <w:t xml:space="preserve"> Phường Đồng Hòa, Quận Kiến An, Hải Phòng</w:t>
      </w:r>
      <w:r>
        <w:rPr>
          <w:rFonts w:ascii="Times New Roman" w:hAnsi="Times New Roman" w:eastAsia="Times New Roman" w:cs="Times New Roman"/>
          <w:color w:val="000000"/>
          <w:sz w:val="24"/>
        </w:rPr>
        <w:t xml:space="preserve"> </w:t>
      </w:r>
      <w:r>
        <w:rPr>
          <w:rFonts w:ascii="Times New Roman" w:hAnsi="Times New Roman" w:eastAsia="Times New Roman" w:cs="Times New Roman"/>
          <w:i/>
          <w:color w:val="000000"/>
          <w:sz w:val="24"/>
        </w:rPr>
        <w:t xml:space="preserve">(Nay là Phường Kiến An,, Thành Phố Hải Phòng)</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đất số: CB 225093, số vào sổ cấp GCN: CH000111/ĐH do UBND quận Kiến An, thành phố Hải Phòng cấp ngày 05/11/2015; Chủ sử dụng đất ông Nguyễn Quang Khải và </w:t>
      </w:r>
      <w:r>
        <w:rPr>
          <w:rFonts w:ascii="Times New Roman" w:hAnsi="Times New Roman" w:eastAsia="Times New Roman" w:cs="Times New Roman"/>
          <w:color w:val="000000"/>
          <w:sz w:val="24"/>
        </w:rPr>
        <w:t xml:space="preserve">Bà Đỗ Thị Thơ.</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06/2026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06/2026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b/>
                <w:bCs/>
                <w:color w:val="000000"/>
              </w:rPr>
            </w:r>
            <w:r>
              <w:rPr>
                <w:rFonts w:ascii="Times New Roman" w:hAnsi="Times New Roman" w:eastAsia="Times New Roman" w:cs="Times New Roman"/>
                <w:b/>
                <w:bCs/>
                <w:color w:val="000000"/>
                <w:sz w:val="24"/>
              </w:rPr>
              <w:t xml:space="preserve">Quyền sử dụng đất tại thửa đất số: 126, tờ bản đồ: 05 (306594-4-(b))  có địa chỉ:</w:t>
            </w:r>
            <w:r>
              <w:rPr>
                <w:b/>
                <w:bCs/>
                <w:color w:val="000000"/>
              </w:rPr>
              <w:t xml:space="preserve"> Khu tái định cư Đồng Hòa 1,</w:t>
            </w:r>
            <w:r>
              <w:rPr>
                <w:b/>
                <w:bCs/>
                <w:color w:val="000000"/>
              </w:rPr>
              <w:t xml:space="preserve"> Phường Đồng Hòa, Quận Kiến An, Hải Phòng</w:t>
            </w:r>
            <w:r>
              <w:rPr>
                <w:rFonts w:ascii="Times New Roman" w:hAnsi="Times New Roman" w:eastAsia="Times New Roman" w:cs="Times New Roman"/>
                <w:b/>
                <w:bCs/>
                <w:color w:val="000000"/>
                <w:sz w:val="24"/>
              </w:rPr>
              <w:t xml:space="preserve"> </w:t>
            </w:r>
            <w:r>
              <w:rPr>
                <w:rFonts w:ascii="Times New Roman" w:hAnsi="Times New Roman" w:eastAsia="Times New Roman" w:cs="Times New Roman"/>
                <w:b/>
                <w:bCs/>
                <w:i/>
                <w:color w:val="000000"/>
                <w:sz w:val="24"/>
              </w:rPr>
              <w:t xml:space="preserve">(Nay là Phường Kiến An,, Thành Phố Hải Phòng)</w:t>
            </w:r>
            <w:r>
              <w:rPr>
                <w:rFonts w:ascii="Times New Roman" w:hAnsi="Times New Roman" w:eastAsia="Times New Roman" w:cs="Times New Roman"/>
                <w:b/>
                <w:bCs/>
                <w:color w:val="000000"/>
                <w:sz w:val="24"/>
              </w:rPr>
              <w:t xml:space="preserve"> theo Giấy chứng nhận quyền sử dụng đất quyền sở hữu nhà ở và tài sản khác gắn liền với đất số: CB 225093, số vào sổ cấp GCN: CH000111/ĐH do UBND quận Kiến An, thành phố Hải Phòng cấp ngày 05/11/2015; Chủ sử dụng đất ông Nguyễn Quang Khải và </w:t>
            </w:r>
            <w:r>
              <w:rPr>
                <w:rFonts w:ascii="Times New Roman" w:hAnsi="Times New Roman" w:eastAsia="Times New Roman" w:cs="Times New Roman"/>
                <w:b/>
                <w:bCs/>
                <w:color w:val="000000"/>
                <w:sz w:val="24"/>
              </w:rPr>
              <w:t xml:space="preserve">Bà Đỗ Thị Thơ.</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63" w:type="pct"/>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60</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56.000.000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3.360.000.000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rPr>
              <w:t xml:space="preserve">3.360.000.000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Ba tỷ ba trăm sáu mươi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 </w:t>
            </w:r>
            <w:r>
              <w:rPr>
                <w:rStyle w:val="1025"/>
                <w:rFonts w:ascii="Times New Roman" w:hAnsi="Times New Roman"/>
                <w:color w:val="000000" w:themeColor="text1"/>
                <w:lang w:val="pt-BR"/>
              </w:rPr>
              <w:t xml:space="preserve">275/2026/0881/VFI-BC.57.A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Hà 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11 tháng 6 năm 2026</w:t>
            </w:r>
            <w:r>
              <w:rPr>
                <w:color w:val="000000" w:themeColor="text1"/>
                <w:sz w:val="24"/>
                <w:szCs w:val="24"/>
                <w:lang w:val="vi-VN"/>
              </w:rPr>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26"/>
              <w:pBdr/>
              <w:spacing w:after="60"/>
              <w:ind/>
              <w:rPr>
                <w:rStyle w:val="1025"/>
                <w:rFonts w:ascii="Times New Roman" w:hAnsi="Times New Roman"/>
                <w:color w:val="000000" w:themeColor="text1"/>
                <w:lang w:val="pt-BR"/>
              </w:rPr>
            </w:pPr>
            <w:r>
              <w:rPr>
                <w:rStyle w:val="1025"/>
                <w:rFonts w:ascii="Times New Roman" w:hAnsi="Times New Roman"/>
                <w:color w:val="000000" w:themeColor="text1"/>
                <w:lang w:val="pt-BR"/>
              </w:rPr>
            </w:r>
            <w:r>
              <w:rPr>
                <w:rStyle w:val="1025"/>
                <w:rFonts w:ascii="Times New Roman" w:hAnsi="Times New Roman"/>
                <w:color w:val="000000" w:themeColor="text1"/>
                <w:lang w:val="pt-BR"/>
              </w:rPr>
            </w:r>
            <w:r>
              <w:rPr>
                <w:rStyle w:val="1025"/>
                <w:rFonts w:ascii="Times New Roman" w:hAnsi="Times New Roman"/>
                <w:color w:val="000000" w:themeColor="text1"/>
                <w:lang w:val="pt-BR"/>
              </w:rPr>
            </w:r>
          </w:p>
        </w:tc>
        <w:tc>
          <w:tcPr>
            <w:shd w:val="clear" w:color="auto" w:fill="auto"/>
            <w:tcBorders/>
            <w:tcMar>
              <w:left w:w="108" w:type="dxa"/>
              <w:top w:w="0" w:type="dxa"/>
              <w:right w:w="108" w:type="dxa"/>
              <w:bottom w:w="0" w:type="dxa"/>
            </w:tcMar>
            <w:tcW w:w="5412" w:type="dxa"/>
            <w:textDirection w:val="lrTb"/>
            <w:noWrap w:val="false"/>
          </w:tcPr>
          <w:p>
            <w:pPr>
              <w:pStyle w:val="1026"/>
              <w:pBdr/>
              <w:spacing w:after="60"/>
              <w:ind w:right="-56"/>
              <w:rPr>
                <w:rStyle w:val="1025"/>
                <w:rFonts w:ascii="Times New Roman" w:hAnsi="Times New Roman"/>
                <w:i/>
                <w:color w:val="auto"/>
              </w:rPr>
            </w:pPr>
            <w:r>
              <w:rPr>
                <w:rFonts w:ascii="Times New Roman" w:hAnsi="Times New Roman"/>
                <w:i/>
                <w:color w:val="auto"/>
              </w:rPr>
            </w:r>
            <w:r>
              <w:rPr>
                <w:rStyle w:val="1025"/>
                <w:rFonts w:ascii="Times New Roman" w:hAnsi="Times New Roman"/>
                <w:i/>
                <w:color w:val="auto"/>
              </w:rPr>
            </w:r>
            <w:r>
              <w:rPr>
                <w:rStyle w:val="1025"/>
                <w:rFonts w:ascii="Times New Roman" w:hAnsi="Times New Roman"/>
                <w:i/>
                <w:color w:val="auto"/>
              </w:rPr>
            </w:r>
          </w:p>
        </w:tc>
      </w:tr>
    </w:tbl>
    <w:p>
      <w:pPr>
        <w:pStyle w:val="102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275/2026/0881/VFI-CT.57.A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11 tháng 6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ÔNG NGUYỄN QUANG KHẢI</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031084001695</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1984</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Tiên Lãng, Thành phố Hải Phòng</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r>
            <w:r>
              <w:rPr>
                <w:rFonts w:ascii="Times New Roman" w:hAnsi="Times New Roman" w:eastAsia="Times New Roman" w:cs="Times New Roman"/>
                <w:color w:val="000000"/>
                <w:sz w:val="24"/>
              </w:rPr>
              <w:t xml:space="preserve">Quyền sử dụng đất tại thửa đất số: 126, tờ bản đồ: 05 (306594-4-(b))  có địa chỉ:</w:t>
            </w:r>
            <w:r>
              <w:rPr>
                <w:color w:val="000000"/>
              </w:rPr>
              <w:t xml:space="preserve"> Khu tái định cư Đồng Hòa 1,</w:t>
            </w:r>
            <w:r>
              <w:rPr>
                <w:color w:val="000000"/>
              </w:rPr>
              <w:t xml:space="preserve"> Phường Đồng Hòa, Quận Kiến An, Hải Phòng</w:t>
            </w:r>
            <w:r>
              <w:rPr>
                <w:rFonts w:ascii="Times New Roman" w:hAnsi="Times New Roman" w:eastAsia="Times New Roman" w:cs="Times New Roman"/>
                <w:color w:val="000000"/>
                <w:sz w:val="24"/>
              </w:rPr>
              <w:t xml:space="preserve"> </w:t>
            </w:r>
            <w:r>
              <w:rPr>
                <w:rFonts w:ascii="Times New Roman" w:hAnsi="Times New Roman" w:eastAsia="Times New Roman" w:cs="Times New Roman"/>
                <w:i/>
                <w:color w:val="000000"/>
                <w:sz w:val="24"/>
              </w:rPr>
              <w:t xml:space="preserve">(Nay là Phường Kiến An,, Thành Phố Hải Phòng)</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đất số: CB 225093, số vào sổ cấp GCN: CH000111/ĐH do UBND quận Kiến An, thành phố Hải Phòng cấp ngày 05/11/2015; Chủ sử dụng đất ông Nguyễn Quang Khải và </w:t>
            </w:r>
            <w:r>
              <w:rPr>
                <w:rFonts w:ascii="Times New Roman" w:hAnsi="Times New Roman" w:eastAsia="Times New Roman" w:cs="Times New Roman"/>
                <w:color w:val="000000"/>
                <w:sz w:val="24"/>
              </w:rPr>
              <w:t xml:space="preserve">Bà Đỗ Thị Thơ.</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06/2026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Đồng Hòa, Quận Kiến An, Tỉnh Hải Phòng</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20.830083333333, 106.65997222222</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09/06/2026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7"/>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7"/>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7"/>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7"/>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27"/>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7"/>
        <w:numPr>
          <w:ilvl w:val="0"/>
          <w:numId w:val="2"/>
        </w:numPr>
        <w:pBdr/>
        <w:tabs>
          <w:tab w:val="left" w:leader="none" w:pos="993"/>
        </w:tabs>
        <w:spacing w:after="120" w:before="120" w:line="276" w:lineRule="auto"/>
        <w:ind/>
        <w:jc w:val="both"/>
        <w:rPr>
          <w:i/>
          <w:iCs/>
          <w:lang w:val="pt-BR"/>
        </w:rPr>
      </w:pPr>
      <w:r>
        <w:rPr>
          <w:rFonts w:ascii="Times New Roman" w:hAnsi="Times New Roman" w:eastAsia="Times New Roman" w:cs="Times New Roman"/>
          <w:color w:val="000000"/>
          <w:sz w:val="24"/>
        </w:rPr>
        <w:t xml:space="preserve">Giấy chứng nhận quyền sử dụng đất quyền sở hữu nhà ở và tài sản khác gắn liền với đất số: CB 225093, số vào sổ cấp GCN: CH000111/ĐH do UBND quận Kiến An, thành phố Hải Phòng cấp ngày 05/11/2015; Chủ sử dụng đất ông Nguyễn Quang Khải và </w:t>
      </w:r>
      <w:r>
        <w:rPr>
          <w:rFonts w:ascii="Times New Roman" w:hAnsi="Times New Roman" w:eastAsia="Times New Roman" w:cs="Times New Roman"/>
          <w:color w:val="000000"/>
          <w:sz w:val="24"/>
        </w:rPr>
        <w:t xml:space="preserve">Bà Đỗ Thị Thơ.</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7"/>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275/2026/0881/VFI-HĐTĐ.57.A ngày </w:t>
      </w:r>
      <w:commentRangeStart w:id="0"/>
      <w:r>
        <w:rPr>
          <w:color w:val="000000" w:themeColor="text1"/>
          <w:lang w:val="pt-BR"/>
        </w:rPr>
        <w:t xml:space="preserve">09/06/2026 </w:t>
      </w:r>
      <w:commentRangeEnd w:id="0"/>
      <w:r>
        <w:commentReference w:id="0"/>
      </w:r>
      <w:r>
        <w:rPr>
          <w:color w:val="000000" w:themeColor="text1"/>
          <w:lang w:val="pt-BR"/>
        </w:rPr>
        <w:t xml:space="preserve">giữa Ông Nguyễn Quang Khải với Công ty Cổ phần Thẩm định và Đầu tư Tài chính Hoa Sen.</w:t>
      </w:r>
      <w:r>
        <w:rPr>
          <w:b/>
          <w:lang w:val="pt-BR"/>
        </w:rPr>
      </w:r>
      <w:r>
        <w:rPr>
          <w:b/>
          <w:lang w:val="pt-BR"/>
        </w:rPr>
      </w:r>
    </w:p>
    <w:p>
      <w:pPr>
        <w:pStyle w:val="1027"/>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i/>
          <w:iCs/>
          <w:lang w:val="pt-BR"/>
        </w:rPr>
      </w:pPr>
      <w:r>
        <w:rPr>
          <w:lang w:val="pt-BR"/>
        </w:rPr>
        <w:tab/>
      </w:r>
      <w:r>
        <w:rPr>
          <w:shd w:val="clear" w:color="auto" w:fill="ffffff"/>
        </w:rPr>
        <w:t xml:space="preserve">Hải Phòng là một trong những thị trường bất động sản sôi nổi ở khu vực phía Bắc khi nhiều dự án bất động sản đồng loạt tung hàng với sự góp mặt của nhiều ông lớn địa ốc. Một số dự án </w:t>
      </w:r>
      <w:r>
        <w:rPr>
          <w:shd w:val="clear" w:color="auto" w:fill="ffffff"/>
        </w:rPr>
        <w:t xml:space="preserve">tiêu biểu có thể kể đến như Vinhomes Royal Island, HP Elite Central, Royal River City, Harbour Center, Hoàng Huy New City…</w:t>
        <w:br/>
        <w:t xml:space="preserve">Năm 2025 tiếp nối mạch sôi nổi trong năm 2024 khi nhiều ông lớn tiếp tục đổ bộ thị trường. Mới đây nhất, Gamuda Land đã chi khoảng 1.</w:t>
      </w:r>
      <w:r>
        <w:rPr>
          <w:shd w:val="clear" w:color="auto" w:fill="ffffff"/>
        </w:rPr>
        <w:t xml:space="preserve">000 tỷ đồng mua lại khu đất rộng hơn 1,1 ha có vị trí mặt đường Võ Nguyên Giáp (quận Lê Chân) để làm chung cư. Được biết, đại gia địa ốc Malaysia sẽ phát triển một dự án chung cư tại khu đất này với quy mô đầu tư khoảng 222 triệu USD, tương đương hơn 5.600</w:t>
      </w:r>
      <w:r>
        <w:rPr>
          <w:shd w:val="clear" w:color="auto" w:fill="ffffff"/>
        </w:rPr>
        <w:t xml:space="preserve"> tỷ đồng.</w:t>
        <w:br/>
        <w:t xml:space="preserve">Masterise Homes cũng đẩy mạnh phát triển dự án tại Hải Phòng sau hai thị trường lớn là Hà Nội và TP.HCM với dự án The Centric có địa chỉ tại Tân Dương (Thủy Nguyên). Được biết, dự án hình thành trên quy mô 7,2ha, có mật độ xây dựng 28%, là tổ hợp</w:t>
      </w:r>
      <w:r>
        <w:rPr>
          <w:shd w:val="clear" w:color="auto" w:fill="ffffff"/>
        </w:rPr>
        <w:t xml:space="preserve"> 2 khối Shoptique thương mại dịch vụ hỗn hợp, cao 5 tầng, có tổng 220 căn.</w:t>
        <w:br/>
        <w:t xml:space="preserve">Vào cuối tháng 4/2025, Sun Group cũng mở bán tòa căn hộ The Xanh 2 tại Cát Bà. Tòa tháp là một phần của dự án Thành phố vịnh trung tâm Xanh Island, có chiều cao 25 tầng, cung cấp ch</w:t>
      </w:r>
      <w:r>
        <w:rPr>
          <w:shd w:val="clear" w:color="auto" w:fill="ffffff"/>
        </w:rPr>
        <w:t xml:space="preserve">o thị trường hơn 700 căn hộ có diện tích đa dạng từ loại hình căn hộ studio, 1 phòng ngủ đến 3 phòng ngủ.</w:t>
        <w:br/>
        <w:t xml:space="preserve">Trong tháng 5, Wink Hotels ra mắt căn hộ dịch vụ Wink Live Serviced Residences tại số 135 đường Điện Biên Phủ (quận Hồng Bàng), cung cấp cho thị trườn</w:t>
      </w:r>
      <w:r>
        <w:rPr>
          <w:shd w:val="clear" w:color="auto" w:fill="ffffff"/>
        </w:rPr>
        <w:t xml:space="preserve">g 77 căn hộ dịch vụ với hai loại hình chính: căn một phòng ngủ 35 m2 và căn hai phòng ngủ 55 m2. Dự án là bước mở rộng đầu tiên ra khu vực phía Bắc của thương hiệu Wink Hotels sau khi phát triển lĩnh vực khách sạn tại TP.HCM và Đà Nẵng.</w:t>
        <w:br/>
        <w:t xml:space="preserve">Sự phát triển mạnh </w:t>
      </w:r>
      <w:r>
        <w:rPr>
          <w:shd w:val="clear" w:color="auto" w:fill="ffffff"/>
        </w:rPr>
        <w:t xml:space="preserve">mẽ của thị trường bất động sản Hải Phòng trong thời gian gần đây được thúc đẩy bởi nhiều yếu tố như hạ tầng phát triển, dòng vốn đầu tư mạnh mẽ và định hướng chiến lược của thành phố.</w:t>
        <w:br/>
        <w:t xml:space="preserve">Ông Tô Hùng, Trưởng Văn phòng Đại diện Hội Môi giới Bất động sản Việt Na</w:t>
      </w:r>
      <w:r>
        <w:rPr>
          <w:shd w:val="clear" w:color="auto" w:fill="ffffff"/>
        </w:rPr>
        <w:t xml:space="preserve">m tại Hải Phòng cho biết, theo thống kê của Hiệp hội Bất động sản Hải Phòng, tổng mức đầu tư các dự án bất động sản tại Hải Phòng trong 5 năm qua đã tăng hơn 10 lần so với giai đoạn trước. Đà tăng này được dự báo sẽ không ngừng lại mà tiếp tục đi lên trong</w:t>
      </w:r>
      <w:r>
        <w:rPr>
          <w:shd w:val="clear" w:color="auto" w:fill="ffffff"/>
        </w:rPr>
        <w:t xml:space="preserve"> thời gian tới.</w:t>
        <w:br/>
        <w:t xml:space="preserve">Cũng theo ông Hồng, thị trường bất động sản Hải Phòng đang hội tụ rất nhiều yếu tố tiềm năng, tạo tiền đề thúc đẩy sự phát triển của thị trường trong thời gian tới. Lợi thế này đến từ quỹ đất rộng, sự phát triển của hệ thống cảng biển, hạ t</w:t>
      </w:r>
      <w:r>
        <w:rPr>
          <w:shd w:val="clear" w:color="auto" w:fill="ffffff"/>
        </w:rPr>
        <w:t xml:space="preserve">ầng giao thông, sự phát triển của bất động sản công nghiệp với lượng lao động nhập cư lớn. Hiện nay, Hải Phòng đang là trung tâm công nghiệp, cảng biển quan trọng của miền Bắc. Đây là một thị trường tiềm năng trong trung dài hạn bởi các lợi thế sẵn có.</w:t>
        <w:br/>
        <w:t xml:space="preserve">Năm</w:t>
      </w:r>
      <w:r>
        <w:rPr>
          <w:shd w:val="clear" w:color="auto" w:fill="ffffff"/>
        </w:rPr>
        <w:t xml:space="preserve"> 2024, TP. Hải Phòng đã vượt Quảng Ninh, lần đầu tiên giành vị trí quán quân trong bảng xếp hạng Chỉ số năng lực cạnh tranh cấp tỉnh (PCI) 2024. PCI là một trong những chỉ báo đánh giá khả năng xây dựng môi trường kinh doanh, thu hút đầu tư của chính quyền</w:t>
      </w:r>
      <w:r>
        <w:rPr>
          <w:shd w:val="clear" w:color="auto" w:fill="ffffff"/>
        </w:rPr>
        <w:t xml:space="preserve"> các địa phương do Liên đoàn Thương mại và Công nghiệp Việt Nam (VCCI) công bố. Trước đó, TP. Hải Phòng có 7 năm liên tiếp xếp hạng trong top 10 cả nước. Vào năm 2023, Hải Phòng đứng vị trí thứ 3.</w:t>
        <w:br/>
        <w:t xml:space="preserve">Hạ tầng giao thông tại Hải Phòng đang được đẩy mạnh với tin</w:t>
      </w:r>
      <w:r>
        <w:rPr>
          <w:shd w:val="clear" w:color="auto" w:fill="ffffff"/>
        </w:rPr>
        <w:t xml:space="preserve">h thần "hạ tầng đi trước – tăng trưởng theo sau". Hiện các bến còn lại của Cảng Lạch Huyện sẽ được tập trung hoàn thiện. Ngoài ra, cảng biển thế hệ mới Nam Đồ Sơn, sân bay quốc tế Tiên Lãng, đường sắt tốc độ cao Lào Cai – Hà Nội – Hải Phòng, mạng lưới logi</w:t>
      </w:r>
      <w:r>
        <w:rPr>
          <w:shd w:val="clear" w:color="auto" w:fill="ffffff"/>
        </w:rPr>
        <w:t xml:space="preserve">stics và hạ tầng số phủ kín đến cấp xã, làm nền tảng cho kinh tế số đã, đang và sẽ được Hải Phòng tập trung nguồn lực để đẩy mạnh.</w:t>
        <w:br/>
        <w:t xml:space="preserve">(https://wiki.batdongsan.com.vn/tin-tuc/bat-dong-san-Hai-Phong-diem-sang-cua-thi-truong-phia-Bac-trong-nam-2025-cd-hn-835387)</w:t>
      </w:r>
      <w:r>
        <w:rPr>
          <w:i/>
          <w:iCs/>
          <w:lang w:val="pt-BR"/>
        </w:rPr>
      </w:r>
      <w:r>
        <w:rPr>
          <w:i/>
          <w:iCs/>
          <w:lang w:val="pt-BR"/>
        </w:rPr>
      </w:r>
    </w:p>
    <w:p>
      <w:pPr>
        <w:pStyle w:val="102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after="60" w:before="60" w:line="276" w:lineRule="auto"/>
              <w:ind/>
              <w:jc w:val="both"/>
              <w:rPr>
                <w:b/>
                <w:bCs/>
                <w:spacing w:val="2"/>
              </w:rPr>
            </w:pPr>
            <w:r>
              <w:rPr>
                <w:b/>
                <w:bCs/>
                <w:color w:val="000000" w:themeColor="text1"/>
                <w:lang w:val="pt-BR"/>
              </w:rPr>
            </w:r>
            <w:r>
              <w:rPr>
                <w:rFonts w:ascii="Times New Roman" w:hAnsi="Times New Roman" w:eastAsia="Times New Roman" w:cs="Times New Roman"/>
                <w:b/>
                <w:bCs/>
                <w:color w:val="000000"/>
                <w:sz w:val="24"/>
              </w:rPr>
              <w:t xml:space="preserve">Quyền sử dụng đất tại thửa đất số: 126, tờ bản đồ: 05 (306594-4-(b))  có địa chỉ:</w:t>
            </w:r>
            <w:r>
              <w:rPr>
                <w:b/>
                <w:bCs/>
                <w:color w:val="000000"/>
              </w:rPr>
              <w:t xml:space="preserve"> Khu tái định cư Đồng Hòa 1,</w:t>
            </w:r>
            <w:r>
              <w:rPr>
                <w:b/>
                <w:bCs/>
                <w:color w:val="000000"/>
              </w:rPr>
              <w:t xml:space="preserve"> Phường Đồng Hòa, Quận Kiến An, Hải Phòng</w:t>
            </w:r>
            <w:r>
              <w:rPr>
                <w:rFonts w:ascii="Times New Roman" w:hAnsi="Times New Roman" w:eastAsia="Times New Roman" w:cs="Times New Roman"/>
                <w:b/>
                <w:bCs/>
                <w:color w:val="000000"/>
                <w:sz w:val="24"/>
              </w:rPr>
              <w:t xml:space="preserve"> </w:t>
            </w:r>
            <w:r>
              <w:rPr>
                <w:rFonts w:ascii="Times New Roman" w:hAnsi="Times New Roman" w:eastAsia="Times New Roman" w:cs="Times New Roman"/>
                <w:b/>
                <w:bCs/>
                <w:i/>
                <w:color w:val="000000"/>
                <w:sz w:val="24"/>
              </w:rPr>
              <w:t xml:space="preserve">(Nay là Phường Kiến An,, Thành Phố Hải Phòng)</w:t>
            </w:r>
            <w:r>
              <w:rPr>
                <w:rFonts w:ascii="Times New Roman" w:hAnsi="Times New Roman" w:eastAsia="Times New Roman" w:cs="Times New Roman"/>
                <w:b/>
                <w:bCs/>
                <w:color w:val="000000"/>
                <w:sz w:val="24"/>
              </w:rPr>
              <w:t xml:space="preserve"> theo Giấy chứng nhận quyền sử dụng đất quyền sở hữu nhà ở và tài sản khác gắn liền với đất số: CB 225093, số vào sổ cấp GCN: CH000111/ĐH do UBND quận Kiến An, thành phố Hải Phòng cấp ngày 05/11/2015; Chủ sử dụng đất ông Nguyễn Quang Khải và </w:t>
            </w:r>
            <w:r>
              <w:rPr>
                <w:rFonts w:ascii="Times New Roman" w:hAnsi="Times New Roman" w:eastAsia="Times New Roman" w:cs="Times New Roman"/>
                <w:b/>
                <w:bCs/>
                <w:color w:val="000000"/>
                <w:sz w:val="24"/>
              </w:rPr>
              <w:t xml:space="preserve">Bà Đỗ Thị Thơ.</w:t>
            </w:r>
            <w:r>
              <w:rPr>
                <w:b/>
                <w:bCs/>
                <w:spacing w:val="2"/>
              </w:rPr>
            </w:r>
            <w:r>
              <w:rPr>
                <w:b/>
                <w:bCs/>
                <w:spacing w:val="2"/>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126</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05(306594-4-(b))</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b w:val="0"/>
                <w:bCs w:val="0"/>
                <w:color w:val="000000"/>
              </w:rPr>
            </w:pPr>
            <w:r>
              <w:rPr>
                <w:color w:val="000000"/>
              </w:rPr>
            </w:r>
            <w:r>
              <w:rPr>
                <w:b w:val="0"/>
                <w:bCs w:val="0"/>
                <w:color w:val="000000"/>
              </w:rPr>
              <w:t xml:space="preserve"> Khu tái định cư Đồng Hòa 1,</w:t>
            </w:r>
            <w:r>
              <w:rPr>
                <w:b w:val="0"/>
                <w:bCs w:val="0"/>
                <w:color w:val="000000"/>
              </w:rPr>
              <w:t xml:space="preserve"> Phường Đồng Hòa, Quận Kiến An, Hải Phòng</w:t>
            </w:r>
            <w:r>
              <w:rPr>
                <w:rFonts w:ascii="Times New Roman" w:hAnsi="Times New Roman" w:eastAsia="Times New Roman" w:cs="Times New Roman"/>
                <w:b w:val="0"/>
                <w:bCs w:val="0"/>
                <w:color w:val="000000"/>
                <w:sz w:val="24"/>
              </w:rPr>
              <w:t xml:space="preserve"> </w:t>
            </w:r>
            <w:r>
              <w:rPr>
                <w:rFonts w:ascii="Times New Roman" w:hAnsi="Times New Roman" w:eastAsia="Times New Roman" w:cs="Times New Roman"/>
                <w:b w:val="0"/>
                <w:bCs w:val="0"/>
                <w:i/>
                <w:color w:val="000000"/>
                <w:sz w:val="24"/>
              </w:rPr>
              <w:t xml:space="preserve">(Nay là Phường Kiến An,, Thành Phố Hải Phòng)</w:t>
            </w:r>
            <w:r>
              <w:rPr>
                <w:b w:val="0"/>
                <w:bCs w:val="0"/>
                <w:color w:val="000000"/>
              </w:rPr>
            </w:r>
            <w:r>
              <w:rPr>
                <w:b w:val="0"/>
                <w:bCs w:val="0"/>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60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60 m2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83"/>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Nhà nước giao đất có thu tiền sử dụng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rFonts w:ascii="Times New Roman" w:hAnsi="Times New Roman" w:eastAsia="Times New Roman" w:cs="Times New Roman"/>
                <w:color w:val="000000"/>
                <w:sz w:val="24"/>
                <w:highlight w:val="none"/>
              </w:rPr>
            </w:r>
            <w:r>
              <mc:AlternateContent>
                <mc:Choice Requires="wpg">
                  <w:drawing>
                    <wp:inline xmlns:wp="http://schemas.openxmlformats.org/drawingml/2006/wordprocessingDrawing" distT="0" distB="0" distL="0" distR="0">
                      <wp:extent cx="3875190" cy="2074379"/>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187124" name=""/>
                              <pic:cNvPicPr>
                                <a:picLocks noChangeAspect="1"/>
                              </pic:cNvPicPr>
                              <pic:nvPr/>
                            </pic:nvPicPr>
                            <pic:blipFill rotWithShape="1">
                              <a:blip r:embed="rId17"/>
                              <a:stretch/>
                            </pic:blipFill>
                            <pic:spPr bwMode="auto">
                              <a:xfrm flipH="0" flipV="0">
                                <a:off x="0" y="0"/>
                                <a:ext cx="3875190" cy="207437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05.13pt;height:163.34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p>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Tại thời điểm thẩm định giá, tổ thẩm định không được Khách hàng cung cấp các thông tin quy hoạch liên quan đến thửa đất, dựa trên định vị của tài sản sau khi khảo sát, tổ thẩm định kiểm tra quy hoạch online thông qua trang mạng Guland, xác </w:t>
            </w:r>
            <w:r>
              <w:rPr>
                <w:rFonts w:ascii="Times New Roman" w:hAnsi="Times New Roman" w:eastAsia="Times New Roman" w:cs="Times New Roman"/>
                <w:color w:val="000000" w:themeColor="text1"/>
                <w:sz w:val="24"/>
              </w:rPr>
              <w:t xml:space="preserve">định vị trí tài sản thuộc quy hoạch đất ở. </w:t>
            </w:r>
            <w:r>
              <w:rPr>
                <w:rFonts w:ascii="Times New Roman" w:hAnsi="Times New Roman" w:eastAsia="Times New Roman" w:cs="Times New Roman"/>
                <w:color w:val="000000" w:themeColor="text1"/>
                <w:sz w:val="24"/>
                <w:szCs w:val="24"/>
                <w:highlight w:val="none"/>
              </w:rPr>
            </w:r>
            <w:r>
              <w:rPr>
                <w:rFonts w:ascii="Times New Roman" w:hAnsi="Times New Roman" w:eastAsia="Times New Roman" w:cs="Times New Roman"/>
                <w:color w:val="000000" w:themeColor="text1"/>
                <w:sz w:val="24"/>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nhựa</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6</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6</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Cách đường Trường Chinh khoảng 300m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highlight w:val="none"/>
              </w:rPr>
            </w:pPr>
            <w:r/>
            <w:bookmarkStart w:id="3" w:name="OLE_LINK1"/>
            <w:r>
              <w:rPr>
                <w:color w:val="000000" w:themeColor="text1"/>
              </w:rPr>
            </w:r>
            <w:bookmarkEnd w:id="3"/>
            <w:r>
              <w:t xml:space="preserve">Hướng Tây Nam tiếp giáp với đường giao thông</w:t>
            </w:r>
            <w:r>
              <w:rPr>
                <w:highlight w:val="none"/>
              </w:rPr>
            </w:r>
            <w:r>
              <w:rPr>
                <w:highlight w:val="none"/>
              </w:rPr>
            </w:r>
          </w:p>
          <w:p>
            <w:pPr>
              <w:pBdr/>
              <w:spacing/>
              <w:ind/>
              <w:rPr>
                <w:color w:val="000000" w:themeColor="text1"/>
              </w:rPr>
            </w:pPr>
            <w:r>
              <w:rPr>
                <w:highlight w:val="none"/>
              </w:rPr>
              <w:t xml:space="preserve">Các hướng khác tiếp giáp với các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20.830083333333</w:t>
            </w:r>
            <w:r>
              <w:rPr>
                <w:color w:val="000000"/>
              </w:rPr>
              <w:t xml:space="preserve">, </w:t>
            </w:r>
            <w:r>
              <w:rPr>
                <w:color w:val="000000"/>
              </w:rPr>
              <w:t xml:space="preserve">106.65997222222</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990353" cy="2540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4990353"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392.94pt;height:200.00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60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6</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10</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 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Khu dân cư</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Ổn định</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Không có lợi thế kinh doanh</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khảo sát hiện trên đất có nhà 3 tầng diện tích xây dựng khoảng 60m2. Công trình chưa được công nhận trên giấy chứng nhận quyền sử dụng đất.</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0"/>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7"/>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pPr>
      <w:r>
        <w:rPr>
          <w:rFonts w:ascii="Times New Roman" w:hAnsi="Times New Roman" w:eastAsia="Times New Roman" w:cs="Times New Roman"/>
          <w:color w:val="000000"/>
          <w:spacing w:val="-2"/>
          <w:sz w:val="24"/>
        </w:rPr>
        <w:t xml:space="preserve">Tại thời điểm khảo sát dưới dự hướng dẫn của khách hàng, CTXD có </w:t>
      </w:r>
      <w:r>
        <w:rPr>
          <w:rFonts w:ascii="Times New Roman" w:hAnsi="Times New Roman" w:eastAsia="Times New Roman" w:cs="Times New Roman"/>
          <w:color w:val="000000"/>
          <w:sz w:val="24"/>
        </w:rPr>
        <w:t xml:space="preserve">nhà 3 tầng diện tích xây dựng khoảng 60m2, công trình chưa được công nhận trên giấy chứng nhận quyền sử dụng đất.</w:t>
      </w:r>
      <w:r>
        <w:rPr>
          <w:rFonts w:ascii="Times New Roman" w:hAnsi="Times New Roman" w:eastAsia="Times New Roman" w:cs="Times New Roman"/>
          <w:color w:val="000000"/>
          <w:spacing w:val="-2"/>
          <w:sz w:val="24"/>
        </w:rPr>
        <w:t xml:space="preserve">. Do vậy, theo đề nghị của Ngân hàng/Khách hàng, Tổ thẩm định không xác</w:t>
      </w:r>
      <w:r>
        <w:rPr>
          <w:rFonts w:ascii="Times New Roman" w:hAnsi="Times New Roman" w:eastAsia="Times New Roman" w:cs="Times New Roman"/>
          <w:color w:val="000000"/>
          <w:spacing w:val="-2"/>
          <w:sz w:val="24"/>
        </w:rPr>
        <w:t xml:space="preserve"> định giá trị của công trình xây dựng vào tổng giá trị, nhưng vẫn coi đó là phần không thể tách rời của tài sản thẩm định. Kính đề nghị đơn vị sử dụng kết quả lưu ý.</w:t>
      </w:r>
      <w:r>
        <w:rPr>
          <w:rFonts w:ascii="Times New Roman" w:hAnsi="Times New Roman" w:eastAsia="Times New Roman" w:cs="Times New Roman"/>
          <w:sz w:val="24"/>
        </w:rPr>
      </w:r>
      <w:r/>
    </w:p>
    <w:p>
      <w:pPr>
        <w:pStyle w:val="1027"/>
        <w:numPr>
          <w:ilvl w:val="0"/>
          <w:numId w:val="40"/>
        </w:numPr>
        <w:pBdr>
          <w:top w:val="none" w:color="000000" w:sz="4" w:space="0"/>
          <w:left w:val="none" w:color="000000" w:sz="4" w:space="0"/>
          <w:bottom w:val="none" w:color="000000" w:sz="4" w:space="0"/>
          <w:right w:val="none" w:color="000000" w:sz="4" w:space="0"/>
        </w:pBdr>
        <w:spacing w:line="276" w:lineRule="auto"/>
        <w:ind w:right="0" w:hanging="360" w:left="425"/>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Tại thời điểm khảo sát, tổ thẩm định không được Khách hàng cung cấp các thông tin quy hoạch liên quan đến thửa đất, dựa trên định vị của tài sản sau khi khảo sát, tổ thẩm định kiểm tra quy hoạch online thông qua các trang mạng như Guland,, xác định</w:t>
      </w:r>
      <w:r>
        <w:rPr>
          <w:rFonts w:ascii="Times New Roman" w:hAnsi="Times New Roman" w:eastAsia="Times New Roman" w:cs="Times New Roman"/>
          <w:color w:val="000000" w:themeColor="text1"/>
          <w:sz w:val="24"/>
        </w:rPr>
        <w:t xml:space="preserve"> vị trí tài sản thuộc quy hoạch đất ở.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w:t>
      </w:r>
      <w:r>
        <w:rPr>
          <w:rFonts w:ascii="Times New Roman" w:hAnsi="Times New Roman" w:eastAsia="Times New Roman" w:cs="Times New Roman"/>
          <w:color w:val="000000" w:themeColor="text1"/>
          <w:sz w:val="24"/>
        </w:rPr>
        <w:t xml:space="preserve"> nhận rõ tình trạng quy hoạch thì kết quả thẩm định giá cần được xem xét, điều chỉnh phù hợp, đồng thời chúng tôi bảo lưu quyền xem xét lại kết quả thẩm định giá.</w:t>
      </w:r>
      <w:r>
        <w:rPr>
          <w:rFonts w:ascii="Times New Roman" w:hAnsi="Times New Roman" w:eastAsia="Times New Roman" w:cs="Times New Roman"/>
          <w:color w:val="000000" w:themeColor="text1"/>
          <w:sz w:val="24"/>
          <w:highlight w:val="none"/>
        </w:rPr>
      </w:r>
      <w:r>
        <w:rPr>
          <w:rFonts w:ascii="Times New Roman" w:hAnsi="Times New Roman" w:eastAsia="Times New Roman" w:cs="Times New Roman"/>
          <w:color w:val="000000" w:themeColor="text1"/>
          <w:sz w:val="24"/>
        </w:rPr>
      </w:r>
    </w:p>
    <w:p>
      <w:pPr>
        <w:pStyle w:val="1027"/>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7"/>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7"/>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7"/>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7"/>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7"/>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7"/>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7"/>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Đồng Hòa, Quận Kiến An, Tỉnh Hải Phòng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Kiến An, Thành phố Hải Phòng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Kiến An, Thành phố Hải Phòng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Đồng Hòa, Quận Kiến An, Tỉnh Hải Phòng</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https://www.facebook.com/groups/batdongsanhaiphong.vn/permalink/4514791778790466/</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https://www.facebook.com/groups/batdongsanhaiphong.vn/permalink/4521354241467553/</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0369.589.862</w:t>
            </w:r>
            <w:r>
              <w:rPr>
                <w:sz w:val="22"/>
                <w:szCs w:val="22"/>
              </w:rPr>
              <w:t xml:space="preserve"> </w:t>
            </w:r>
            <w:r>
              <w:rPr>
                <w:sz w:val="22"/>
                <w:szCs w:val="22"/>
              </w:rPr>
              <w:br/>
              <w:t xml:space="preserve">(</w:t>
            </w:r>
            <w:r>
              <w:rPr>
                <w:sz w:val="22"/>
                <w:szCs w:val="22"/>
              </w:rPr>
              <w:t xml:space="preserve">Sale Lê Hoa</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0945.106.683</w:t>
            </w:r>
            <w:r>
              <w:rPr>
                <w:sz w:val="22"/>
                <w:szCs w:val="22"/>
              </w:rPr>
              <w:br/>
            </w:r>
            <w:r>
              <w:rPr>
                <w:sz w:val="22"/>
                <w:szCs w:val="22"/>
              </w:rPr>
              <w:t xml:space="preserve">(</w:t>
            </w:r>
            <w:r>
              <w:rPr>
                <w:sz w:val="22"/>
                <w:szCs w:val="22"/>
              </w:rPr>
              <w:t xml:space="preserve">Sale Phạm Lan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0941542998</w:t>
            </w:r>
            <w:r>
              <w:rPr>
                <w:sz w:val="22"/>
                <w:szCs w:val="22"/>
              </w:rPr>
              <w:br/>
            </w:r>
            <w:r>
              <w:rPr>
                <w:sz w:val="22"/>
                <w:szCs w:val="22"/>
              </w:rPr>
              <w:t xml:space="preserve">(</w:t>
            </w:r>
            <w:r>
              <w:rPr>
                <w:sz w:val="22"/>
                <w:szCs w:val="22"/>
              </w:rPr>
              <w:t xml:space="preserve">Sale</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Đồng Hòa, Quận Kiến An, Tỉnh Hải Phòng, cách </w:t>
            </w:r>
            <w:r>
              <w:rPr>
                <w:color w:val="000000" w:themeColor="text1"/>
              </w:rPr>
              <w:t xml:space="preserve">đường Trường Chinh khoảng 300m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Kiến An, Thành phố Hải Phòng, khoảng cách ra đường chính khoảng 400m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Kiến An, Thành phố Hải Phòng, khoảng cách ra đường chính khoảng 400m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Quận Kiến An, Tỉnh Hải Phòng, khoảng cách ra đường chính khoảng 300m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2.780.000.000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4.550.000.000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2.363.000.000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3.400.000.000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3.822.000.000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2.363.000.000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3.400.000.000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3.822.000.000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59.075.000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56.666.667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54.600.000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7"/>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2.363.000.000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3.400.000.000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3.822.000.000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59.075.000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56.666.667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54.600.000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59.075.000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56.666.667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54.600.000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59.075.000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56.666.667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54.600.000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59.075.000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56.666.667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54.600.000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Đồng Hòa, Quận Kiến An, Tỉnh Hải Phòng, cách </w:t>
            </w:r>
            <w:r>
              <w:rPr>
                <w:color w:val="000000" w:themeColor="text1"/>
              </w:rPr>
              <w:t xml:space="preserve">đường Trường Chinh khoảng 300m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Kiến An, Thành phố Hải Phòng, khoảng cách ra đường chính khoảng 400m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Kiến An, Thành phố Hải Phòng, khoảng cách ra đường chính khoảng 400m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Quận Kiến An, Tỉnh Hải Phòng, khoảng cách ra đường chính khoảng 300m</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59.075.000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56.666.667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54.600.000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59.075.000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56.666.667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54.600.000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59.075.000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56.666.667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54.600.000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-5.907.500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53.167.500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56.666.667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54.600.000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2.953.750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1.638.000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56.121.250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56.666.667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56.238.000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56.121.250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56.666.667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56.238.000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56.121.250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56.666.667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56.238.000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56.121.250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56.666.667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56.238.000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56.341.972</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-0,39%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0,58%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-0,18%</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8.861.250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1.638.000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- 3%</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2.953.750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1.638.000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-0,39</w:t>
      </w:r>
      <w:r>
        <w:t xml:space="preserve">% đến</w:t>
      </w:r>
      <w:r>
        <w:t xml:space="preserve"> </w:t>
      </w:r>
      <w:r>
        <w:t xml:space="preserve"> </w:t>
      </w:r>
      <w:r>
        <w:t xml:space="preserve">0,58</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56.121.250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18.710.825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56.666.667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18.887.000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56.238.000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18.744.125</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56.341.950</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56.000.000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56.000.000</w:t>
      </w:r>
      <w:r>
        <w:rPr>
          <w:b/>
          <w:bCs/>
          <w:color w:val="000000" w:themeColor="text1"/>
        </w:rPr>
        <w:t xml:space="preserve"> </w:t>
      </w:r>
      <w:r>
        <w:rPr>
          <w:b/>
          <w:bCs/>
        </w:rPr>
        <w:t xml:space="preserve">đồng/m².</w:t>
      </w:r>
      <w:r>
        <w:rPr>
          <w:b/>
          <w:bCs/>
        </w:rPr>
      </w:r>
      <w:r>
        <w:rPr>
          <w:b/>
          <w:bCs/>
        </w:rPr>
      </w:r>
    </w:p>
    <w:p>
      <w:pPr>
        <w:pStyle w:val="1027"/>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7"/>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06/2026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60" w:before="60" w:line="276" w:lineRule="auto"/>
              <w:ind/>
              <w:jc w:val="both"/>
              <w:rPr>
                <w:b/>
                <w:bCs/>
                <w:spacing w:val="2"/>
                <w:lang w:val="vi-VN"/>
              </w:rPr>
            </w:pPr>
            <w:r>
              <w:rPr>
                <w:bCs/>
                <w:color w:val="000000" w:themeColor="text1"/>
                <w:lang w:val="pt-BR"/>
              </w:rPr>
            </w:r>
            <w:r>
              <w:rPr>
                <w:rFonts w:ascii="Times New Roman" w:hAnsi="Times New Roman" w:eastAsia="Times New Roman" w:cs="Times New Roman"/>
                <w:b/>
                <w:bCs/>
                <w:color w:val="000000"/>
                <w:sz w:val="24"/>
              </w:rPr>
              <w:t xml:space="preserve">Quyền sử dụng đất tại thửa đất số: 126, tờ bản đồ: 05 (306594-4-(b))  có địa chỉ:</w:t>
            </w:r>
            <w:r>
              <w:rPr>
                <w:b/>
                <w:bCs/>
                <w:color w:val="000000"/>
              </w:rPr>
              <w:t xml:space="preserve"> Khu tái định cư Đồng Hòa 1,</w:t>
            </w:r>
            <w:r>
              <w:rPr>
                <w:b/>
                <w:bCs/>
                <w:color w:val="000000"/>
              </w:rPr>
              <w:t xml:space="preserve"> Phường Đồng Hòa, Quận Kiến An, Hải Phòng</w:t>
            </w:r>
            <w:r>
              <w:rPr>
                <w:rFonts w:ascii="Times New Roman" w:hAnsi="Times New Roman" w:eastAsia="Times New Roman" w:cs="Times New Roman"/>
                <w:b/>
                <w:bCs/>
                <w:color w:val="000000"/>
                <w:sz w:val="24"/>
              </w:rPr>
              <w:t xml:space="preserve"> </w:t>
            </w:r>
            <w:r>
              <w:rPr>
                <w:rFonts w:ascii="Times New Roman" w:hAnsi="Times New Roman" w:eastAsia="Times New Roman" w:cs="Times New Roman"/>
                <w:b/>
                <w:bCs/>
                <w:i/>
                <w:color w:val="000000"/>
                <w:sz w:val="24"/>
              </w:rPr>
              <w:t xml:space="preserve">(Nay là Phường Kiến An,, Thành Phố Hải Phòng)</w:t>
            </w:r>
            <w:r>
              <w:rPr>
                <w:rFonts w:ascii="Times New Roman" w:hAnsi="Times New Roman" w:eastAsia="Times New Roman" w:cs="Times New Roman"/>
                <w:b/>
                <w:bCs/>
                <w:color w:val="000000"/>
                <w:sz w:val="24"/>
              </w:rPr>
              <w:t xml:space="preserve"> theo Giấy chứng nhận quyền sử dụng đất quyền sở hữu nhà ở và tài sản khác gắn liền với đất số: CB 225093, số vào sổ cấp GCN: CH000111/ĐH do UBND quận Kiến An, thành phố Hải Phòng cấp ngày 05/11/2015; Chủ sử dụng đất ông Nguyễn Quang Khải và </w:t>
            </w:r>
            <w:r>
              <w:rPr>
                <w:rFonts w:ascii="Times New Roman" w:hAnsi="Times New Roman" w:eastAsia="Times New Roman" w:cs="Times New Roman"/>
                <w:b/>
                <w:bCs/>
                <w:color w:val="000000"/>
                <w:sz w:val="24"/>
              </w:rPr>
              <w:t xml:space="preserve">Bà Đỗ Thị Thơ</w:t>
            </w:r>
            <w:r>
              <w:rPr>
                <w:rFonts w:ascii="Times New Roman" w:hAnsi="Times New Roman" w:eastAsia="Times New Roman" w:cs="Times New Roman"/>
                <w:color w:val="000000"/>
                <w:sz w:val="24"/>
              </w:rPr>
              <w:t xml:space="preserve">.</w:t>
            </w:r>
            <w:r>
              <w:rPr>
                <w:b/>
                <w:bCs/>
                <w:spacing w:val="2"/>
                <w:lang w:val="vi-VN"/>
              </w:rPr>
            </w:r>
            <w:r>
              <w:rPr>
                <w:b/>
                <w:bCs/>
                <w:spacing w:val="2"/>
                <w:lang w:val="vi-VN"/>
              </w:rPr>
            </w:r>
          </w:p>
          <w:p>
            <w:pPr>
              <w:pBdr/>
              <w:spacing w:after="40" w:before="40" w:line="288" w:lineRule="auto"/>
              <w:ind/>
              <w:jc w:val="both"/>
              <w:rPr>
                <w:b/>
                <w:bCs/>
              </w:rPr>
            </w:pPr>
            <w:r>
              <w:rPr>
                <w:color w:val="000000"/>
              </w:rPr>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97" w:type="pct"/>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60</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56.000.000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3.360.000.000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rPr>
              <w:t xml:space="preserve">3.360.000.000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Ba tỷ ba trăm sáu mươi triệu đồng</w:t>
            </w:r>
            <w:r>
              <w:rPr>
                <w:b/>
                <w:bCs/>
                <w:i/>
                <w:iCs/>
                <w:color w:val="000000"/>
              </w:rPr>
              <w:t xml:space="preserve">./.)</w:t>
            </w:r>
            <w:r>
              <w:rPr>
                <w:b/>
                <w:bCs/>
                <w:i/>
                <w:iCs/>
                <w:color w:val="000000"/>
              </w:rPr>
            </w:r>
            <w:r>
              <w:rPr>
                <w:b/>
                <w:bCs/>
                <w:i/>
                <w:iCs/>
                <w:color w:val="000000"/>
              </w:rPr>
            </w:r>
          </w:p>
        </w:tc>
      </w:tr>
    </w:tbl>
    <w:p>
      <w:pPr>
        <w:pStyle w:val="1027"/>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7"/>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7"/>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7"/>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7"/>
        <w:numPr>
          <w:ilvl w:val="0"/>
          <w:numId w:val="41"/>
        </w:numPr>
        <w:pBdr>
          <w:top w:val="none" w:color="000000" w:sz="4" w:space="0"/>
          <w:left w:val="none" w:color="000000" w:sz="4" w:space="0"/>
          <w:bottom w:val="none" w:color="000000" w:sz="4" w:space="0"/>
          <w:right w:val="none" w:color="000000" w:sz="4" w:space="0"/>
        </w:pBdr>
        <w:spacing w:line="276" w:lineRule="auto"/>
        <w:ind w:right="0" w:hanging="425" w:left="425"/>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Tại thời điểm khảo sát, tổ thẩm định không được Khách hàng cung cấp các thông tin quy hoạch liên quan đến thửa đất, dựa trên định vị của tài sản sau khi khảo sát, tổ thẩm định kiểm tra quy hoạch online thông qua các trang mạng như Guland, xác định</w:t>
      </w:r>
      <w:r>
        <w:rPr>
          <w:rFonts w:ascii="Times New Roman" w:hAnsi="Times New Roman" w:eastAsia="Times New Roman" w:cs="Times New Roman"/>
          <w:color w:val="000000" w:themeColor="text1"/>
          <w:sz w:val="24"/>
        </w:rPr>
        <w:t xml:space="preserve"> vị trí tài sản thuộc quy hoạch đất ở.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w:t>
      </w:r>
      <w:r>
        <w:rPr>
          <w:rFonts w:ascii="Times New Roman" w:hAnsi="Times New Roman" w:eastAsia="Times New Roman" w:cs="Times New Roman"/>
          <w:color w:val="000000" w:themeColor="text1"/>
          <w:sz w:val="24"/>
        </w:rPr>
        <w:t xml:space="preserve"> nhận rõ tình trạng quy hoạch thì kết quả thẩm định giá cần được xem xét, điều chỉnh phù hợp, đồng thời chúng tôi bảo lưu quyền xem xét lại kết quả thẩm định giá.</w:t>
      </w:r>
      <w:r>
        <w:rPr>
          <w:rFonts w:ascii="Times New Roman" w:hAnsi="Times New Roman" w:eastAsia="Times New Roman" w:cs="Times New Roman"/>
          <w:color w:val="000000" w:themeColor="text1"/>
          <w:highlight w:val="none"/>
          <w:lang w:val="pt-BR"/>
        </w:rPr>
      </w:r>
      <w:r>
        <w:rPr>
          <w:rFonts w:ascii="Times New Roman" w:hAnsi="Times New Roman" w:eastAsia="Times New Roman" w:cs="Times New Roman"/>
          <w:color w:val="000000" w:themeColor="text1"/>
          <w:sz w:val="24"/>
        </w:rPr>
      </w:r>
    </w:p>
    <w:p>
      <w:pPr>
        <w:pStyle w:val="1027"/>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7"/>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7"/>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7"/>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7"/>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7"/>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7"/>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7"/>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tabs>
          <w:tab w:val="left" w:leader="none" w:pos="993"/>
        </w:tabs>
        <w:spacing w:after="120" w:before="120" w:line="288" w:lineRule="auto"/>
        <w:ind/>
        <w:jc w:val="both"/>
        <w:rPr>
          <w:lang w:val="pt-BR"/>
        </w:rPr>
      </w:pPr>
      <w:r>
        <w:rPr>
          <w:lang w:val="pt-BR"/>
        </w:rPr>
      </w:r>
      <w:r>
        <w:rPr>
          <w:lang w:val="pt-BR"/>
        </w:rPr>
      </w:r>
      <w:r>
        <w:rPr>
          <w:lang w:val="pt-BR"/>
        </w:rPr>
      </w:r>
    </w:p>
    <w:p>
      <w:pPr>
        <w:pBdr/>
        <w:tabs>
          <w:tab w:val="left" w:leader="none" w:pos="993"/>
        </w:tabs>
        <w:spacing w:after="120" w:before="120" w:line="288" w:lineRule="auto"/>
        <w:ind/>
        <w:jc w:val="both"/>
        <w:rPr>
          <w:lang w:val="pt-BR"/>
        </w:rPr>
      </w:pPr>
      <w:r>
        <w:rPr>
          <w:lang w:val="pt-BR"/>
        </w:rPr>
      </w:r>
      <w:r>
        <w:rPr>
          <w:lang w:val="pt-BR"/>
        </w:rPr>
      </w:r>
      <w:r>
        <w:rPr>
          <w:lang w:val="pt-BR"/>
        </w:rPr>
      </w:r>
    </w:p>
    <w:p>
      <w:pPr>
        <w:pBdr/>
        <w:tabs>
          <w:tab w:val="left" w:leader="none" w:pos="993"/>
        </w:tabs>
        <w:spacing w:after="120" w:before="120" w:line="288" w:lineRule="auto"/>
        <w:ind/>
        <w:jc w:val="both"/>
        <w:rPr>
          <w:lang w:val="pt-BR"/>
        </w:rPr>
      </w:pPr>
      <w:r>
        <w:rPr>
          <w:lang w:val="pt-BR"/>
        </w:rPr>
      </w:r>
      <w:r>
        <w:rPr>
          <w:lang w:val="pt-BR"/>
        </w:rPr>
      </w:r>
      <w:r>
        <w:rPr>
          <w:lang w:val="pt-BR"/>
        </w:rPr>
      </w:r>
    </w:p>
    <w:p>
      <w:pPr>
        <w:pBdr/>
        <w:tabs>
          <w:tab w:val="left" w:leader="none" w:pos="993"/>
        </w:tabs>
        <w:spacing w:after="120" w:before="120" w:line="288" w:lineRule="auto"/>
        <w:ind/>
        <w:jc w:val="both"/>
        <w:rPr>
          <w:lang w:val="pt-BR"/>
        </w:rPr>
      </w:pPr>
      <w:r>
        <w:rPr>
          <w:lang w:val="pt-BR"/>
        </w:rPr>
      </w:r>
      <w:r>
        <w:rPr>
          <w:lang w:val="pt-BR"/>
        </w:rPr>
      </w:r>
      <w:r>
        <w:rPr>
          <w:lang w:val="pt-BR"/>
        </w:rPr>
      </w:r>
    </w:p>
    <w:p>
      <w:pPr>
        <w:pBdr/>
        <w:tabs>
          <w:tab w:val="left" w:leader="none" w:pos="993"/>
        </w:tabs>
        <w:spacing w:after="120" w:before="120" w:line="288" w:lineRule="auto"/>
        <w:ind/>
        <w:jc w:val="both"/>
        <w:rPr>
          <w:lang w:val="pt-BR"/>
        </w:rPr>
      </w:pPr>
      <w:r>
        <w:rPr>
          <w:lang w:val="pt-BR"/>
        </w:rPr>
      </w:r>
      <w:r>
        <w:rPr>
          <w:lang w:val="pt-BR"/>
        </w:rPr>
      </w:r>
      <w:r>
        <w:rPr>
          <w:lang w:val="pt-BR"/>
        </w:rPr>
      </w:r>
    </w:p>
    <w:p>
      <w:pPr>
        <w:pBdr/>
        <w:tabs>
          <w:tab w:val="left" w:leader="none" w:pos="993"/>
        </w:tabs>
        <w:spacing w:after="120" w:before="120" w:line="288" w:lineRule="auto"/>
        <w:ind/>
        <w:jc w:val="both"/>
        <w:rPr>
          <w:lang w:val="pt-BR"/>
        </w:rPr>
      </w:pPr>
      <w:r>
        <w:rPr>
          <w:lang w:val="pt-BR"/>
        </w:rPr>
      </w:r>
      <w:r>
        <w:rPr>
          <w:lang w:val="pt-BR"/>
        </w:rPr>
      </w:r>
      <w:r>
        <w:rPr>
          <w:lang w:val="pt-BR"/>
        </w:rPr>
      </w:r>
    </w:p>
    <w:p>
      <w:pPr>
        <w:pBdr/>
        <w:tabs>
          <w:tab w:val="left" w:leader="none" w:pos="993"/>
        </w:tabs>
        <w:spacing w:after="120" w:before="120" w:line="288" w:lineRule="auto"/>
        <w:ind/>
        <w:jc w:val="both"/>
        <w:rPr>
          <w:lang w:val="pt-BR"/>
        </w:rPr>
      </w:pPr>
      <w:r>
        <w:rPr>
          <w:lang w:val="pt-BR"/>
        </w:rPr>
      </w:r>
      <w:r>
        <w:rPr>
          <w:lang w:val="pt-BR"/>
        </w:rPr>
      </w:r>
      <w:r>
        <w:rPr>
          <w:lang w:val="pt-BR"/>
        </w:rPr>
      </w:r>
    </w:p>
    <w:p>
      <w:pPr>
        <w:pBdr/>
        <w:tabs>
          <w:tab w:val="left" w:leader="none" w:pos="993"/>
        </w:tabs>
        <w:spacing w:after="120" w:before="120" w:line="288" w:lineRule="auto"/>
        <w:ind/>
        <w:jc w:val="both"/>
        <w:rPr>
          <w:lang w:val="pt-BR"/>
        </w:rPr>
      </w:pPr>
      <w:r>
        <w:rPr>
          <w:lang w:val="pt-BR"/>
        </w:rPr>
      </w:r>
      <w:r>
        <w:rPr>
          <w:lang w:val="pt-BR"/>
        </w:rPr>
      </w:r>
      <w:r>
        <w:rPr>
          <w:lang w:val="pt-BR"/>
        </w:rPr>
      </w:r>
    </w:p>
    <w:p>
      <w:pPr>
        <w:pBdr/>
        <w:tabs>
          <w:tab w:val="left" w:leader="none" w:pos="993"/>
        </w:tabs>
        <w:spacing w:after="120" w:before="120" w:line="288" w:lineRule="auto"/>
        <w:ind/>
        <w:jc w:val="both"/>
        <w:rPr>
          <w:lang w:val="pt-BR"/>
        </w:rPr>
      </w:pPr>
      <w:r>
        <w:rPr>
          <w:lang w:val="pt-BR"/>
        </w:rPr>
      </w:r>
      <w:r>
        <w:rPr>
          <w:lang w:val="pt-BR"/>
        </w:rPr>
      </w:r>
      <w:r>
        <w:rPr>
          <w:lang w:val="pt-BR"/>
        </w:rPr>
      </w:r>
    </w:p>
    <w:p>
      <w:pPr>
        <w:pBdr/>
        <w:tabs>
          <w:tab w:val="left" w:leader="none" w:pos="993"/>
        </w:tabs>
        <w:spacing w:after="120" w:before="120" w:line="288" w:lineRule="auto"/>
        <w:ind/>
        <w:jc w:val="both"/>
        <w:rPr>
          <w:lang w:val="pt-BR"/>
        </w:rPr>
      </w:pPr>
      <w:r>
        <w:rPr>
          <w:lang w:val="pt-BR"/>
        </w:rPr>
      </w:r>
      <w:r>
        <w:rPr>
          <w:lang w:val="pt-BR"/>
        </w:rPr>
      </w:r>
      <w:r>
        <w:rPr>
          <w:lang w:val="pt-BR"/>
        </w:rPr>
      </w:r>
    </w:p>
    <w:p>
      <w:pPr>
        <w:pBdr/>
        <w:tabs>
          <w:tab w:val="left" w:leader="none" w:pos="993"/>
        </w:tabs>
        <w:spacing w:after="120" w:before="120" w:line="288" w:lineRule="auto"/>
        <w:ind/>
        <w:jc w:val="both"/>
        <w:rPr>
          <w:lang w:val="pt-BR"/>
        </w:rPr>
      </w:pPr>
      <w:r>
        <w:rPr>
          <w:lang w:val="pt-BR"/>
        </w:rPr>
      </w:r>
      <w:r>
        <w:rPr>
          <w:lang w:val="pt-BR"/>
        </w:rPr>
      </w:r>
      <w:r>
        <w:rPr>
          <w:lang w:val="pt-BR"/>
        </w:rPr>
      </w:r>
    </w:p>
    <w:p>
      <w:pPr>
        <w:pBdr/>
        <w:tabs>
          <w:tab w:val="left" w:leader="none" w:pos="993"/>
        </w:tabs>
        <w:spacing w:after="120" w:before="120" w:line="288" w:lineRule="auto"/>
        <w:ind/>
        <w:jc w:val="both"/>
        <w:rPr>
          <w:lang w:val="pt-BR"/>
        </w:rPr>
      </w:pPr>
      <w:r>
        <w:rPr>
          <w:lang w:val="pt-BR"/>
        </w:rPr>
      </w:r>
      <w:r>
        <w:rPr>
          <w:lang w:val="pt-BR"/>
        </w:rPr>
      </w:r>
      <w:r>
        <w:rPr>
          <w:lang w:val="pt-BR"/>
        </w:rPr>
      </w:r>
    </w:p>
    <w:p>
      <w:pPr>
        <w:pBdr/>
        <w:tabs>
          <w:tab w:val="left" w:leader="none" w:pos="993"/>
        </w:tabs>
        <w:spacing w:after="120" w:before="120" w:line="288" w:lineRule="auto"/>
        <w:ind/>
        <w:jc w:val="both"/>
        <w:rPr>
          <w:lang w:val="pt-BR"/>
        </w:rPr>
      </w:pPr>
      <w:r>
        <w:rPr>
          <w:highlight w:val="none"/>
          <w:lang w:val="pt-BR" w:bidi="pt-BR"/>
        </w:rPr>
      </w:r>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7"/>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7"/>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7"/>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275/2026/0881/VFI-CT.57.A</w:t>
      </w:r>
      <w:r>
        <w:rPr>
          <w:color w:val="ff0000"/>
          <w:lang w:val="vi-VN"/>
        </w:rPr>
        <w:t xml:space="preserve"> </w:t>
      </w:r>
      <w:r>
        <w:rPr>
          <w:color w:val="000000" w:themeColor="text1"/>
        </w:rPr>
        <w:t xml:space="preserve">ngày 11 tháng 6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pPr>
        <w:pStyle w:val="1027"/>
        <w:pBdr/>
        <w:tabs>
          <w:tab w:val="left" w:leader="none" w:pos="993"/>
        </w:tabs>
        <w:spacing w:after="120" w:before="120" w:line="288" w:lineRule="auto"/>
        <w:ind w:left="0"/>
        <w:jc w:val="both"/>
        <w:rPr>
          <w:lang w:val="vi-VN"/>
        </w:rPr>
      </w:pPr>
      <w:r>
        <w:rPr>
          <w:lang w:val="vi-VN"/>
        </w:rPr>
      </w:r>
      <w:r>
        <w:rPr>
          <w:lang w:val="vi-VN"/>
        </w:rPr>
      </w:r>
      <w:r>
        <w:rPr>
          <w:lang w:val="vi-VN"/>
        </w:rPr>
      </w:r>
    </w:p>
    <w:p>
      <w:pPr>
        <w:pStyle w:val="1027"/>
        <w:pBdr/>
        <w:tabs>
          <w:tab w:val="left" w:leader="none" w:pos="993"/>
        </w:tabs>
        <w:spacing w:after="120" w:before="120" w:line="288" w:lineRule="auto"/>
        <w:ind w:left="0"/>
        <w:jc w:val="both"/>
        <w:rPr>
          <w:lang w:val="vi-VN"/>
        </w:rPr>
      </w:pPr>
      <w:r>
        <w:rPr>
          <w:lang w:val="vi-VN"/>
        </w:rPr>
      </w:r>
      <w:r>
        <w:rPr>
          <w:lang w:val="vi-VN"/>
        </w:rPr>
      </w:r>
      <w:r>
        <w:rPr>
          <w:lang w:val="vi-VN"/>
        </w:rPr>
      </w:r>
    </w:p>
    <w:p>
      <w:pPr>
        <w:pStyle w:val="1027"/>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Minh Phúc</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275/2026/0881/VFI-BC.57.A</w:t>
      </w:r>
      <w:r>
        <w:rPr>
          <w:i/>
          <w:lang w:val="pt-BR"/>
        </w:rPr>
        <w:t xml:space="preserve"> </w:t>
      </w:r>
      <w:r>
        <w:rPr>
          <w:i/>
          <w:lang w:val="pt-BR"/>
        </w:rPr>
        <w:t xml:space="preserve">11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333231" cy="2882285"/>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740826" name=""/>
                              <pic:cNvPicPr>
                                <a:picLocks noChangeAspect="1"/>
                              </pic:cNvPicPr>
                              <pic:nvPr/>
                            </pic:nvPicPr>
                            <pic:blipFill rotWithShape="1">
                              <a:blip r:embed="rId19"/>
                              <a:stretch/>
                            </pic:blipFill>
                            <pic:spPr bwMode="auto">
                              <a:xfrm flipH="0" flipV="0">
                                <a:off x="0" y="0"/>
                                <a:ext cx="1333230" cy="28822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04.98pt;height:226.95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045963" cy="2727951"/>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869415" name=""/>
                              <pic:cNvPicPr>
                                <a:picLocks noChangeAspect="1"/>
                              </pic:cNvPicPr>
                              <pic:nvPr/>
                            </pic:nvPicPr>
                            <pic:blipFill rotWithShape="1">
                              <a:blip r:embed="rId20"/>
                              <a:stretch/>
                            </pic:blipFill>
                            <pic:spPr bwMode="auto">
                              <a:xfrm flipH="0" flipV="0">
                                <a:off x="0" y="0"/>
                                <a:ext cx="2045962" cy="27279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61.10pt;height:214.8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Chủ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55873" cy="2066905"/>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153540" name=""/>
                              <pic:cNvPicPr>
                                <a:picLocks noChangeAspect="1"/>
                              </pic:cNvPicPr>
                              <pic:nvPr/>
                            </pic:nvPicPr>
                            <pic:blipFill rotWithShape="1">
                              <a:blip r:embed="rId21"/>
                              <a:stretch/>
                            </pic:blipFill>
                            <pic:spPr bwMode="auto">
                              <a:xfrm flipH="0" flipV="0">
                                <a:off x="0" y="0"/>
                                <a:ext cx="2755873" cy="206690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7.00pt;height:162.75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06318" cy="2235813"/>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15556" name=""/>
                              <pic:cNvPicPr>
                                <a:picLocks noChangeAspect="1"/>
                              </pic:cNvPicPr>
                              <pic:nvPr/>
                            </pic:nvPicPr>
                            <pic:blipFill rotWithShape="1">
                              <a:blip r:embed="rId22"/>
                              <a:stretch/>
                            </pic:blipFill>
                            <pic:spPr bwMode="auto">
                              <a:xfrm flipH="0" flipV="0">
                                <a:off x="0" y="0"/>
                                <a:ext cx="3006317" cy="223581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36.72pt;height:176.05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79735" cy="2074206"/>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346881" name=""/>
                              <pic:cNvPicPr>
                                <a:picLocks noChangeAspect="1"/>
                              </pic:cNvPicPr>
                              <pic:nvPr/>
                            </pic:nvPicPr>
                            <pic:blipFill rotWithShape="1">
                              <a:blip r:embed="rId23"/>
                              <a:stretch/>
                            </pic:blipFill>
                            <pic:spPr bwMode="auto">
                              <a:xfrm flipH="0" flipV="0">
                                <a:off x="0" y="0"/>
                                <a:ext cx="2779734" cy="207420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8.88pt;height:163.32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49513" cy="2132671"/>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55553" name=""/>
                              <pic:cNvPicPr>
                                <a:picLocks noChangeAspect="1"/>
                              </pic:cNvPicPr>
                              <pic:nvPr/>
                            </pic:nvPicPr>
                            <pic:blipFill rotWithShape="1">
                              <a:blip r:embed="rId24"/>
                              <a:stretch/>
                            </pic:blipFill>
                            <pic:spPr bwMode="auto">
                              <a:xfrm flipH="0" flipV="0">
                                <a:off x="0" y="0"/>
                                <a:ext cx="2849513" cy="213267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4.37pt;height:167.93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t xml:space="preserve">                         </w:t>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p>
    <w:p>
      <w:pPr>
        <w:pBdr/>
        <w:spacing/>
        <w:ind/>
        <w:jc w:val="center"/>
        <w:rPr>
          <w:i/>
          <w:lang w:val="pt-BR"/>
        </w:rPr>
      </w:pPr>
      <w:r>
        <w:rPr>
          <w:i/>
          <w:lang w:val="pt-BR"/>
        </w:rPr>
        <w:t xml:space="preserve">(Kèm theo Báo cáo thẩm định số </w:t>
      </w:r>
      <w:r>
        <w:rPr>
          <w:i/>
        </w:rPr>
        <w:t xml:space="preserve">275/2026/0881/VFI-BC.57.A</w:t>
      </w:r>
      <w:r>
        <w:rPr>
          <w:i/>
          <w:lang w:val="pt-BR"/>
        </w:rPr>
        <w:t xml:space="preserve"> </w:t>
      </w:r>
      <w:r>
        <w:rPr>
          <w:i/>
          <w:lang w:val="pt-BR"/>
        </w:rPr>
        <w:t xml:space="preserve">11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3506"/>
        <w:gridCol w:w="5481"/>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https://www.facebook.com/groups/batdongsanhaiphong.vn/permalink/4514791778790466/</w:t>
            </w:r>
            <w:r>
              <w:rPr>
                <w:color w:val="000000" w:themeColor="text1"/>
                <w:sz w:val="22"/>
                <w:szCs w:val="22"/>
              </w:rPr>
              <w:br/>
              <w:t xml:space="preserve">0369.589.862</w:t>
            </w:r>
            <w:r>
              <w:rPr>
                <w:sz w:val="22"/>
                <w:szCs w:val="22"/>
              </w:rPr>
              <w:t xml:space="preserve"> </w:t>
            </w:r>
            <w:r>
              <w:rPr>
                <w:sz w:val="22"/>
                <w:szCs w:val="22"/>
              </w:rPr>
              <w:br/>
              <w:t xml:space="preserve">(Sale Lê Hoa</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2.780.000.000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2.363.000.000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(40m²)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Kiến An, Thành phố Hải Phòng, khoảng cách ra đường chính khoảng 400m</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40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506"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481"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159340" cy="1702227"/>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flipH="0" flipV="0">
                                <a:off x="0" y="0"/>
                                <a:ext cx="2159339" cy="170222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70.03pt;height:134.03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149358" cy="1877279"/>
                      <wp:effectExtent l="0" t="0" r="0" b="0"/>
                      <wp:docPr id="14" name=""/>
                      <wp:cNvGraphicFramePr/>
                      <a:graphic xmlns:a="http://schemas.openxmlformats.org/drawingml/2006/main">
                        <a:graphicData uri="http://schemas.openxmlformats.org/drawingml/2006/picture">
                          <pic:pic xmlns:pic="http://schemas.openxmlformats.org/drawingml/2006/picture">
                            <pic:nvPicPr>
                              <pic:cNvPr id="2067857290" name="" descr=""/>
                              <pic:cNvPicPr/>
                              <pic:nvPr/>
                            </pic:nvPicPr>
                            <pic:blipFill rotWithShape="1">
                              <a:blip r:embed="rId26"/>
                              <a:stretch/>
                            </pic:blipFill>
                            <pic:spPr bwMode="auto">
                              <a:xfrm flipH="0" flipV="0">
                                <a:off x="0" y="0"/>
                                <a:ext cx="1149357" cy="187727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90.50pt;height:147.82pt;mso-wrap-distance-left:0.00pt;mso-wrap-distance-top:0.00pt;mso-wrap-distance-right:0.00pt;mso-wrap-distance-bottom:0.00pt;z-index:1;" stroked="false">
                      <v:imagedata r:id="rId26"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Nguyễn Minh Phúc</w:t>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t xml:space="preserve">                                                                      </w:t>
      </w: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3081"/>
        <w:gridCol w:w="5906"/>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https://www.facebook.com/groups/batdongsanhaiphong.vn/permalink/4521354241467553/</w:t>
            </w:r>
            <w:r>
              <w:rPr>
                <w:color w:val="000000" w:themeColor="text1"/>
                <w:sz w:val="22"/>
                <w:szCs w:val="22"/>
              </w:rPr>
              <w:br/>
              <w:t xml:space="preserve">0945.106.683</w:t>
            </w:r>
            <w:r>
              <w:rPr>
                <w:sz w:val="22"/>
                <w:szCs w:val="22"/>
              </w:rPr>
              <w:t xml:space="preserve"> </w:t>
            </w:r>
            <w:r>
              <w:rPr>
                <w:sz w:val="22"/>
                <w:szCs w:val="22"/>
              </w:rPr>
              <w:br/>
              <w:t xml:space="preserve">(Sale Phạm Lan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4.000.000.000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3.400.000.000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(60m²)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Kiến An, Thành phố Hải Phòng, khoảng cách ra đường chính khoảng 400m</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60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406990" cy="1705049"/>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flipH="0" flipV="0">
                                <a:off x="0" y="0"/>
                                <a:ext cx="2406989" cy="170504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89.53pt;height:134.26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625728" cy="1778147"/>
                      <wp:effectExtent l="0" t="0" r="0" b="0"/>
                      <wp:docPr id="16" name=""/>
                      <wp:cNvGraphicFramePr/>
                      <a:graphic xmlns:a="http://schemas.openxmlformats.org/drawingml/2006/main">
                        <a:graphicData uri="http://schemas.openxmlformats.org/drawingml/2006/picture">
                          <pic:pic xmlns:pic="http://schemas.openxmlformats.org/drawingml/2006/picture">
                            <pic:nvPicPr>
                              <pic:cNvPr id="1466744238" name="" descr=""/>
                              <pic:cNvPicPr/>
                              <pic:nvPr/>
                            </pic:nvPicPr>
                            <pic:blipFill rotWithShape="1">
                              <a:blip r:embed="rId28"/>
                              <a:stretch/>
                            </pic:blipFill>
                            <pic:spPr bwMode="auto">
                              <a:xfrm flipH="0" flipV="0">
                                <a:off x="0" y="0"/>
                                <a:ext cx="2625728" cy="177814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06.75pt;height:140.01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Minh Phúc</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t xml:space="preserve">                                                                          </w:t>
      </w:r>
      <w:r>
        <w:rPr>
          <w:b/>
          <w:bCs/>
          <w:iCs/>
          <w:lang w:val="pt-BR"/>
        </w:rPr>
        <w:t xml:space="preserve">TSSS 3</w:t>
      </w:r>
      <w:r>
        <w:rPr>
          <w:iCs/>
          <w:lang w:val="pt-BR"/>
        </w:rPr>
      </w:r>
      <w:r>
        <w:rPr>
          <w:iCs/>
          <w:lang w:val="pt-BR"/>
        </w:rPr>
      </w:r>
    </w:p>
    <w:tbl>
      <w:tblPr>
        <w:tblW w:w="9619" w:type="dxa"/>
        <w:tblBorders/>
        <w:tblLayout w:type="fixed"/>
        <w:tblLook w:val="04A0" w:firstRow="1" w:lastRow="0" w:firstColumn="1" w:lastColumn="0" w:noHBand="0" w:noVBand="1"/>
      </w:tblPr>
      <w:tblGrid>
        <w:gridCol w:w="632"/>
        <w:gridCol w:w="3081"/>
        <w:gridCol w:w="5906"/>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0941542998</w:t>
            </w:r>
            <w:r>
              <w:rPr>
                <w:sz w:val="22"/>
                <w:szCs w:val="22"/>
              </w:rPr>
              <w:t xml:space="preserve"> </w:t>
            </w:r>
            <w:r>
              <w:rPr>
                <w:sz w:val="22"/>
                <w:szCs w:val="22"/>
              </w:rPr>
              <w:b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4.550.000.000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3.822.000.000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tabs>
                <w:tab w:val="left" w:leader="none" w:pos="3799"/>
              </w:tabs>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(70m²)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Quận Kiến An, Tỉnh Hải Phòng, khoảng cách ra đường chính khoảng 300m</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70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12.50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Nguyễn Minh Phúc</w:t>
            </w:r>
            <w:r>
              <w:rPr>
                <w:b/>
                <w:bCs/>
              </w:rPr>
            </w:r>
            <w:r>
              <w:rPr>
                <w:b/>
                <w:bCs/>
              </w:rPr>
            </w:r>
          </w:p>
        </w:tc>
      </w:tr>
    </w:tbl>
    <w:p>
      <w:pPr>
        <w:pBdr/>
        <w:spacing w:after="200" w:line="276" w:lineRule="auto"/>
        <w:ind/>
        <w:rPr>
          <w:lang w:val="pt-BR"/>
        </w:rPr>
      </w:pPr>
      <w:r>
        <w:rPr>
          <w:iCs/>
          <w:lang w:val="pt-BR"/>
        </w:rPr>
      </w:r>
      <w:r>
        <w:rPr>
          <w:lang w:val="pt-BR"/>
        </w:rPr>
      </w:r>
      <w:r>
        <w:rPr>
          <w:lang w:val="pt-BR"/>
        </w:rPr>
      </w:r>
    </w:p>
    <w:p>
      <w:pPr>
        <w:pBdr/>
        <w:spacing w:after="200" w:line="276" w:lineRule="auto"/>
        <w:ind/>
        <w:rPr>
          <w:iCs/>
          <w:highlight w:val="none"/>
          <w:lang w:val="pt-BR"/>
        </w:rPr>
      </w:pPr>
      <w:r>
        <w:rPr>
          <w:iCs/>
          <w:lang w:val="pt-BR"/>
        </w:rPr>
        <w:t xml:space="preserve">                                                             HỒ SƠ PHÁP LÝ</w:t>
      </w:r>
      <w:r>
        <w:rPr>
          <w:iCs/>
          <w:highlight w:val="none"/>
          <w:lang w:val="pt-BR"/>
        </w:rPr>
      </w:r>
      <w:r>
        <w:rPr>
          <w:iCs/>
          <w:highlight w:val="none"/>
          <w:lang w:val="pt-BR"/>
        </w:rPr>
      </w:r>
    </w:p>
    <w:p>
      <w:pPr>
        <w:pBdr/>
        <w:spacing w:after="200" w:line="276" w:lineRule="auto"/>
        <w:ind/>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8119603" cy="5758413"/>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7519" name=""/>
                        <pic:cNvPicPr>
                          <a:picLocks noChangeAspect="1"/>
                        </pic:cNvPicPr>
                        <pic:nvPr/>
                      </pic:nvPicPr>
                      <pic:blipFill rotWithShape="1">
                        <a:blip r:embed="rId30"/>
                        <a:stretch/>
                      </pic:blipFill>
                      <pic:spPr bwMode="auto">
                        <a:xfrm rot="16199969" flipH="0" flipV="0">
                          <a:off x="0" y="0"/>
                          <a:ext cx="8119603" cy="575841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639.34pt;height:453.42pt;mso-wrap-distance-left:0.00pt;mso-wrap-distance-top:0.00pt;mso-wrap-distance-right:0.00pt;mso-wrap-distance-bottom:0.00pt;rotation:269;z-index:1;" stroked="false">
                <v:imagedata r:id="rId30" o:title=""/>
                <o:lock v:ext="edit" rotation="t"/>
              </v:shape>
            </w:pict>
          </mc:Fallback>
        </mc:AlternateContent>
      </w:r>
      <w:r>
        <w:rPr>
          <w:highlight w:val="none"/>
          <w:lang w:val="pt-BR" w:bidi="pt-BR"/>
        </w:rPr>
      </w:r>
      <w:r>
        <w:rPr>
          <w:highlight w:val="none"/>
          <w:lang w:val="pt-BR" w:bidi="pt-BR"/>
        </w:rPr>
      </w:r>
    </w:p>
    <w:p>
      <w:pPr>
        <w:pBdr/>
        <w:spacing w:after="200" w:line="276" w:lineRule="auto"/>
        <w:ind/>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8171910" cy="5955144"/>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511317" name=""/>
                        <pic:cNvPicPr>
                          <a:picLocks noChangeAspect="1"/>
                        </pic:cNvPicPr>
                        <pic:nvPr/>
                      </pic:nvPicPr>
                      <pic:blipFill rotWithShape="1">
                        <a:blip r:embed="rId31"/>
                        <a:stretch/>
                      </pic:blipFill>
                      <pic:spPr bwMode="auto">
                        <a:xfrm rot="16199969" flipH="0" flipV="0">
                          <a:off x="0" y="0"/>
                          <a:ext cx="8171910" cy="595514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643.46pt;height:468.91pt;mso-wrap-distance-left:0.00pt;mso-wrap-distance-top:0.00pt;mso-wrap-distance-right:0.00pt;mso-wrap-distance-bottom:0.00pt;rotation:269;z-index:1;" stroked="false">
                <v:imagedata r:id="rId31" o:title=""/>
                <o:lock v:ext="edit" rotation="t"/>
              </v:shape>
            </w:pict>
          </mc:Fallback>
        </mc:AlternateContent>
      </w:r>
      <w:r>
        <w:rPr>
          <w:highlight w:val="none"/>
          <w:lang w:val="pt-BR" w:bidi="pt-BR"/>
        </w:rPr>
      </w:r>
      <w:r>
        <w:rPr>
          <w:highlight w:val="none"/>
          <w:lang w:val="pt-BR" w:bidi="pt-BR"/>
        </w:rPr>
      </w:r>
    </w:p>
    <w:p>
      <w:pPr>
        <w:pBdr/>
        <w:spacing w:after="200" w:line="276" w:lineRule="auto"/>
        <w:ind/>
        <w:rPr>
          <w:lang w:val="pt-BR"/>
        </w:rPr>
      </w:pPr>
      <w:r>
        <w:rPr>
          <w:lang w:val="pt-BR"/>
        </w:rPr>
      </w:r>
      <w:r>
        <w:rPr>
          <w:lang w:val="pt-BR"/>
        </w:rPr>
      </w:r>
      <w:r>
        <w:rPr>
          <w:lang w:val="pt-BR"/>
        </w:rPr>
      </w:r>
    </w:p>
    <w:p>
      <w:pPr>
        <w:pBdr/>
        <w:spacing w:after="200" w:line="276" w:lineRule="auto"/>
        <w:ind/>
        <w:rPr>
          <w:lang w:val="pt-BR"/>
        </w:rPr>
      </w:pPr>
      <w:r>
        <w:rPr>
          <w:lang w:val="pt-BR"/>
        </w:rPr>
      </w:r>
      <w:r>
        <w:rPr>
          <w:lang w:val="pt-BR"/>
        </w:rPr>
      </w:r>
      <w:r>
        <w:rPr>
          <w:lang w:val="pt-BR"/>
        </w:rPr>
      </w:r>
    </w:p>
    <w:p>
      <w:pPr>
        <w:pBdr/>
        <w:spacing w:after="200" w:line="276" w:lineRule="auto"/>
        <w:ind/>
        <w:rPr>
          <w:lang w:val="pt-BR"/>
        </w:rPr>
      </w:pPr>
      <w:r>
        <w:rPr>
          <w:lang w:val="pt-BR"/>
        </w:rPr>
      </w:r>
      <w:r>
        <w:rPr>
          <w:lang w:val="pt-BR"/>
        </w:rPr>
      </w:r>
      <w:r>
        <w:rPr>
          <w:lang w:val="pt-BR"/>
        </w:rPr>
      </w:r>
    </w:p>
    <w:p>
      <w:pPr>
        <w:pBdr/>
        <w:spacing w:after="200" w:line="276" w:lineRule="auto"/>
        <w:ind/>
        <w:rPr>
          <w:highlight w:val="none"/>
          <w:lang w:val="pt-BR" w:bidi="pt-BR"/>
        </w:rPr>
      </w:pPr>
      <w:r>
        <w:rPr>
          <w:iCs/>
          <w:highlight w:val="none"/>
          <w:lang w:val="pt-BR" w:bidi="pt-BR"/>
        </w:rPr>
        <w:t xml:space="preserve">                                                        BIÊN BẢN KHẢO SÁT</w:t>
      </w:r>
      <w:r>
        <w:rPr>
          <w:highlight w:val="none"/>
          <w:lang w:val="pt-BR" w:bidi="pt-BR"/>
        </w:rPr>
      </w:r>
      <w:r>
        <w:rPr>
          <w:highlight w:val="none"/>
          <w:lang w:val="pt-BR" w:bidi="pt-BR"/>
        </w:rPr>
      </w:r>
    </w:p>
    <w:p>
      <w:pPr>
        <w:pBdr/>
        <w:spacing w:after="200" w:line="276" w:lineRule="auto"/>
        <w:ind/>
        <w:rPr>
          <w:lang w:val="pt-BR"/>
        </w:rPr>
      </w:pPr>
      <w:r>
        <w:rPr>
          <w:iCs/>
          <w:highlight w:val="none"/>
          <w:lang w:val="pt-BR" w:bidi="pt-BR"/>
        </w:rPr>
      </w:r>
      <w:r>
        <mc:AlternateContent>
          <mc:Choice Requires="wpg">
            <w:drawing>
              <wp:inline xmlns:wp="http://schemas.openxmlformats.org/drawingml/2006/wordprocessingDrawing" distT="0" distB="0" distL="0" distR="0">
                <wp:extent cx="6048375" cy="806450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098719" name=""/>
                        <pic:cNvPicPr>
                          <a:picLocks noChangeAspect="1"/>
                        </pic:cNvPicPr>
                        <pic:nvPr/>
                      </pic:nvPicPr>
                      <pic:blipFill rotWithShape="1">
                        <a:blip r:embed="rId32"/>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635.00pt;mso-wrap-distance-left:0.00pt;mso-wrap-distance-top:0.00pt;mso-wrap-distance-right:0.00pt;mso-wrap-distance-bottom:0.00pt;z-index:1;" stroked="false">
                <v:imagedata r:id="rId32" o:title=""/>
                <o:lock v:ext="edit" rotation="t"/>
              </v:shape>
            </w:pict>
          </mc:Fallback>
        </mc:AlternateContent>
      </w:r>
      <w:r>
        <w:rPr>
          <w:lang w:val="pt-BR"/>
        </w:rPr>
      </w:r>
      <w:r>
        <w:rPr>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Nguyễn Thị Thùy Dương" w:date="2026-06-12T11:33:15Z" w:initials="NTTD">
    <w:p w14:paraId="00000001" w14:textId="00000001">
      <w:pPr>
        <w:spacing w:line="240" w:after="0" w:lineRule="auto" w:before="0"/>
        <w:ind w:firstLine="0" w:left="0" w:right="0"/>
        <w:jc w:val="left"/>
      </w:pPr>
      <w:r>
        <w:rPr>
          <w:rFonts w:eastAsia="Arial" w:ascii="Arial" w:hAnsi="Arial" w:cs="Arial"/>
          <w:sz w:val="22"/>
        </w:rPr>
        <w:t xml:space="preserve">Ngày 9</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4AACAA7D" w16cex:dateUtc="2026-06-12T04:33:15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4AACAA7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56F89EA7"/>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10F0772B"/>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9">
    <w:nsid w:val="3CF425E8"/>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9">
    <w:name w:val="Table Grid Light"/>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1"/>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2"/>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3"/>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4"/>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5"/>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w:basedOn w:val="10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w:basedOn w:val="10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1"/>
    <w:basedOn w:val="10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2"/>
    <w:basedOn w:val="10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3"/>
    <w:basedOn w:val="10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4"/>
    <w:basedOn w:val="10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5"/>
    <w:basedOn w:val="10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6"/>
    <w:basedOn w:val="10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1"/>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2"/>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3"/>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4"/>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5"/>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6"/>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1">
    <w:name w:val="Grid Table 6 Colorful - Accent 1"/>
    <w:basedOn w:val="10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2">
    <w:name w:val="Grid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3">
    <w:name w:val="Grid Table 6 Colorful - Accent 3"/>
    <w:basedOn w:val="10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4">
    <w:name w:val="Grid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5">
    <w:name w:val="Grid Table 6 Colorful - Accent 5"/>
    <w:basedOn w:val="10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6 Colorful - Accent 6"/>
    <w:basedOn w:val="10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7 Colorful"/>
    <w:basedOn w:val="10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1"/>
    <w:basedOn w:val="10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5"/>
    <w:basedOn w:val="10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6"/>
    <w:basedOn w:val="10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1"/>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2"/>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3"/>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4"/>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5"/>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6"/>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w:basedOn w:val="10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1"/>
    <w:basedOn w:val="10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2"/>
    <w:basedOn w:val="10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3"/>
    <w:basedOn w:val="10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4"/>
    <w:basedOn w:val="10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5"/>
    <w:basedOn w:val="10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6"/>
    <w:basedOn w:val="10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1"/>
    <w:basedOn w:val="10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3"/>
    <w:basedOn w:val="10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5"/>
    <w:basedOn w:val="10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6"/>
    <w:basedOn w:val="10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1"/>
    <w:basedOn w:val="10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2"/>
    <w:basedOn w:val="10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3"/>
    <w:basedOn w:val="10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4"/>
    <w:basedOn w:val="10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5"/>
    <w:basedOn w:val="10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6"/>
    <w:basedOn w:val="10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5 Dark"/>
    <w:basedOn w:val="10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1"/>
    <w:basedOn w:val="10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2"/>
    <w:basedOn w:val="10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3"/>
    <w:basedOn w:val="10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4"/>
    <w:basedOn w:val="10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5"/>
    <w:basedOn w:val="10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6"/>
    <w:basedOn w:val="10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1"/>
    <w:basedOn w:val="10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3"/>
    <w:basedOn w:val="10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5"/>
    <w:basedOn w:val="10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6"/>
    <w:basedOn w:val="10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7 Colorful"/>
    <w:basedOn w:val="10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7">
    <w:name w:val="List Table 7 Colorful - Accent 1"/>
    <w:basedOn w:val="10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8">
    <w:name w:val="List Table 7 Colorful - Accent 2"/>
    <w:basedOn w:val="10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9">
    <w:name w:val="List Table 7 Colorful - Accent 3"/>
    <w:basedOn w:val="10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0">
    <w:name w:val="List Table 7 Colorful - Accent 4"/>
    <w:basedOn w:val="10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1">
    <w:name w:val="List Table 7 Colorful - Accent 5"/>
    <w:basedOn w:val="10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2">
    <w:name w:val="List Table 7 Colorful - Accent 6"/>
    <w:basedOn w:val="10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3">
    <w:name w:val="Lined - Accent"/>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1"/>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2"/>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3"/>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4"/>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5"/>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6"/>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w:basedOn w:val="10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1"/>
    <w:basedOn w:val="10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2"/>
    <w:basedOn w:val="10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3"/>
    <w:basedOn w:val="10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4"/>
    <w:basedOn w:val="10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5"/>
    <w:basedOn w:val="10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6"/>
    <w:basedOn w:val="10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w:basedOn w:val="10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4">
    <w:name w:val="Heading 5"/>
    <w:basedOn w:val="1005"/>
    <w:next w:val="1005"/>
    <w:link w:val="96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5">
    <w:name w:val="Heading 6"/>
    <w:basedOn w:val="1005"/>
    <w:next w:val="1005"/>
    <w:link w:val="97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6">
    <w:name w:val="Heading 7"/>
    <w:basedOn w:val="1005"/>
    <w:next w:val="1005"/>
    <w:link w:val="97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7">
    <w:name w:val="Heading 8"/>
    <w:basedOn w:val="1005"/>
    <w:next w:val="1005"/>
    <w:link w:val="97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8">
    <w:name w:val="Heading 9"/>
    <w:basedOn w:val="1005"/>
    <w:next w:val="1005"/>
    <w:link w:val="97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9">
    <w:name w:val="Heading 5 Char"/>
    <w:basedOn w:val="1010"/>
    <w:link w:val="964"/>
    <w:uiPriority w:val="9"/>
    <w:pPr>
      <w:pBdr/>
      <w:spacing/>
      <w:ind/>
    </w:pPr>
    <w:rPr>
      <w:rFonts w:ascii="Arial" w:hAnsi="Arial" w:eastAsia="Arial" w:cs="Arial"/>
      <w:color w:val="0f4761" w:themeColor="accent1" w:themeShade="BF"/>
    </w:rPr>
  </w:style>
  <w:style w:type="character" w:styleId="970">
    <w:name w:val="Heading 6 Char"/>
    <w:basedOn w:val="1010"/>
    <w:link w:val="965"/>
    <w:uiPriority w:val="9"/>
    <w:pPr>
      <w:pBdr/>
      <w:spacing/>
      <w:ind/>
    </w:pPr>
    <w:rPr>
      <w:rFonts w:ascii="Arial" w:hAnsi="Arial" w:eastAsia="Arial" w:cs="Arial"/>
      <w:i/>
      <w:iCs/>
      <w:color w:val="595959" w:themeColor="text1" w:themeTint="A6"/>
    </w:rPr>
  </w:style>
  <w:style w:type="character" w:styleId="971">
    <w:name w:val="Heading 7 Char"/>
    <w:basedOn w:val="1010"/>
    <w:link w:val="966"/>
    <w:uiPriority w:val="9"/>
    <w:pPr>
      <w:pBdr/>
      <w:spacing/>
      <w:ind/>
    </w:pPr>
    <w:rPr>
      <w:rFonts w:ascii="Arial" w:hAnsi="Arial" w:eastAsia="Arial" w:cs="Arial"/>
      <w:color w:val="595959" w:themeColor="text1" w:themeTint="A6"/>
    </w:rPr>
  </w:style>
  <w:style w:type="character" w:styleId="972">
    <w:name w:val="Heading 8 Char"/>
    <w:basedOn w:val="1010"/>
    <w:link w:val="967"/>
    <w:uiPriority w:val="9"/>
    <w:pPr>
      <w:pBdr/>
      <w:spacing/>
      <w:ind/>
    </w:pPr>
    <w:rPr>
      <w:rFonts w:ascii="Arial" w:hAnsi="Arial" w:eastAsia="Arial" w:cs="Arial"/>
      <w:i/>
      <w:iCs/>
      <w:color w:val="272727" w:themeColor="text1" w:themeTint="D8"/>
    </w:rPr>
  </w:style>
  <w:style w:type="character" w:styleId="973">
    <w:name w:val="Heading 9 Char"/>
    <w:basedOn w:val="1010"/>
    <w:link w:val="968"/>
    <w:uiPriority w:val="9"/>
    <w:pPr>
      <w:pBdr/>
      <w:spacing/>
      <w:ind/>
    </w:pPr>
    <w:rPr>
      <w:rFonts w:ascii="Arial" w:hAnsi="Arial" w:eastAsia="Arial" w:cs="Arial"/>
      <w:i/>
      <w:iCs/>
      <w:color w:val="272727" w:themeColor="text1" w:themeTint="D8"/>
    </w:rPr>
  </w:style>
  <w:style w:type="paragraph" w:styleId="974">
    <w:name w:val="Subtitle"/>
    <w:basedOn w:val="1005"/>
    <w:next w:val="1005"/>
    <w:link w:val="975"/>
    <w:uiPriority w:val="11"/>
    <w:qFormat/>
    <w:pPr>
      <w:numPr>
        <w:ilvl w:val="1"/>
      </w:numPr>
      <w:pBdr/>
      <w:spacing/>
      <w:ind/>
    </w:pPr>
    <w:rPr>
      <w:color w:val="595959" w:themeColor="text1" w:themeTint="A6"/>
      <w:spacing w:val="15"/>
      <w:sz w:val="28"/>
      <w:szCs w:val="28"/>
    </w:rPr>
  </w:style>
  <w:style w:type="character" w:styleId="975">
    <w:name w:val="Subtitle Char"/>
    <w:basedOn w:val="1010"/>
    <w:link w:val="974"/>
    <w:uiPriority w:val="11"/>
    <w:pPr>
      <w:pBdr/>
      <w:spacing/>
      <w:ind/>
    </w:pPr>
    <w:rPr>
      <w:color w:val="595959" w:themeColor="text1" w:themeTint="A6"/>
      <w:spacing w:val="15"/>
      <w:sz w:val="28"/>
      <w:szCs w:val="28"/>
    </w:rPr>
  </w:style>
  <w:style w:type="paragraph" w:styleId="976">
    <w:name w:val="Quote"/>
    <w:basedOn w:val="1005"/>
    <w:next w:val="1005"/>
    <w:link w:val="977"/>
    <w:uiPriority w:val="29"/>
    <w:qFormat/>
    <w:pPr>
      <w:pBdr/>
      <w:spacing w:before="160"/>
      <w:ind/>
      <w:jc w:val="center"/>
    </w:pPr>
    <w:rPr>
      <w:i/>
      <w:iCs/>
      <w:color w:val="404040" w:themeColor="text1" w:themeTint="BF"/>
    </w:rPr>
  </w:style>
  <w:style w:type="character" w:styleId="977">
    <w:name w:val="Quote Char"/>
    <w:basedOn w:val="1010"/>
    <w:link w:val="976"/>
    <w:uiPriority w:val="29"/>
    <w:pPr>
      <w:pBdr/>
      <w:spacing/>
      <w:ind/>
    </w:pPr>
    <w:rPr>
      <w:i/>
      <w:iCs/>
      <w:color w:val="404040" w:themeColor="text1" w:themeTint="BF"/>
    </w:rPr>
  </w:style>
  <w:style w:type="character" w:styleId="978">
    <w:name w:val="Intense Emphasis"/>
    <w:basedOn w:val="1010"/>
    <w:uiPriority w:val="21"/>
    <w:qFormat/>
    <w:pPr>
      <w:pBdr/>
      <w:spacing/>
      <w:ind/>
    </w:pPr>
    <w:rPr>
      <w:i/>
      <w:iCs/>
      <w:color w:val="0f4761" w:themeColor="accent1" w:themeShade="BF"/>
    </w:rPr>
  </w:style>
  <w:style w:type="paragraph" w:styleId="979">
    <w:name w:val="Intense Quote"/>
    <w:basedOn w:val="1005"/>
    <w:next w:val="1005"/>
    <w:link w:val="98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0">
    <w:name w:val="Intense Quote Char"/>
    <w:basedOn w:val="1010"/>
    <w:link w:val="979"/>
    <w:uiPriority w:val="30"/>
    <w:pPr>
      <w:pBdr/>
      <w:spacing/>
      <w:ind/>
    </w:pPr>
    <w:rPr>
      <w:i/>
      <w:iCs/>
      <w:color w:val="0f4761" w:themeColor="accent1" w:themeShade="BF"/>
    </w:rPr>
  </w:style>
  <w:style w:type="character" w:styleId="981">
    <w:name w:val="Intense Reference"/>
    <w:basedOn w:val="1010"/>
    <w:uiPriority w:val="32"/>
    <w:qFormat/>
    <w:pPr>
      <w:pBdr/>
      <w:spacing/>
      <w:ind/>
    </w:pPr>
    <w:rPr>
      <w:b/>
      <w:bCs/>
      <w:smallCaps/>
      <w:color w:val="0f4761" w:themeColor="accent1" w:themeShade="BF"/>
      <w:spacing w:val="5"/>
    </w:rPr>
  </w:style>
  <w:style w:type="paragraph" w:styleId="982">
    <w:name w:val="No Spacing"/>
    <w:basedOn w:val="1005"/>
    <w:uiPriority w:val="1"/>
    <w:qFormat/>
    <w:pPr>
      <w:pBdr/>
      <w:spacing w:after="0" w:line="240" w:lineRule="auto"/>
      <w:ind/>
    </w:pPr>
  </w:style>
  <w:style w:type="character" w:styleId="983">
    <w:name w:val="Subtle Emphasis"/>
    <w:basedOn w:val="1010"/>
    <w:uiPriority w:val="19"/>
    <w:qFormat/>
    <w:pPr>
      <w:pBdr/>
      <w:spacing/>
      <w:ind/>
    </w:pPr>
    <w:rPr>
      <w:i/>
      <w:iCs/>
      <w:color w:val="404040" w:themeColor="text1" w:themeTint="BF"/>
    </w:rPr>
  </w:style>
  <w:style w:type="character" w:styleId="984">
    <w:name w:val="Subtle Reference"/>
    <w:basedOn w:val="1010"/>
    <w:uiPriority w:val="31"/>
    <w:qFormat/>
    <w:pPr>
      <w:pBdr/>
      <w:spacing/>
      <w:ind/>
    </w:pPr>
    <w:rPr>
      <w:smallCaps/>
      <w:color w:val="5a5a5a" w:themeColor="text1" w:themeTint="A5"/>
    </w:rPr>
  </w:style>
  <w:style w:type="character" w:styleId="985">
    <w:name w:val="Book Title"/>
    <w:basedOn w:val="1010"/>
    <w:uiPriority w:val="33"/>
    <w:qFormat/>
    <w:pPr>
      <w:pBdr/>
      <w:spacing/>
      <w:ind/>
    </w:pPr>
    <w:rPr>
      <w:b/>
      <w:bCs/>
      <w:i/>
      <w:iCs/>
      <w:spacing w:val="5"/>
    </w:rPr>
  </w:style>
  <w:style w:type="paragraph" w:styleId="986">
    <w:name w:val="Caption"/>
    <w:basedOn w:val="1005"/>
    <w:next w:val="1005"/>
    <w:uiPriority w:val="35"/>
    <w:unhideWhenUsed/>
    <w:qFormat/>
    <w:pPr>
      <w:pBdr/>
      <w:spacing w:after="200" w:line="240" w:lineRule="auto"/>
      <w:ind/>
    </w:pPr>
    <w:rPr>
      <w:i/>
      <w:iCs/>
      <w:color w:val="0e2841" w:themeColor="text2"/>
      <w:sz w:val="18"/>
      <w:szCs w:val="18"/>
    </w:rPr>
  </w:style>
  <w:style w:type="paragraph" w:styleId="987">
    <w:name w:val="footnote text"/>
    <w:basedOn w:val="1005"/>
    <w:link w:val="988"/>
    <w:uiPriority w:val="99"/>
    <w:semiHidden/>
    <w:unhideWhenUsed/>
    <w:pPr>
      <w:pBdr/>
      <w:spacing w:after="0" w:line="240" w:lineRule="auto"/>
      <w:ind/>
    </w:pPr>
    <w:rPr>
      <w:sz w:val="20"/>
      <w:szCs w:val="20"/>
    </w:rPr>
  </w:style>
  <w:style w:type="character" w:styleId="988">
    <w:name w:val="Footnote Text Char"/>
    <w:basedOn w:val="1010"/>
    <w:link w:val="987"/>
    <w:uiPriority w:val="99"/>
    <w:semiHidden/>
    <w:pPr>
      <w:pBdr/>
      <w:spacing/>
      <w:ind/>
    </w:pPr>
    <w:rPr>
      <w:sz w:val="20"/>
      <w:szCs w:val="20"/>
    </w:rPr>
  </w:style>
  <w:style w:type="character" w:styleId="989">
    <w:name w:val="footnote reference"/>
    <w:basedOn w:val="1010"/>
    <w:uiPriority w:val="99"/>
    <w:semiHidden/>
    <w:unhideWhenUsed/>
    <w:pPr>
      <w:pBdr/>
      <w:spacing/>
      <w:ind/>
    </w:pPr>
    <w:rPr>
      <w:vertAlign w:val="superscript"/>
    </w:rPr>
  </w:style>
  <w:style w:type="paragraph" w:styleId="990">
    <w:name w:val="endnote text"/>
    <w:basedOn w:val="1005"/>
    <w:link w:val="991"/>
    <w:uiPriority w:val="99"/>
    <w:semiHidden/>
    <w:unhideWhenUsed/>
    <w:pPr>
      <w:pBdr/>
      <w:spacing w:after="0" w:line="240" w:lineRule="auto"/>
      <w:ind/>
    </w:pPr>
    <w:rPr>
      <w:sz w:val="20"/>
      <w:szCs w:val="20"/>
    </w:rPr>
  </w:style>
  <w:style w:type="character" w:styleId="991">
    <w:name w:val="Endnote Text Char"/>
    <w:basedOn w:val="1010"/>
    <w:link w:val="990"/>
    <w:uiPriority w:val="99"/>
    <w:semiHidden/>
    <w:pPr>
      <w:pBdr/>
      <w:spacing/>
      <w:ind/>
    </w:pPr>
    <w:rPr>
      <w:sz w:val="20"/>
      <w:szCs w:val="20"/>
    </w:rPr>
  </w:style>
  <w:style w:type="character" w:styleId="992">
    <w:name w:val="endnote reference"/>
    <w:basedOn w:val="1010"/>
    <w:uiPriority w:val="99"/>
    <w:semiHidden/>
    <w:unhideWhenUsed/>
    <w:pPr>
      <w:pBdr/>
      <w:spacing/>
      <w:ind/>
    </w:pPr>
    <w:rPr>
      <w:vertAlign w:val="superscript"/>
    </w:rPr>
  </w:style>
  <w:style w:type="paragraph" w:styleId="993">
    <w:name w:val="toc 1"/>
    <w:basedOn w:val="1005"/>
    <w:next w:val="1005"/>
    <w:uiPriority w:val="39"/>
    <w:unhideWhenUsed/>
    <w:pPr>
      <w:pBdr/>
      <w:spacing w:after="100"/>
      <w:ind/>
    </w:pPr>
  </w:style>
  <w:style w:type="paragraph" w:styleId="994">
    <w:name w:val="toc 2"/>
    <w:basedOn w:val="1005"/>
    <w:next w:val="1005"/>
    <w:uiPriority w:val="39"/>
    <w:unhideWhenUsed/>
    <w:pPr>
      <w:pBdr/>
      <w:spacing w:after="100"/>
      <w:ind w:left="220"/>
    </w:pPr>
  </w:style>
  <w:style w:type="paragraph" w:styleId="995">
    <w:name w:val="toc 3"/>
    <w:basedOn w:val="1005"/>
    <w:next w:val="1005"/>
    <w:uiPriority w:val="39"/>
    <w:unhideWhenUsed/>
    <w:pPr>
      <w:pBdr/>
      <w:spacing w:after="100"/>
      <w:ind w:left="440"/>
    </w:pPr>
  </w:style>
  <w:style w:type="paragraph" w:styleId="996">
    <w:name w:val="toc 4"/>
    <w:basedOn w:val="1005"/>
    <w:next w:val="1005"/>
    <w:uiPriority w:val="39"/>
    <w:unhideWhenUsed/>
    <w:pPr>
      <w:pBdr/>
      <w:spacing w:after="100"/>
      <w:ind w:left="660"/>
    </w:pPr>
  </w:style>
  <w:style w:type="paragraph" w:styleId="997">
    <w:name w:val="toc 5"/>
    <w:basedOn w:val="1005"/>
    <w:next w:val="1005"/>
    <w:uiPriority w:val="39"/>
    <w:unhideWhenUsed/>
    <w:pPr>
      <w:pBdr/>
      <w:spacing w:after="100"/>
      <w:ind w:left="880"/>
    </w:pPr>
  </w:style>
  <w:style w:type="paragraph" w:styleId="998">
    <w:name w:val="toc 6"/>
    <w:basedOn w:val="1005"/>
    <w:next w:val="1005"/>
    <w:uiPriority w:val="39"/>
    <w:unhideWhenUsed/>
    <w:pPr>
      <w:pBdr/>
      <w:spacing w:after="100"/>
      <w:ind w:left="1100"/>
    </w:pPr>
  </w:style>
  <w:style w:type="paragraph" w:styleId="999">
    <w:name w:val="toc 7"/>
    <w:basedOn w:val="1005"/>
    <w:next w:val="1005"/>
    <w:uiPriority w:val="39"/>
    <w:unhideWhenUsed/>
    <w:pPr>
      <w:pBdr/>
      <w:spacing w:after="100"/>
      <w:ind w:left="1320"/>
    </w:pPr>
  </w:style>
  <w:style w:type="paragraph" w:styleId="1000">
    <w:name w:val="toc 8"/>
    <w:basedOn w:val="1005"/>
    <w:next w:val="1005"/>
    <w:uiPriority w:val="39"/>
    <w:unhideWhenUsed/>
    <w:pPr>
      <w:pBdr/>
      <w:spacing w:after="100"/>
      <w:ind w:left="1540"/>
    </w:pPr>
  </w:style>
  <w:style w:type="paragraph" w:styleId="1001">
    <w:name w:val="toc 9"/>
    <w:basedOn w:val="1005"/>
    <w:next w:val="1005"/>
    <w:uiPriority w:val="39"/>
    <w:unhideWhenUsed/>
    <w:pPr>
      <w:pBdr/>
      <w:spacing w:after="100"/>
      <w:ind w:left="1760"/>
    </w:pPr>
  </w:style>
  <w:style w:type="character" w:styleId="1002">
    <w:name w:val="Placeholder Text"/>
    <w:basedOn w:val="1010"/>
    <w:uiPriority w:val="99"/>
    <w:semiHidden/>
    <w:pPr>
      <w:pBdr/>
      <w:spacing/>
      <w:ind/>
    </w:pPr>
    <w:rPr>
      <w:color w:val="666666"/>
    </w:rPr>
  </w:style>
  <w:style w:type="paragraph" w:styleId="1003">
    <w:name w:val="TOC Heading"/>
    <w:uiPriority w:val="39"/>
    <w:unhideWhenUsed/>
    <w:pPr>
      <w:pBdr/>
      <w:spacing/>
      <w:ind/>
    </w:pPr>
  </w:style>
  <w:style w:type="paragraph" w:styleId="1004">
    <w:name w:val="table of figures"/>
    <w:basedOn w:val="1005"/>
    <w:next w:val="1005"/>
    <w:uiPriority w:val="99"/>
    <w:unhideWhenUsed/>
    <w:pPr>
      <w:pBdr/>
      <w:spacing w:after="0" w:afterAutospacing="0"/>
      <w:ind/>
    </w:pPr>
  </w:style>
  <w:style w:type="paragraph" w:styleId="1005" w:default="1">
    <w:name w:val="Normal"/>
    <w:qFormat/>
    <w:pPr>
      <w:pBdr/>
      <w:spacing w:after="0" w:line="240" w:lineRule="auto"/>
      <w:ind/>
    </w:pPr>
    <w:rPr>
      <w:rFonts w:ascii="Times New Roman" w:hAnsi="Times New Roman" w:eastAsia="Times New Roman" w:cs="Times New Roman"/>
      <w:sz w:val="24"/>
      <w:szCs w:val="24"/>
    </w:rPr>
  </w:style>
  <w:style w:type="paragraph" w:styleId="1006">
    <w:name w:val="Heading 1"/>
    <w:basedOn w:val="1005"/>
    <w:next w:val="1005"/>
    <w:link w:val="1013"/>
    <w:qFormat/>
    <w:pPr>
      <w:keepNext w:val="true"/>
      <w:pBdr/>
      <w:spacing w:after="120" w:before="120"/>
      <w:ind/>
      <w:jc w:val="center"/>
      <w:outlineLvl w:val="0"/>
    </w:pPr>
    <w:rPr>
      <w:b/>
      <w:bCs/>
      <w:sz w:val="27"/>
      <w:szCs w:val="27"/>
    </w:rPr>
  </w:style>
  <w:style w:type="paragraph" w:styleId="1007">
    <w:name w:val="Heading 2"/>
    <w:basedOn w:val="1005"/>
    <w:next w:val="1005"/>
    <w:link w:val="101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8">
    <w:name w:val="Heading 3"/>
    <w:basedOn w:val="1005"/>
    <w:next w:val="1005"/>
    <w:link w:val="1015"/>
    <w:qFormat/>
    <w:pPr>
      <w:keepNext w:val="true"/>
      <w:pBdr/>
      <w:spacing w:before="60"/>
      <w:ind/>
      <w:outlineLvl w:val="2"/>
    </w:pPr>
    <w:rPr>
      <w:sz w:val="28"/>
      <w:szCs w:val="28"/>
    </w:rPr>
  </w:style>
  <w:style w:type="paragraph" w:styleId="1009">
    <w:name w:val="Heading 4"/>
    <w:basedOn w:val="1005"/>
    <w:next w:val="1005"/>
    <w:link w:val="1016"/>
    <w:qFormat/>
    <w:pPr>
      <w:keepNext w:val="true"/>
      <w:pBdr/>
      <w:spacing/>
      <w:ind/>
      <w:jc w:val="center"/>
      <w:outlineLvl w:val="3"/>
    </w:pPr>
    <w:rPr>
      <w:b/>
      <w:bCs/>
    </w:rPr>
  </w:style>
  <w:style w:type="character" w:styleId="1010" w:default="1">
    <w:name w:val="Default Paragraph Font"/>
    <w:uiPriority w:val="1"/>
    <w:semiHidden/>
    <w:unhideWhenUsed/>
    <w:pPr>
      <w:pBdr/>
      <w:spacing/>
      <w:ind/>
    </w:pPr>
  </w:style>
  <w:style w:type="table" w:styleId="10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2" w:default="1">
    <w:name w:val="No List"/>
    <w:uiPriority w:val="99"/>
    <w:semiHidden/>
    <w:unhideWhenUsed/>
    <w:pPr>
      <w:pBdr/>
      <w:spacing/>
      <w:ind/>
    </w:pPr>
  </w:style>
  <w:style w:type="character" w:styleId="1013" w:customStyle="1">
    <w:name w:val="Heading 1 Char"/>
    <w:basedOn w:val="1010"/>
    <w:link w:val="1006"/>
    <w:pPr>
      <w:pBdr/>
      <w:spacing/>
      <w:ind/>
    </w:pPr>
    <w:rPr>
      <w:rFonts w:ascii="Times New Roman" w:hAnsi="Times New Roman" w:eastAsia="Times New Roman" w:cs="Times New Roman"/>
      <w:b/>
      <w:bCs/>
      <w:sz w:val="27"/>
      <w:szCs w:val="27"/>
    </w:rPr>
  </w:style>
  <w:style w:type="character" w:styleId="1014" w:customStyle="1">
    <w:name w:val="Heading 2 Char"/>
    <w:basedOn w:val="1010"/>
    <w:link w:val="1007"/>
    <w:uiPriority w:val="9"/>
    <w:pPr>
      <w:pBdr/>
      <w:spacing/>
      <w:ind/>
    </w:pPr>
    <w:rPr>
      <w:rFonts w:asciiTheme="majorHAnsi" w:hAnsiTheme="majorHAnsi" w:eastAsiaTheme="majorEastAsia" w:cstheme="majorBidi"/>
      <w:color w:val="365f91" w:themeColor="accent1" w:themeShade="BF"/>
      <w:sz w:val="26"/>
      <w:szCs w:val="26"/>
    </w:rPr>
  </w:style>
  <w:style w:type="character" w:styleId="1015" w:customStyle="1">
    <w:name w:val="Heading 3 Char"/>
    <w:basedOn w:val="1010"/>
    <w:link w:val="1008"/>
    <w:pPr>
      <w:pBdr/>
      <w:spacing/>
      <w:ind/>
    </w:pPr>
    <w:rPr>
      <w:rFonts w:ascii="Times New Roman" w:hAnsi="Times New Roman" w:eastAsia="Times New Roman" w:cs="Times New Roman"/>
      <w:sz w:val="28"/>
      <w:szCs w:val="28"/>
    </w:rPr>
  </w:style>
  <w:style w:type="character" w:styleId="1016" w:customStyle="1">
    <w:name w:val="Heading 4 Char"/>
    <w:basedOn w:val="1010"/>
    <w:link w:val="1009"/>
    <w:pPr>
      <w:pBdr/>
      <w:spacing/>
      <w:ind/>
    </w:pPr>
    <w:rPr>
      <w:rFonts w:ascii="Times New Roman" w:hAnsi="Times New Roman" w:eastAsia="Times New Roman" w:cs="Times New Roman"/>
      <w:b/>
      <w:bCs/>
      <w:sz w:val="24"/>
      <w:szCs w:val="24"/>
    </w:rPr>
  </w:style>
  <w:style w:type="character" w:styleId="1017">
    <w:name w:val="Hyperlink"/>
    <w:uiPriority w:val="99"/>
    <w:pPr>
      <w:pBdr/>
      <w:spacing/>
      <w:ind/>
    </w:pPr>
    <w:rPr>
      <w:color w:val="000000"/>
      <w:u w:val="single"/>
    </w:rPr>
  </w:style>
  <w:style w:type="character" w:styleId="1018">
    <w:name w:val="Strong"/>
    <w:uiPriority w:val="22"/>
    <w:qFormat/>
    <w:pPr>
      <w:pBdr/>
      <w:spacing/>
      <w:ind/>
    </w:pPr>
    <w:rPr>
      <w:b/>
      <w:bCs/>
    </w:rPr>
  </w:style>
  <w:style w:type="paragraph" w:styleId="1019">
    <w:name w:val="Balloon Text"/>
    <w:basedOn w:val="1005"/>
    <w:link w:val="1020"/>
    <w:uiPriority w:val="99"/>
    <w:semiHidden/>
    <w:unhideWhenUsed/>
    <w:pPr>
      <w:pBdr/>
      <w:spacing/>
      <w:ind/>
    </w:pPr>
    <w:rPr>
      <w:rFonts w:ascii="Tahoma" w:hAnsi="Tahoma" w:cs="Tahoma"/>
      <w:sz w:val="16"/>
      <w:szCs w:val="16"/>
    </w:rPr>
  </w:style>
  <w:style w:type="character" w:styleId="1020" w:customStyle="1">
    <w:name w:val="Balloon Text Char"/>
    <w:basedOn w:val="1010"/>
    <w:link w:val="1019"/>
    <w:uiPriority w:val="99"/>
    <w:semiHidden/>
    <w:pPr>
      <w:pBdr/>
      <w:spacing/>
      <w:ind/>
    </w:pPr>
    <w:rPr>
      <w:rFonts w:ascii="Tahoma" w:hAnsi="Tahoma" w:eastAsia="Times New Roman" w:cs="Tahoma"/>
      <w:sz w:val="16"/>
      <w:szCs w:val="16"/>
    </w:rPr>
  </w:style>
  <w:style w:type="paragraph" w:styleId="1021">
    <w:name w:val="Header"/>
    <w:basedOn w:val="1005"/>
    <w:link w:val="1022"/>
    <w:unhideWhenUsed/>
    <w:pPr>
      <w:pBdr/>
      <w:tabs>
        <w:tab w:val="center" w:leader="none" w:pos="4680"/>
        <w:tab w:val="right" w:leader="none" w:pos="9360"/>
      </w:tabs>
      <w:spacing/>
      <w:ind/>
    </w:pPr>
  </w:style>
  <w:style w:type="character" w:styleId="1022" w:customStyle="1">
    <w:name w:val="Header Char"/>
    <w:basedOn w:val="1010"/>
    <w:link w:val="1021"/>
    <w:pPr>
      <w:pBdr/>
      <w:spacing/>
      <w:ind/>
    </w:pPr>
    <w:rPr>
      <w:rFonts w:ascii="Times New Roman" w:hAnsi="Times New Roman" w:eastAsia="Times New Roman" w:cs="Times New Roman"/>
      <w:sz w:val="24"/>
      <w:szCs w:val="24"/>
    </w:rPr>
  </w:style>
  <w:style w:type="paragraph" w:styleId="1023">
    <w:name w:val="Footer"/>
    <w:basedOn w:val="1005"/>
    <w:link w:val="1024"/>
    <w:uiPriority w:val="99"/>
    <w:unhideWhenUsed/>
    <w:pPr>
      <w:pBdr/>
      <w:tabs>
        <w:tab w:val="center" w:leader="none" w:pos="4680"/>
        <w:tab w:val="right" w:leader="none" w:pos="9360"/>
      </w:tabs>
      <w:spacing/>
      <w:ind/>
    </w:pPr>
  </w:style>
  <w:style w:type="character" w:styleId="1024" w:customStyle="1">
    <w:name w:val="Footer Char"/>
    <w:basedOn w:val="1010"/>
    <w:link w:val="1023"/>
    <w:uiPriority w:val="99"/>
    <w:pPr>
      <w:pBdr/>
      <w:spacing/>
      <w:ind/>
    </w:pPr>
    <w:rPr>
      <w:rFonts w:ascii="Times New Roman" w:hAnsi="Times New Roman" w:eastAsia="Times New Roman" w:cs="Times New Roman"/>
      <w:sz w:val="24"/>
      <w:szCs w:val="24"/>
    </w:rPr>
  </w:style>
  <w:style w:type="character" w:styleId="1025" w:customStyle="1">
    <w:name w:val="normal-h1"/>
    <w:pPr>
      <w:pBdr/>
      <w:spacing/>
      <w:ind/>
    </w:pPr>
    <w:rPr>
      <w:rFonts w:hint="default" w:ascii=".VnTime" w:hAnsi=".VnTime"/>
      <w:color w:val="0000ff"/>
      <w:sz w:val="24"/>
      <w:szCs w:val="24"/>
    </w:rPr>
  </w:style>
  <w:style w:type="paragraph" w:styleId="1026" w:customStyle="1">
    <w:name w:val="normal-p"/>
    <w:basedOn w:val="1005"/>
    <w:pPr>
      <w:pBdr/>
      <w:spacing/>
      <w:ind/>
      <w:jc w:val="both"/>
    </w:pPr>
    <w:rPr>
      <w:sz w:val="20"/>
      <w:szCs w:val="20"/>
    </w:rPr>
  </w:style>
  <w:style w:type="paragraph" w:styleId="1027">
    <w:name w:val="List Paragraph"/>
    <w:basedOn w:val="1005"/>
    <w:link w:val="1114"/>
    <w:uiPriority w:val="34"/>
    <w:qFormat/>
    <w:pPr>
      <w:pBdr/>
      <w:spacing/>
      <w:ind w:left="720"/>
    </w:pPr>
  </w:style>
  <w:style w:type="paragraph" w:styleId="1028">
    <w:name w:val="Normal (Web)"/>
    <w:basedOn w:val="1005"/>
    <w:uiPriority w:val="99"/>
    <w:pPr>
      <w:pBdr/>
      <w:spacing w:after="100" w:afterAutospacing="1" w:before="100" w:beforeAutospacing="1"/>
      <w:ind/>
    </w:pPr>
  </w:style>
  <w:style w:type="paragraph" w:styleId="1029">
    <w:name w:val="Body Text"/>
    <w:basedOn w:val="1005"/>
    <w:link w:val="1030"/>
    <w:pPr>
      <w:pBdr/>
      <w:spacing w:after="120"/>
      <w:ind/>
      <w:jc w:val="both"/>
    </w:pPr>
  </w:style>
  <w:style w:type="character" w:styleId="1030" w:customStyle="1">
    <w:name w:val="Body Text Char"/>
    <w:basedOn w:val="1010"/>
    <w:link w:val="1029"/>
    <w:pPr>
      <w:pBdr/>
      <w:spacing/>
      <w:ind/>
    </w:pPr>
    <w:rPr>
      <w:rFonts w:ascii="Times New Roman" w:hAnsi="Times New Roman" w:eastAsia="Times New Roman" w:cs="Times New Roman"/>
      <w:sz w:val="24"/>
      <w:szCs w:val="24"/>
    </w:rPr>
  </w:style>
  <w:style w:type="table" w:styleId="1031">
    <w:name w:val="Table Grid"/>
    <w:basedOn w:val="101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3">
    <w:name w:val="annotation reference"/>
    <w:basedOn w:val="1010"/>
    <w:uiPriority w:val="99"/>
    <w:semiHidden/>
    <w:unhideWhenUsed/>
    <w:pPr>
      <w:pBdr/>
      <w:spacing/>
      <w:ind/>
    </w:pPr>
    <w:rPr>
      <w:sz w:val="16"/>
      <w:szCs w:val="16"/>
    </w:rPr>
  </w:style>
  <w:style w:type="paragraph" w:styleId="1034">
    <w:name w:val="annotation text"/>
    <w:basedOn w:val="1005"/>
    <w:link w:val="1035"/>
    <w:uiPriority w:val="99"/>
    <w:unhideWhenUsed/>
    <w:pPr>
      <w:pBdr/>
      <w:spacing/>
      <w:ind/>
    </w:pPr>
    <w:rPr>
      <w:sz w:val="20"/>
      <w:szCs w:val="20"/>
    </w:rPr>
  </w:style>
  <w:style w:type="character" w:styleId="1035" w:customStyle="1">
    <w:name w:val="Comment Text Char"/>
    <w:basedOn w:val="1010"/>
    <w:link w:val="1034"/>
    <w:uiPriority w:val="99"/>
    <w:pPr>
      <w:pBdr/>
      <w:spacing/>
      <w:ind/>
    </w:pPr>
    <w:rPr>
      <w:rFonts w:ascii="Times New Roman" w:hAnsi="Times New Roman" w:eastAsia="Times New Roman" w:cs="Times New Roman"/>
      <w:sz w:val="20"/>
      <w:szCs w:val="20"/>
    </w:rPr>
  </w:style>
  <w:style w:type="paragraph" w:styleId="1036">
    <w:name w:val="annotation subject"/>
    <w:basedOn w:val="1034"/>
    <w:next w:val="1034"/>
    <w:link w:val="1037"/>
    <w:uiPriority w:val="99"/>
    <w:semiHidden/>
    <w:unhideWhenUsed/>
    <w:pPr>
      <w:pBdr/>
      <w:spacing/>
      <w:ind/>
    </w:pPr>
    <w:rPr>
      <w:b/>
      <w:bCs/>
    </w:rPr>
  </w:style>
  <w:style w:type="character" w:styleId="1037" w:customStyle="1">
    <w:name w:val="Comment Subject Char"/>
    <w:basedOn w:val="1035"/>
    <w:link w:val="1036"/>
    <w:uiPriority w:val="99"/>
    <w:semiHidden/>
    <w:pPr>
      <w:pBdr/>
      <w:spacing/>
      <w:ind/>
    </w:pPr>
    <w:rPr>
      <w:rFonts w:ascii="Times New Roman" w:hAnsi="Times New Roman" w:eastAsia="Times New Roman" w:cs="Times New Roman"/>
      <w:b/>
      <w:bCs/>
      <w:sz w:val="20"/>
      <w:szCs w:val="20"/>
    </w:rPr>
  </w:style>
  <w:style w:type="paragraph" w:styleId="1038" w:customStyle="1">
    <w:name w:val="font5"/>
    <w:basedOn w:val="1005"/>
    <w:pPr>
      <w:pBdr/>
      <w:spacing w:after="100" w:afterAutospacing="1" w:before="100" w:beforeAutospacing="1"/>
      <w:ind/>
    </w:pPr>
    <w:rPr>
      <w:rFonts w:ascii="Tahoma" w:hAnsi="Tahoma" w:cs="Tahoma"/>
      <w:color w:val="000000"/>
      <w:sz w:val="18"/>
      <w:szCs w:val="18"/>
    </w:rPr>
  </w:style>
  <w:style w:type="paragraph" w:styleId="1039" w:customStyle="1">
    <w:name w:val="font6"/>
    <w:basedOn w:val="1005"/>
    <w:pPr>
      <w:pBdr/>
      <w:spacing w:after="100" w:afterAutospacing="1" w:before="100" w:beforeAutospacing="1"/>
      <w:ind/>
    </w:pPr>
    <w:rPr>
      <w:rFonts w:ascii="Tahoma" w:hAnsi="Tahoma" w:cs="Tahoma"/>
      <w:b/>
      <w:bCs/>
      <w:color w:val="000000"/>
      <w:sz w:val="18"/>
      <w:szCs w:val="18"/>
    </w:rPr>
  </w:style>
  <w:style w:type="paragraph" w:styleId="1040" w:customStyle="1">
    <w:name w:val="xl23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1" w:customStyle="1">
    <w:name w:val="xl234"/>
    <w:basedOn w:val="1005"/>
    <w:pPr>
      <w:pBdr/>
      <w:spacing w:after="100" w:afterAutospacing="1" w:before="100" w:beforeAutospacing="1"/>
      <w:ind/>
      <w:jc w:val="center"/>
    </w:pPr>
  </w:style>
  <w:style w:type="paragraph" w:styleId="1042" w:customStyle="1">
    <w:name w:val="xl235"/>
    <w:basedOn w:val="1005"/>
    <w:pPr>
      <w:pBdr/>
      <w:spacing w:after="100" w:afterAutospacing="1" w:before="100" w:beforeAutospacing="1"/>
      <w:ind/>
      <w:jc w:val="center"/>
    </w:pPr>
    <w:rPr>
      <w:b/>
      <w:bCs/>
    </w:rPr>
  </w:style>
  <w:style w:type="paragraph" w:styleId="1043" w:customStyle="1">
    <w:name w:val="xl236"/>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4" w:customStyle="1">
    <w:name w:val="xl23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5" w:customStyle="1">
    <w:name w:val="xl238"/>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6" w:customStyle="1">
    <w:name w:val="xl23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7" w:customStyle="1">
    <w:name w:val="xl240"/>
    <w:basedOn w:val="1005"/>
    <w:pPr>
      <w:pBdr/>
      <w:spacing w:after="100" w:afterAutospacing="1" w:before="100" w:beforeAutospacing="1"/>
      <w:ind/>
    </w:pPr>
  </w:style>
  <w:style w:type="paragraph" w:styleId="1048" w:customStyle="1">
    <w:name w:val="xl241"/>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42"/>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3"/>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1" w:customStyle="1">
    <w:name w:val="xl244"/>
    <w:basedOn w:val="1005"/>
    <w:pPr>
      <w:pBdr/>
      <w:spacing w:after="100" w:afterAutospacing="1" w:before="100" w:beforeAutospacing="1"/>
      <w:ind/>
    </w:pPr>
    <w:rPr>
      <w:b/>
      <w:bCs/>
    </w:rPr>
  </w:style>
  <w:style w:type="paragraph" w:styleId="1052" w:customStyle="1">
    <w:name w:val="xl245"/>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4" w:customStyle="1">
    <w:name w:val="xl247"/>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4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6" w:customStyle="1">
    <w:name w:val="xl24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5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5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3"/>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4"/>
    <w:basedOn w:val="100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5"/>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8"/>
    <w:basedOn w:val="100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0"/>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1"/>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2"/>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63"/>
    <w:basedOn w:val="1005"/>
    <w:pPr>
      <w:pBdr/>
      <w:shd w:val="clear" w:color="000000" w:fill="ffffff"/>
      <w:spacing w:after="100" w:afterAutospacing="1" w:before="100" w:beforeAutospacing="1"/>
      <w:ind/>
    </w:pPr>
  </w:style>
  <w:style w:type="paragraph" w:styleId="1071" w:customStyle="1">
    <w:name w:val="xl264"/>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5"/>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6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6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68"/>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9"/>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7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71"/>
    <w:basedOn w:val="100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9" w:customStyle="1">
    <w:name w:val="xl27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73"/>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1" w:customStyle="1">
    <w:name w:val="xl274"/>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5"/>
    <w:basedOn w:val="1005"/>
    <w:pPr>
      <w:pBdr/>
      <w:spacing w:after="100" w:afterAutospacing="1" w:before="100" w:beforeAutospacing="1"/>
      <w:ind/>
    </w:pPr>
  </w:style>
  <w:style w:type="paragraph" w:styleId="1083" w:customStyle="1">
    <w:name w:val="xl27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77"/>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5" w:customStyle="1">
    <w:name w:val="xl27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7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8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8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8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4"/>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5"/>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7"/>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8"/>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096" w:customStyle="1">
    <w:name w:val="xl289"/>
    <w:basedOn w:val="1005"/>
    <w:pPr>
      <w:pBdr>
        <w:left w:val="single" w:color="000000" w:sz="4" w:space="0"/>
        <w:right w:val="single" w:color="000000" w:sz="4" w:space="0"/>
      </w:pBdr>
      <w:spacing w:after="100" w:afterAutospacing="1" w:before="100" w:beforeAutospacing="1"/>
      <w:ind/>
    </w:pPr>
    <w:rPr>
      <w:b/>
      <w:bCs/>
    </w:rPr>
  </w:style>
  <w:style w:type="paragraph" w:styleId="1097" w:customStyle="1">
    <w:name w:val="xl29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8" w:customStyle="1">
    <w:name w:val="xl291"/>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9" w:customStyle="1">
    <w:name w:val="xl292"/>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93"/>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94"/>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name w:val="Title"/>
    <w:basedOn w:val="1005"/>
    <w:link w:val="1103"/>
    <w:qFormat/>
    <w:pPr>
      <w:pBdr/>
      <w:spacing/>
      <w:ind/>
      <w:jc w:val="center"/>
    </w:pPr>
    <w:rPr>
      <w:b/>
      <w:bCs/>
      <w:sz w:val="32"/>
      <w:szCs w:val="26"/>
    </w:rPr>
  </w:style>
  <w:style w:type="character" w:styleId="1103" w:customStyle="1">
    <w:name w:val="Title Char"/>
    <w:basedOn w:val="1010"/>
    <w:link w:val="1102"/>
    <w:pPr>
      <w:pBdr/>
      <w:spacing/>
      <w:ind/>
    </w:pPr>
    <w:rPr>
      <w:rFonts w:ascii="Times New Roman" w:hAnsi="Times New Roman" w:eastAsia="Times New Roman" w:cs="Times New Roman"/>
      <w:b/>
      <w:bCs/>
      <w:sz w:val="32"/>
      <w:szCs w:val="26"/>
    </w:rPr>
  </w:style>
  <w:style w:type="character" w:styleId="1104" w:customStyle="1">
    <w:name w:val="Unresolved Mention1"/>
    <w:basedOn w:val="1010"/>
    <w:uiPriority w:val="99"/>
    <w:semiHidden/>
    <w:unhideWhenUsed/>
    <w:pPr>
      <w:pBdr/>
      <w:spacing/>
      <w:ind/>
    </w:pPr>
    <w:rPr>
      <w:color w:val="605e5c"/>
      <w:shd w:val="clear" w:color="auto" w:fill="e1dfdd"/>
    </w:rPr>
  </w:style>
  <w:style w:type="character" w:styleId="1105" w:customStyle="1">
    <w:name w:val="Body text (3)_"/>
    <w:link w:val="1106"/>
    <w:pPr>
      <w:pBdr/>
      <w:spacing/>
      <w:ind/>
    </w:pPr>
    <w:rPr>
      <w:rFonts w:ascii="Times New Roman" w:hAnsi="Times New Roman" w:cs="Times New Roman"/>
      <w:i/>
      <w:iCs/>
      <w:spacing w:val="4"/>
      <w:shd w:val="clear" w:color="auto" w:fill="ffffff"/>
    </w:rPr>
  </w:style>
  <w:style w:type="paragraph" w:styleId="1106" w:customStyle="1">
    <w:name w:val="Body text (3)1"/>
    <w:basedOn w:val="1005"/>
    <w:link w:val="110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7" w:customStyle="1">
    <w:name w:val="t-j"/>
    <w:basedOn w:val="1005"/>
    <w:pPr>
      <w:pBdr/>
      <w:spacing w:after="100" w:afterAutospacing="1" w:before="100" w:beforeAutospacing="1"/>
      <w:ind/>
    </w:pPr>
  </w:style>
  <w:style w:type="character" w:styleId="1108" w:customStyle="1">
    <w:name w:val="Unresolved Mention2"/>
    <w:basedOn w:val="1010"/>
    <w:uiPriority w:val="99"/>
    <w:semiHidden/>
    <w:unhideWhenUsed/>
    <w:pPr>
      <w:pBdr/>
      <w:spacing/>
      <w:ind/>
    </w:pPr>
    <w:rPr>
      <w:color w:val="605e5c"/>
      <w:shd w:val="clear" w:color="auto" w:fill="e1dfdd"/>
    </w:rPr>
  </w:style>
  <w:style w:type="character" w:styleId="1109">
    <w:name w:val="FollowedHyperlink"/>
    <w:basedOn w:val="1010"/>
    <w:uiPriority w:val="99"/>
    <w:semiHidden/>
    <w:unhideWhenUsed/>
    <w:pPr>
      <w:pBdr/>
      <w:spacing/>
      <w:ind/>
    </w:pPr>
    <w:rPr>
      <w:color w:val="800080" w:themeColor="followedHyperlink"/>
      <w:u w:val="single"/>
    </w:rPr>
  </w:style>
  <w:style w:type="character" w:styleId="1110" w:customStyle="1">
    <w:name w:val="text"/>
    <w:basedOn w:val="1010"/>
    <w:pPr>
      <w:pBdr/>
      <w:spacing/>
      <w:ind/>
    </w:pPr>
  </w:style>
  <w:style w:type="character" w:styleId="1111" w:customStyle="1">
    <w:name w:val="card-send-time__sendtime"/>
    <w:basedOn w:val="1010"/>
    <w:pPr>
      <w:pBdr/>
      <w:spacing/>
      <w:ind/>
    </w:pPr>
  </w:style>
  <w:style w:type="character" w:styleId="1112" w:customStyle="1">
    <w:name w:val="Đề cập Chưa giải quyết1"/>
    <w:basedOn w:val="1010"/>
    <w:uiPriority w:val="99"/>
    <w:semiHidden/>
    <w:unhideWhenUsed/>
    <w:pPr>
      <w:pBdr/>
      <w:spacing/>
      <w:ind/>
    </w:pPr>
    <w:rPr>
      <w:color w:val="605e5c"/>
      <w:shd w:val="clear" w:color="auto" w:fill="e1dfdd"/>
    </w:rPr>
  </w:style>
  <w:style w:type="paragraph" w:styleId="1113" w:customStyle="1">
    <w:name w:val="nqtitle"/>
    <w:basedOn w:val="1005"/>
    <w:pPr>
      <w:pBdr/>
      <w:spacing w:after="100" w:afterAutospacing="1" w:before="100" w:beforeAutospacing="1"/>
      <w:ind/>
    </w:pPr>
    <w:rPr>
      <w:lang w:val="vi-VN" w:eastAsia="vi-VN"/>
    </w:rPr>
  </w:style>
  <w:style w:type="character" w:styleId="1114" w:customStyle="1">
    <w:name w:val="List Paragraph Char"/>
    <w:link w:val="1027"/>
    <w:uiPriority w:val="34"/>
    <w:qFormat/>
    <w:pPr>
      <w:pBdr/>
      <w:spacing/>
      <w:ind/>
    </w:pPr>
    <w:rPr>
      <w:rFonts w:ascii="Times New Roman" w:hAnsi="Times New Roman" w:eastAsia="Times New Roman" w:cs="Times New Roman"/>
      <w:sz w:val="24"/>
      <w:szCs w:val="24"/>
    </w:rPr>
  </w:style>
  <w:style w:type="character" w:styleId="1115" w:customStyle="1">
    <w:name w:val="Đề cập Chưa giải quyết2"/>
    <w:basedOn w:val="1010"/>
    <w:uiPriority w:val="99"/>
    <w:semiHidden/>
    <w:unhideWhenUsed/>
    <w:pPr>
      <w:pBdr/>
      <w:spacing/>
      <w:ind/>
    </w:pPr>
    <w:rPr>
      <w:color w:val="605e5c"/>
      <w:shd w:val="clear" w:color="auto" w:fill="e1dfdd"/>
    </w:rPr>
  </w:style>
  <w:style w:type="character" w:styleId="1116" w:customStyle="1">
    <w:name w:val="Unresolved Mention3"/>
    <w:basedOn w:val="1010"/>
    <w:uiPriority w:val="99"/>
    <w:semiHidden/>
    <w:unhideWhenUsed/>
    <w:pPr>
      <w:pBdr/>
      <w:spacing/>
      <w:ind/>
    </w:pPr>
    <w:rPr>
      <w:color w:val="605e5c"/>
      <w:shd w:val="clear" w:color="auto" w:fill="e1dfdd"/>
    </w:rPr>
  </w:style>
  <w:style w:type="character" w:styleId="1117" w:customStyle="1">
    <w:name w:val="copy"/>
    <w:basedOn w:val="1010"/>
    <w:pPr>
      <w:pBdr/>
      <w:spacing/>
      <w:ind/>
    </w:pPr>
  </w:style>
  <w:style w:type="paragraph" w:styleId="1118" w:customStyle="1">
    <w:name w:val="align-justify"/>
    <w:basedOn w:val="1005"/>
    <w:pPr>
      <w:pBdr/>
      <w:spacing w:after="100" w:afterAutospacing="1" w:before="100" w:beforeAutospacing="1"/>
      <w:ind/>
    </w:pPr>
  </w:style>
  <w:style w:type="character" w:styleId="1119" w:customStyle="1">
    <w:name w:val="btn"/>
    <w:basedOn w:val="1010"/>
    <w:pPr>
      <w:pBdr/>
      <w:spacing/>
      <w:ind/>
    </w:pPr>
  </w:style>
  <w:style w:type="character" w:styleId="1120" w:customStyle="1">
    <w:name w:val="hide_mobile"/>
    <w:basedOn w:val="1010"/>
    <w:pPr>
      <w:pBdr/>
      <w:spacing/>
      <w:ind/>
    </w:pPr>
  </w:style>
  <w:style w:type="character" w:styleId="1121">
    <w:name w:val="Emphasis"/>
    <w:basedOn w:val="1010"/>
    <w:uiPriority w:val="20"/>
    <w:qFormat/>
    <w:pPr>
      <w:pBdr/>
      <w:spacing/>
      <w:ind/>
    </w:pPr>
    <w:rPr>
      <w:i/>
      <w:iCs/>
    </w:rPr>
  </w:style>
  <w:style w:type="character" w:styleId="1122" w:customStyle="1">
    <w:name w:val="t1"/>
    <w:basedOn w:val="1010"/>
    <w:pPr>
      <w:pBdr/>
      <w:spacing/>
      <w:ind/>
    </w:pPr>
  </w:style>
  <w:style w:type="character" w:styleId="1123" w:customStyle="1">
    <w:name w:val="Unresolved Mention4"/>
    <w:basedOn w:val="1010"/>
    <w:uiPriority w:val="99"/>
    <w:semiHidden/>
    <w:unhideWhenUsed/>
    <w:pPr>
      <w:pBdr/>
      <w:spacing/>
      <w:ind/>
    </w:pPr>
    <w:rPr>
      <w:color w:val="605e5c"/>
      <w:shd w:val="clear" w:color="auto" w:fill="e1dfdd"/>
    </w:rPr>
  </w:style>
  <w:style w:type="character" w:styleId="1124">
    <w:name w:val="Unresolved Mention"/>
    <w:basedOn w:val="101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jpg"/><Relationship Id="rId26" Type="http://schemas.openxmlformats.org/officeDocument/2006/relationships/image" Target="media/image12.jpg"/><Relationship Id="rId27" Type="http://schemas.openxmlformats.org/officeDocument/2006/relationships/image" Target="media/image13.jpg"/><Relationship Id="rId28" Type="http://schemas.openxmlformats.org/officeDocument/2006/relationships/image" Target="media/image14.jpg"/><Relationship Id="rId29" Type="http://schemas.openxmlformats.org/officeDocument/2006/relationships/image" Target="media/image15.jp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comments" Target="comments.xml" /><Relationship Id="rId34" Type="http://schemas.microsoft.com/office/2011/relationships/commentsExtended" Target="commentsExtended.xml" /><Relationship Id="rId35" Type="http://schemas.microsoft.com/office/2018/08/relationships/commentsExtensible" Target="commentsExtensible.xml" /><Relationship Id="rId36" Type="http://schemas.microsoft.com/office/2016/09/relationships/commentsIds" Target="commentsIds.xml" /><Relationship Id="rId37"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Minh Phúc</cp:lastModifiedBy>
  <cp:revision>281</cp:revision>
  <dcterms:created xsi:type="dcterms:W3CDTF">2025-09-15T09:58:00Z</dcterms:created>
  <dcterms:modified xsi:type="dcterms:W3CDTF">2026-06-12T07:05:10Z</dcterms:modified>
</cp:coreProperties>
</file>