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920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920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275/2026/0939/VFI-CT.57.A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NGUYỄN VĂN HOẠT</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
                                <w:bCs/>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tại thửa đất số: 543, </w:t>
                            </w:r>
                            <w:r>
                              <w:rPr>
                                <w:rFonts w:ascii="Times New Roman" w:hAnsi="Times New Roman" w:eastAsia="Times New Roman" w:cs="Times New Roman"/>
                                <w:color w:val="000000"/>
                                <w:sz w:val="24"/>
                              </w:rPr>
                              <w:t xml:space="preserve">tờ bản đồ: 31 có địa chỉ: Thôn Bắc Thượng, xã Nội Bài, Thành phố Hà Nội </w:t>
                            </w:r>
                            <w:r>
                              <w:rPr>
                                <w:rFonts w:ascii="Times New Roman" w:hAnsi="Times New Roman" w:eastAsia="Times New Roman" w:cs="Times New Roman"/>
                                <w:color w:val="000000"/>
                                <w:sz w:val="24"/>
                              </w:rPr>
                              <w:t xml:space="preserve">theo Giấy chứng nhận quyền sở dụng đất, quyền sở hữu tài sản gắn liền với đất số: AA 06994252, số vào sổ: CN 02042 do Chi nhánh Văn Phòng Đăng Ký Đất Đai Sóc Sơn cấp ngày 26/03/2026; Chủ sử dụng đất là Ông Nguyễn Văn Hoạt.</w:t>
                            </w:r>
                            <w:r>
                              <w:rPr>
                                <w:b/>
                                <w:bCs/>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1.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275/2026/0939/VFI-CT.57.A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NGUYỄN VĂN HOẠT</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
                          <w:bCs/>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tại thửa đất số: 543, </w:t>
                      </w:r>
                      <w:r>
                        <w:rPr>
                          <w:rFonts w:ascii="Times New Roman" w:hAnsi="Times New Roman" w:eastAsia="Times New Roman" w:cs="Times New Roman"/>
                          <w:color w:val="000000"/>
                          <w:sz w:val="24"/>
                        </w:rPr>
                        <w:t xml:space="preserve">tờ bản đồ: 31 có địa chỉ: Thôn Bắc Thượng, xã Nội Bài, Thành phố Hà Nội </w:t>
                      </w:r>
                      <w:r>
                        <w:rPr>
                          <w:rFonts w:ascii="Times New Roman" w:hAnsi="Times New Roman" w:eastAsia="Times New Roman" w:cs="Times New Roman"/>
                          <w:color w:val="000000"/>
                          <w:sz w:val="24"/>
                        </w:rPr>
                        <w:t xml:space="preserve">theo Giấy chứng nhận quyền sở dụng đất, quyền sở hữu tài sản gắn liền với đất số: AA 06994252, số vào sổ: CN 02042 do Chi nhánh Văn Phòng Đăng Ký Đất Đai Sóc Sơn cấp ngày 26/03/2026; Chủ sử dụng đất là Ông Nguyễn Văn Hoạt.</w:t>
                      </w:r>
                      <w:r>
                        <w:rPr>
                          <w:b/>
                          <w:bCs/>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4-21</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22</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23</w:t>
            </w:r>
            <w:r>
              <w:rPr>
                <w:b/>
                <w:bCs/>
                <w:highlight w:val="yellow"/>
              </w:rPr>
              <w:t xml:space="preserve">-30</w:t>
            </w:r>
            <w:r>
              <w:rPr>
                <w:b/>
                <w:bCs/>
                <w:highlight w:val="yellow"/>
              </w:rPr>
            </w:r>
            <w:r>
              <w:rPr>
                <w:b/>
                <w:bCs/>
                <w:highlight w:val="yellow"/>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275/2026/0939/VFI-CT.57.A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23 tháng 6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HOẠT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275/2026/0939/VFI-HĐTĐ.57.A</w:t>
      </w:r>
      <w:r>
        <w:rPr>
          <w:spacing w:val="-4"/>
          <w:lang w:val="vi-VN"/>
        </w:rPr>
        <w:t xml:space="preserve"> ký ngày 0</w:t>
      </w:r>
      <w:r>
        <w:rPr>
          <w:color w:val="000000" w:themeColor="text1"/>
          <w:spacing w:val="-4"/>
        </w:rPr>
        <w:t xml:space="preserve">8 tháng 6 năm 2026</w:t>
      </w:r>
      <w:r>
        <w:rPr>
          <w:spacing w:val="-4"/>
          <w:lang w:val="vi-VN"/>
        </w:rPr>
        <w:t xml:space="preserve"> </w:t>
      </w:r>
      <w:r>
        <w:rPr>
          <w:spacing w:val="-4"/>
          <w:lang w:val="vi-VN"/>
        </w:rPr>
        <w:t xml:space="preserve">giữa </w:t>
      </w:r>
      <w:r>
        <w:rPr>
          <w:color w:val="000000" w:themeColor="text1"/>
          <w:spacing w:val="-4"/>
        </w:rPr>
        <w:t xml:space="preserve">Ông Nguyễn Văn Hoạt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275/2026/0939/VFI-BC.57.A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VĂN HOẠT</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001089017150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Thôn Bắc Thượng, xã Nội Bài,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463"/>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543, tờ bản đồ: 31 có địa chỉ: Thôn Bắc Thượng, xã Nội Bài, Thành phố Hà Nội </w:t>
      </w:r>
      <w:r>
        <w:rPr>
          <w:rFonts w:ascii="Times New Roman" w:hAnsi="Times New Roman" w:eastAsia="Times New Roman" w:cs="Times New Roman"/>
          <w:color w:val="000000"/>
          <w:sz w:val="24"/>
        </w:rPr>
        <w:t xml:space="preserve">theo Giấy chứng nhận quyền sở dụng đất, quyền sở hữu tài sản gắn liền với đất số: AA 06994252, số vào sổ: CN 02042 do Chi nhánh Văn Phòng Đăng Ký Đất Đai Sóc Sơn cấp ngày 26/03/2026; Chủ sử dụng đất là Ông Nguyễn Văn Hoạt.</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543, tờ bản đồ: 31 có địa chỉ: Thôn Bắc Thượng, xã Nội Bài, Thành phố Hà Nội </w:t>
            </w:r>
            <w:r>
              <w:rPr>
                <w:rFonts w:ascii="Times New Roman" w:hAnsi="Times New Roman" w:eastAsia="Times New Roman" w:cs="Times New Roman"/>
                <w:b/>
                <w:bCs/>
                <w:color w:val="000000"/>
                <w:sz w:val="24"/>
              </w:rPr>
              <w:t xml:space="preserve">theo Giấy chứng nhận quyền sở dụng đất, quyền sở hữu tài sản gắn liền với đất số: AA 06994252, số vào sổ: CN 02042 do Chi nhánh Văn Phòng Đăng Ký Đất Đai Sóc Sơn cấp ngày 26/03/2026; Chủ sử dụng đất là Ông Nguyễn Văn Hoạt.</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150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22.500.000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3.375.000.000</w:t>
            </w:r>
            <w:r/>
          </w:p>
        </w:tc>
      </w:tr>
      <w:tr>
        <w:trPr>
          <w:trHeight w:val="20"/>
        </w:trPr>
        <w:tc>
          <w:tcPr>
            <w:shd w:val="clear" w:color="000000" w:fill="ffffff"/>
            <w:tcBorders/>
            <w:tcW w:w="500" w:type="pct"/>
            <w:vAlign w:val="center"/>
            <w:vMerge w:val="restart"/>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1063" w:type="pct"/>
            <w:vAlign w:val="center"/>
            <w:vMerge w:val="restart"/>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946" w:type="pct"/>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8</w:t>
            </w:r>
            <w:r>
              <w:rPr>
                <w:color w:val="000000" w:themeColor="text1"/>
              </w:rPr>
            </w:r>
            <w:r>
              <w:rPr>
                <w:color w:val="000000" w:themeColor="text1"/>
              </w:rPr>
            </w:r>
          </w:p>
        </w:tc>
        <w:tc>
          <w:tcPr>
            <w:shd w:val="clear" w:color="000000" w:fill="ffffff"/>
            <w:tcBorders/>
            <w:tcW w:w="1355" w:type="pct"/>
            <w:vAlign w:val="center"/>
            <w:vMerge w:val="restart"/>
            <w:textDirection w:val="lrTb"/>
            <w:noWrap w:val="false"/>
          </w:tcPr>
          <w:p>
            <w:pPr>
              <w:pBdr/>
              <w:spacing w:after="40" w:before="40" w:line="288" w:lineRule="auto"/>
              <w:ind/>
              <w:jc w:val="center"/>
              <w:rPr>
                <w:color w:val="000000" w:themeColor="text1"/>
              </w:rPr>
            </w:pPr>
            <w:r>
              <w:rPr>
                <w:color w:val="000000" w:themeColor="text1"/>
              </w:rPr>
            </w:r>
            <w:commentRangeStart w:id="0"/>
            <w:r>
              <w:rPr>
                <w:color w:val="000000" w:themeColor="text1"/>
              </w:rPr>
              <w:t xml:space="preserve">180.000</w:t>
            </w:r>
            <w:r>
              <w:rPr>
                <w:color w:val="000000" w:themeColor="text1"/>
              </w:rPr>
            </w:r>
            <w:commentRangeEnd w:id="0"/>
            <w:r>
              <w:commentReference w:id="0"/>
            </w:r>
            <w:r>
              <w:rPr>
                <w:color w:val="000000" w:themeColor="text1"/>
              </w:rPr>
            </w:r>
            <w:r>
              <w:rPr>
                <w:color w:val="000000" w:themeColor="text1"/>
              </w:rPr>
            </w:r>
          </w:p>
        </w:tc>
        <w:tc>
          <w:tcPr>
            <w:shd w:val="clear" w:color="000000" w:fill="ffffff"/>
            <w:tcBorders/>
            <w:tcW w:w="1136" w:type="pct"/>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t xml:space="preserve">1.440.000</w:t>
            </w:r>
            <w:r>
              <w:rPr>
                <w:color w:val="000000" w:themeColor="text1"/>
              </w:rPr>
            </w:r>
            <w:r>
              <w:rPr>
                <w:color w:val="000000" w:themeColor="text1"/>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3.376.440.000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3.376.400.000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(Bằng chữ: </w:t>
            </w:r>
            <w:r>
              <w:rPr>
                <w:b/>
                <w:bCs/>
                <w:i/>
                <w:iCs/>
                <w:color w:val="000000"/>
              </w:rPr>
              <w:t xml:space="preserve">Ba tỷ ba trăm bảy mươi sáu triệu bốn trăm</w:t>
            </w:r>
            <w:r>
              <w:rPr>
                <w:b/>
                <w:bCs/>
                <w:i/>
                <w:iCs/>
                <w:color w:val="000000"/>
                <w:highlight w:val="yellow"/>
              </w:rPr>
              <w:t xml:space="preserve"> nghìn</w:t>
            </w:r>
            <w:r>
              <w:rPr>
                <w:b/>
                <w:bCs/>
                <w:i/>
                <w:iCs/>
                <w:color w:val="000000"/>
                <w:highlight w:val="yellow"/>
              </w:rPr>
              <w:t xml:space="preserve">./.)</w:t>
            </w:r>
            <w:r>
              <w:rPr>
                <w:b/>
                <w:bCs/>
                <w:i/>
                <w:iCs/>
                <w:color w:val="000000"/>
                <w:highlight w:val="yellow"/>
              </w:rPr>
            </w:r>
            <w:r>
              <w:rPr>
                <w:b/>
                <w:bCs/>
                <w:i/>
                <w:iCs/>
                <w:color w:val="000000"/>
                <w:highlight w:val="yellow"/>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275/2026/0939/VFI-BC.57.A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23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rStyle w:val="1029"/>
                <w:rFonts w:ascii="Times New Roman" w:hAnsi="Times New Roman"/>
                <w:color w:val="000000" w:themeColor="text1"/>
                <w:lang w:val="pt-BR"/>
              </w:rPr>
            </w:pPr>
            <w:r>
              <w:rPr>
                <w:rStyle w:val="1029"/>
                <w:rFonts w:ascii="Times New Roman" w:hAnsi="Times New Roman"/>
                <w:color w:val="000000" w:themeColor="text1"/>
                <w:lang w:val="pt-BR"/>
              </w:rPr>
            </w:r>
            <w:r>
              <w:rPr>
                <w:rStyle w:val="1029"/>
                <w:rFonts w:ascii="Times New Roman" w:hAnsi="Times New Roman"/>
                <w:color w:val="000000" w:themeColor="text1"/>
                <w:lang w:val="pt-BR"/>
              </w:rPr>
            </w:r>
            <w:r>
              <w:rPr>
                <w:rStyle w:val="1029"/>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275/2026/0939/VFI-CT.57.A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VĂN HOẠT</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001089017150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Thôn Bắc Thượng, xã Nội Bài,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b w:val="0"/>
                <w:bCs w:val="0"/>
                <w:color w:val="000000"/>
              </w:rPr>
            </w:r>
            <w:r>
              <w:rPr>
                <w:rFonts w:ascii="Times New Roman" w:hAnsi="Times New Roman" w:eastAsia="Times New Roman" w:cs="Times New Roman"/>
                <w:b w:val="0"/>
                <w:bCs w:val="0"/>
                <w:color w:val="000000"/>
                <w:sz w:val="24"/>
              </w:rPr>
              <w:t xml:space="preserve">Quyền sử dụng đất tại thửa đất số: 543, tờ bản đồ: 31 có địa chỉ: Thôn Bắc Thượng, xã Nội Bài, Thành phố Hà Nội </w:t>
            </w:r>
            <w:r>
              <w:rPr>
                <w:rFonts w:ascii="Times New Roman" w:hAnsi="Times New Roman" w:eastAsia="Times New Roman" w:cs="Times New Roman"/>
                <w:b w:val="0"/>
                <w:bCs w:val="0"/>
                <w:color w:val="000000"/>
                <w:sz w:val="24"/>
              </w:rPr>
              <w:t xml:space="preserve">theo Giấy chứng nhận quyền sở dụng đất, quyền sở hữu tài sản gắn liền với đất số: AA 06994252, số vào sổ: CN 02042 do Chi nhánh Văn Phòng Đăng Ký Đất Đai Sóc Sơn cấp ngày 26/03/2026; Chủ sử dụng đất là Ông Nguyễn Văn Hoạt.</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z w:val="24"/>
              </w:rPr>
              <w:t xml:space="preserve">Thôn Bắc Thượng, xã Nội Bài,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21.234416666667, 105.79463888889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08/6/2026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color w:val="000000"/>
          <w:sz w:val="24"/>
        </w:rPr>
        <w:t xml:space="preserve">Giấy chứng nhận quyền sở dụng đất, quyền sở hữu tài sản gắn liền với đất số: AA 06994252, số vào sổ: CN 02042 do Chi nhánh Văn Phòng Đăng Ký Đất Đai Sóc Sơn cấp ngày 26/03/2026; Chủ sử dụng đất là Ông Nguyễn Văn Hoạt.</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275/2026/0939/VFI-HĐTĐ.57.A </w:t>
      </w:r>
      <w:r>
        <w:rPr>
          <w:color w:val="000000" w:themeColor="text1"/>
          <w:highlight w:val="yellow"/>
          <w:lang w:val="pt-BR"/>
        </w:rPr>
      </w:r>
      <w:commentRangeStart w:id="1"/>
      <w:r>
        <w:rPr>
          <w:color w:val="000000" w:themeColor="text1"/>
          <w:highlight w:val="yellow"/>
          <w:lang w:val="pt-BR"/>
        </w:rPr>
        <w:t xml:space="preserve">ngày 08/06/2026 giữ</w:t>
      </w:r>
      <w:commentRangeEnd w:id="1"/>
      <w:r>
        <w:commentReference w:id="1"/>
      </w:r>
      <w:r>
        <w:rPr>
          <w:color w:val="000000" w:themeColor="text1"/>
          <w:lang w:val="pt-BR"/>
        </w:rPr>
        <w:t xml:space="preserve">a Ông Nguyễn Văn Hoạt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1. Chung Cư: Đà Tăng Giá Chững, Giao Dịch Tập Trung Ở Khu Vực Vệ Tinh</w:t>
        <w:br/>
        <w:t xml:space="preserve">Thị trường căn hộ tại Hà Nội đang bước vào giai đoạn ổn định sau chu kỳ tăng giá kéo dài từ 2021 đến đầu 2024. Trong quý 1/2025, giá căn hộ không có nhiều biến động mạnh, mức tăng tr</w:t>
      </w:r>
      <w:r>
        <w:rPr>
          <w:shd w:val="clear" w:color="auto" w:fill="ffffff"/>
        </w:rPr>
        <w:t xml:space="preserve">ung bình chỉ từ 1,5–2% so với quý trước – thấp hơn nhiều so với các giai đoạn tăng nóng trước đó.</w:t>
        <w:br/>
        <w:t xml:space="preserve">Theo dữ liệu trực tuyến của Batdongsan.com.vn, giá căn hộ chung cư Hà Nội trong quý 1/2025 đạt mức trung bình 63 triệu/m2, tăng khoảng 61,5% so với đầu năm 20</w:t>
      </w:r>
      <w:r>
        <w:rPr>
          <w:shd w:val="clear" w:color="auto" w:fill="ffffff"/>
        </w:rPr>
        <w:t xml:space="preserve">23 (39 triệu/m2). Hiện tại giá chung cư Hà Nội đang có xu hướng chững nhưng vẫn neo cao.</w:t>
        <w:br/>
        <w:t xml:space="preserve">Nguồn cung dự án mới chủ yếu đến từ các khu vực ven đô như Gia Lâm, Đông Anh, Thạch Thất, Thanh Trì, nơi đang hưởng lợi từ quy hoạch đồng bộ và hạ tầng kết nối với vàn</w:t>
      </w:r>
      <w:r>
        <w:rPr>
          <w:shd w:val="clear" w:color="auto" w:fill="ffffff"/>
        </w:rPr>
        <w:t xml:space="preserve">h đai 3 và tuyến metro số 1. Trong đó, Đông Anh có hai dự án Imperia Signature Cổ Loa và Masteri Grand Avenue đều thuộc phân khúc cao cấp với giá từ 90-120 triệu/m2.</w:t>
        <w:br/>
        <w:t xml:space="preserve">Đáng chú ý, phân khúc bình dân tiếp tục rơi vào tình trạng "trắng nguồn cung" – khi không </w:t>
      </w:r>
      <w:r>
        <w:rPr>
          <w:shd w:val="clear" w:color="auto" w:fill="ffffff"/>
        </w:rPr>
        <w:t xml:space="preserve">có dự án mới nào thuộc nhóm giá dưới 30 triệu đồng/m² được mở bán kể từ năm 2022 đến nay. Điều này tạo ra áp lực lớn cho người mua ở thực có thu nhập thấp.</w:t>
        <w:br/>
        <w:t xml:space="preserve">Trong khi đó, căn hộ trung và cao cấp với mức giá từ 45–70 triệu đồng/m² vẫn có thanh khoản khá, nhấ</w:t>
      </w:r>
      <w:r>
        <w:rPr>
          <w:shd w:val="clear" w:color="auto" w:fill="ffffff"/>
        </w:rPr>
        <w:t xml:space="preserve">t là những dự án có pháp lý rõ ràng, tiến độ xây dựng tốt và chính sách bán hàng linh hoạt (ưu đãi lãi suất, hỗ trợ thanh toán giãn tiến độ…).</w:t>
        <w:br/>
        <w:t xml:space="preserve">2. Nhà Thấp Tầng: Nguồn Cung Tăng Trở Lại, Thu Hút Nhóm Khách Mua Ở Thực</w:t>
        <w:br/>
        <w:t xml:space="preserve">Bất động sản nhà thấp tầng – gồm biệt th</w:t>
      </w:r>
      <w:r>
        <w:rPr>
          <w:shd w:val="clear" w:color="auto" w:fill="ffffff"/>
        </w:rPr>
        <w:t xml:space="preserve">ự, nhà liền kề, shophouse – đang dần phục hồi sau giai đoạn trầm lắng 2023. Theo CBRE, nguồn cung mới trong năm 2025 dự kiến vượt 7.000 căn, đến từ các khu đô thị tại Đan Phượng; Long Biên; Tây Hồ Tây</w:t>
        <w:br/>
        <w:t xml:space="preserve">Điểm mạnh của dòng sản phẩm này là quỹ đất rộng, thiết </w:t>
      </w:r>
      <w:r>
        <w:rPr>
          <w:shd w:val="clear" w:color="auto" w:fill="ffffff"/>
        </w:rPr>
        <w:t xml:space="preserve">kế thoáng, mật độ xây dựng thấp và dễ chuyển nhượng. Tuy nhiên, áp lực về giá khiến giao dịch chủ yếu đến từ nhóm khách hàng có tài chính vững hoặc mua ở thực, ít xuất hiện nhà đầu tư lướt sóng.</w:t>
        <w:br/>
        <w:t xml:space="preserve">Các dự án tiêu biểu có thể kể tới như Sunshine Capital Tây Th</w:t>
      </w:r>
      <w:r>
        <w:rPr>
          <w:shd w:val="clear" w:color="auto" w:fill="ffffff"/>
        </w:rPr>
        <w:t xml:space="preserve">ăng Long, Vinhomes Wonder Park, BRG Smart City Đông Anh… được giới thiệu ra thị trường với mức giá từ 85–150 triệu đồng/m², tùy vị trí và hạng mục.</w:t>
        <w:br/>
        <w:t xml:space="preserve">Trong năm 2024, Hà Nội được coi là điểm sáng về nguồn cung nhà thấp tầng với hơn 6.300 căn nhà phố và biệt t</w:t>
      </w:r>
      <w:r>
        <w:rPr>
          <w:shd w:val="clear" w:color="auto" w:fill="ffffff"/>
        </w:rPr>
        <w:t xml:space="preserve">hự được mở bán mới trong năm qua, chủ yếu từ các đợt mở bán tiếp theo tại các khu đô thị ở Đông Anh và Hà Đông. So với năm 2023, nguồn cung mới tại Hà Nội đã tăng gấp đôi.</w:t>
        <w:br/>
        <w:t xml:space="preserve">Trong bối cảnh nguồn cung mới vẫn tương đối dồi dào, sức hấp thụ của thị trường nhà </w:t>
      </w:r>
      <w:r>
        <w:rPr>
          <w:shd w:val="clear" w:color="auto" w:fill="ffffff"/>
        </w:rPr>
        <w:t xml:space="preserve">phố/biệt thự tại Hà Nội duy trì sự ổn định. Tổng số căn bán được trong cả năm 2024 đã đạt hơn 6.100 căn, tăng hơn 43% so với cùng kỳ năm 2023.</w:t>
        <w:br/>
        <w:t xml:space="preserve">3. Đất Nền: Sức Hút Quay Lại Mạnh Mẽ Tại Các Huyện Ngoại Thành</w:t>
        <w:br/>
        <w:t xml:space="preserve">Phân khúc đất nền đã có sự phục hồi rõ rệt trong đ</w:t>
      </w:r>
      <w:r>
        <w:rPr>
          <w:shd w:val="clear" w:color="auto" w:fill="ffffff"/>
        </w:rPr>
        <w:t xml:space="preserve">ầu năm 2025, đặc biệt là tại các khu vực đang được đầu tư mạnh về hạ tầng và chuẩn bị nâng cấp hành chính.</w:t>
        <w:br/>
        <w:t xml:space="preserve">Theo dữ liệu của Batdongsan.com.vn, trong tháng 3/2025, lượng tìm kiếm đất nền Hà Nội tăng khá mạnh, ở mức 52%, tại TP.HCM tăng 31% và tại các tỉnh k</w:t>
      </w:r>
      <w:r>
        <w:rPr>
          <w:shd w:val="clear" w:color="auto" w:fill="ffffff"/>
        </w:rPr>
        <w:t xml:space="preserve">hác tăng 54% so với tháng 2/2025. Trong khi đó, giá bán đất nền phổ biến vào tháng 3/2025 tại Hà Nội đã tăng 42%, tại TP.HCM tăng 7% và tại các tỉnh khác tăng tới 67% so với tháng 1/2023). Ba khu vực có biến động giá mạnh nhất gồm: Hoài Đức có giá tăng tru</w:t>
      </w:r>
      <w:r>
        <w:rPr>
          <w:shd w:val="clear" w:color="auto" w:fill="ffffff"/>
        </w:rPr>
        <w:t xml:space="preserve">ng bình 81% so với đầu 2023; Đông Anh tăng 53% và Thanh Oai tăng tới 90%.</w:t>
        <w:br/>
        <w:t xml:space="preserve">Nguyên nhân đến từ thông tin quy hoạch, nâng cấp đơn vị hành chính, cùng với xu hướng dịch chuyển dân cư ra khu vực vùng ven. Các lô đất diện tích từ 50–80m² có sổ đỏ, hạ tầng hoàn c</w:t>
      </w:r>
      <w:r>
        <w:rPr>
          <w:shd w:val="clear" w:color="auto" w:fill="ffffff"/>
        </w:rPr>
        <w:t xml:space="preserve">hỉnh là loại hình được săn đón nhiều nhất.</w:t>
        <w:br/>
        <w:t xml:space="preserve">Tuy nhiên, chuyên gia cảnh báo nhà đầu tư nên tránh mua theo tin đồn, chỉ nên tập trung vào các khu vực có pháp lý rõ ràng và quy hoạch đã phê duyệt, để tránh rủi ro “mắc kẹt vốn”.</w:t>
        <w:br/>
        <w:t xml:space="preserve">Nhìn chung, các phân khúc BĐS tạ</w:t>
      </w:r>
      <w:r>
        <w:rPr>
          <w:shd w:val="clear" w:color="auto" w:fill="ffffff"/>
        </w:rPr>
        <w:t xml:space="preserve">i Hà Nội đầu năm 2025 đang phân hóa mạnh. Chung cư ổn định, nhà thấp tầng dần phục hồi, còn đất nền ngoại thành có dấu hiệu tăng nóng trở lại – nhưng tiềm ẩn rủi ro đầu cơ. Nhà đầu tư cần tỉnh táo lựa chọn sản phẩm phù hợp với khẩu vị và dòng vốn của mình.</w:t>
      </w:r>
      <w:r>
        <w:rPr>
          <w:i/>
          <w:iCs/>
          <w:lang w:val="pt-BR"/>
        </w:rPr>
      </w:r>
      <w:r>
        <w:rPr>
          <w:i/>
          <w:iCs/>
          <w:lang w:val="pt-BR"/>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543, tờ bản đồ: 31 có địa chỉ: Thôn Bắc Thượng, xã Nội Bài, Thành phố Hà Nội </w:t>
            </w:r>
            <w:r>
              <w:rPr>
                <w:rFonts w:ascii="Times New Roman" w:hAnsi="Times New Roman" w:eastAsia="Times New Roman" w:cs="Times New Roman"/>
                <w:b/>
                <w:bCs/>
                <w:color w:val="000000"/>
                <w:sz w:val="24"/>
              </w:rPr>
              <w:t xml:space="preserve">theo Giấy chứng nhận quyền sở dụng đất, quyền sở hữu tài sản gắn liền với đất số: AA 06994252, số vào sổ: CN 02042 do Chi nhánh Văn Phòng Đăng Ký Đất Đai Sóc Sơn cấp ngày 26/03/2026; Chủ sử dụng đất là Ông Nguyễn Văn Hoạt.</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543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Thôn Bắc Thượng, xã Nội Bài,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commentRangeStart w:id="2"/>
            <w:r>
              <w:rPr>
                <w:color w:val="000000" w:themeColor="text1"/>
              </w:rPr>
              <w:t xml:space="preserve">Đất ở nông thôn: 150m2 và Đất trồng cây lâu năm: 8m2</w:t>
            </w:r>
            <w:r>
              <w:rPr>
                <w:color w:val="000000"/>
              </w:rPr>
            </w:r>
            <w:commentRangeEnd w:id="2"/>
            <w:r>
              <w:commentReference w:id="2"/>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commentRangeStart w:id="3"/>
            <w:r>
              <w:rPr>
                <w:color w:val="000000" w:themeColor="text1"/>
              </w:rPr>
              <w:t xml:space="preserve">Đất ở nông thôn</w:t>
            </w:r>
            <w:r>
              <w:rPr>
                <w:color w:val="000000" w:themeColor="text1"/>
              </w:rPr>
              <w:t xml:space="preserve">: Lâu dài và </w:t>
            </w:r>
            <w:r>
              <w:rPr>
                <w:color w:val="000000" w:themeColor="text1"/>
              </w:rPr>
              <w:t xml:space="preserve">Đất trồng cây lâu năm:</w:t>
            </w:r>
            <w:r>
              <w:rPr>
                <w:color w:val="000000" w:themeColor="text1"/>
              </w:rPr>
              <w:t xml:space="preserve"> có thời hạn</w:t>
            </w:r>
            <w:r>
              <w:rPr>
                <w:color w:val="000000"/>
              </w:rPr>
            </w:r>
            <w:commentRangeEnd w:id="3"/>
            <w:r>
              <w:commentReference w:id="3"/>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highlight w:val="none"/>
              </w:rPr>
            </w:pPr>
            <w:r>
              <w:rPr>
                <w:color w:val="000000"/>
              </w:rPr>
            </w:r>
            <w:r>
              <mc:AlternateContent>
                <mc:Choice Requires="wpg">
                  <w:drawing>
                    <wp:inline xmlns:wp="http://schemas.openxmlformats.org/drawingml/2006/wordprocessingDrawing" distT="0" distB="0" distL="0" distR="0">
                      <wp:extent cx="3864753" cy="204353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19598" name=""/>
                              <pic:cNvPicPr>
                                <a:picLocks noChangeAspect="1"/>
                              </pic:cNvPicPr>
                              <pic:nvPr/>
                            </pic:nvPicPr>
                            <pic:blipFill rotWithShape="1">
                              <a:blip r:embed="rId17"/>
                              <a:stretch/>
                            </pic:blipFill>
                            <pic:spPr bwMode="auto">
                              <a:xfrm flipH="0" flipV="0">
                                <a:off x="0" y="0"/>
                                <a:ext cx="3864752" cy="20435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4.31pt;height:160.91pt;mso-wrap-distance-left:0.00pt;mso-wrap-distance-top:0.00pt;mso-wrap-distance-right:0.00pt;mso-wrap-distance-bottom:0.00pt;z-index:1;" stroked="false">
                      <v:imagedata r:id="rId17" o:title=""/>
                      <o:lock v:ext="edit" rotation="t"/>
                    </v:shape>
                  </w:pict>
                </mc:Fallback>
              </mc:AlternateContent>
            </w:r>
            <w:r>
              <w:rPr>
                <w:highlight w:val="none"/>
              </w:rPr>
            </w:r>
            <w:r>
              <w:rPr>
                <w:highlight w:val="none"/>
              </w:rPr>
            </w:r>
          </w:p>
          <w:p>
            <w:pPr>
              <w:pBdr/>
              <w:spacing/>
              <w:ind/>
              <w:jc w:val="both"/>
              <w:rPr>
                <w:highlight w:val="none"/>
              </w:rPr>
            </w:pPr>
            <w:r>
              <w:rPr>
                <w:highlight w:val="none"/>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w:t>
            </w:r>
            <w:r>
              <w:rPr>
                <w:highlight w:val="none"/>
              </w:rPr>
            </w:r>
            <w:r>
              <w:rPr>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giao thông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2,9</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trục chính khoảng 100m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Tây Nam tiếp giáp đường giao thông</w:t>
            </w:r>
            <w:r>
              <w:rPr>
                <w:highlight w:val="none"/>
              </w:rPr>
            </w:r>
            <w:r>
              <w:rPr>
                <w:highlight w:val="none"/>
              </w:rPr>
            </w:r>
          </w:p>
          <w:p>
            <w:pPr>
              <w:pBdr/>
              <w:spacing/>
              <w:ind/>
              <w:rPr>
                <w:color w:val="000000" w:themeColor="text1"/>
              </w:rPr>
            </w:pPr>
            <w:r>
              <w:rPr>
                <w:highlight w:val="none"/>
              </w:rP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21.234416666667</w:t>
            </w:r>
            <w:r>
              <w:rPr>
                <w:color w:val="000000"/>
              </w:rPr>
              <w:t xml:space="preserve">, </w:t>
            </w:r>
            <w:r>
              <w:rPr>
                <w:color w:val="000000"/>
              </w:rPr>
              <w:t xml:space="preserve">105.79463888889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5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9,24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Thóp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Dân cư thông thường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Trung bình</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dưới dự hướng dẫn của khách hàng trên đất có nhà mái bằng diện tích gần 60m2 xây dựng năm 2006. Công trình chưa được chứng nhận trên GCN</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dưới dự hướng dẫn của khách hàng, CTXD </w:t>
      </w:r>
      <w:r>
        <w:rPr>
          <w:rFonts w:ascii="Times New Roman" w:hAnsi="Times New Roman" w:eastAsia="Times New Roman" w:cs="Times New Roman"/>
          <w:color w:val="000000"/>
          <w:sz w:val="24"/>
        </w:rPr>
        <w:t xml:space="preserve">có nhà mái bằng diện tích gần 60m2 xây dựng năm 2006. Công trình chưa được chứng nhận trên GCN</w:t>
      </w:r>
      <w:r>
        <w:rPr>
          <w:rFonts w:ascii="Times New Roman" w:hAnsi="Times New Roman" w:eastAsia="Times New Roman" w:cs="Times New Roman"/>
          <w:color w:val="000000"/>
          <w:spacing w:val="-2"/>
          <w:sz w:val="24"/>
        </w:rPr>
        <w:t xml:space="preserve">. Do vậy, theo đề nghị của Ngân hàng/Khách hàng, Tổ thẩm định không xác</w:t>
      </w:r>
      <w:r>
        <w:rPr>
          <w:rFonts w:ascii="Times New Roman" w:hAnsi="Times New Roman" w:eastAsia="Times New Roman" w:cs="Times New Roman"/>
          <w:color w:val="000000"/>
          <w:spacing w:val="-2"/>
          <w:sz w:val="24"/>
        </w:rPr>
        <w:t xml:space="preserve">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commentRangeStart w:id="4"/>
      <w:r>
        <w:rPr>
          <w:b/>
          <w:lang w:val="pt-BR"/>
        </w:rPr>
        <w:t xml:space="preserve"> quyền sử dụng đấ</w:t>
      </w:r>
      <w:r>
        <w:rPr>
          <w:b/>
          <w:lang w:val="pt-BR"/>
        </w:rPr>
        <w:t xml:space="preserve">t ở</w:t>
      </w:r>
      <w:r>
        <w:rPr>
          <w:b/>
          <w:lang w:val="pt-BR"/>
        </w:rPr>
        <w:t xml:space="preserve">:</w:t>
      </w:r>
      <w:r>
        <w:rPr>
          <w:b/>
          <w:lang w:val="pt-BR"/>
        </w:rPr>
      </w:r>
      <w:commentRangeEnd w:id="4"/>
      <w:r>
        <w:commentReference w:id="4"/>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Quang Tiến, Huyện Sóc Sơn,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Hiền Ninh, Huyện Sóc Sơn,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Nội Bài,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Nội Bài, Thành phố Hà Nội</w:t>
            </w:r>
            <w:r>
              <w:rPr>
                <w:sz w:val="22"/>
                <w:szCs w:val="22"/>
              </w:rPr>
            </w:r>
            <w:r>
              <w:rPr>
                <w:sz w:val="22"/>
                <w:szCs w:val="22"/>
              </w:rPr>
            </w:r>
          </w:p>
        </w:tc>
      </w:tr>
      <w:tr>
        <w:trPr>
          <w:trHeight w:val="47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0988332651</w:t>
            </w:r>
            <w:r>
              <w:rPr>
                <w:sz w:val="22"/>
                <w:szCs w:val="22"/>
              </w:rPr>
              <w:t xml:space="preserve"> </w:t>
            </w:r>
            <w:r>
              <w:rPr>
                <w:sz w:val="22"/>
                <w:szCs w:val="22"/>
              </w:rPr>
              <w:br/>
              <w:t xml:space="preserve">(</w:t>
            </w:r>
            <w:r>
              <w:rPr>
                <w:sz w:val="22"/>
                <w:szCs w:val="22"/>
              </w:rPr>
              <w:t xml:space="preserve">Đại Cường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0924222999</w:t>
            </w:r>
            <w:r>
              <w:rPr>
                <w:sz w:val="22"/>
                <w:szCs w:val="22"/>
              </w:rPr>
              <w:br/>
            </w:r>
            <w:r>
              <w:rPr>
                <w:sz w:val="22"/>
                <w:szCs w:val="22"/>
              </w:rPr>
              <w:t xml:space="preserve">(</w:t>
            </w:r>
            <w:r>
              <w:rPr>
                <w:sz w:val="22"/>
                <w:szCs w:val="22"/>
              </w:rPr>
              <w:t xml:space="preserve">Công Phóng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0968147425</w:t>
            </w:r>
            <w:r>
              <w:rPr>
                <w:sz w:val="22"/>
                <w:szCs w:val="22"/>
              </w:rPr>
              <w:br/>
            </w:r>
            <w:r>
              <w:rPr>
                <w:sz w:val="22"/>
                <w:szCs w:val="22"/>
              </w:rPr>
              <w:t xml:space="preserve">(</w:t>
            </w:r>
            <w:r>
              <w:rPr>
                <w:sz w:val="22"/>
                <w:szCs w:val="22"/>
              </w:rPr>
              <w:t xml:space="preserve">Nguyễn Văn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sz w:val="22"/>
                <w:szCs w:val="22"/>
              </w:rPr>
              <w:t xml:space="preserve"> </w:t>
            </w:r>
            <w:r>
              <w:rPr>
                <w:color w:val="000000" w:themeColor="text1"/>
                <w:sz w:val="22"/>
                <w:szCs w:val="22"/>
                <w:highlight w:val="yellow"/>
              </w:rPr>
              <w:t xml:space="preserve">Tháng 06/2026</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150m²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Quang Tiến, Huyện Sóc Sơn, Thành phố Hà Nội, cách trục chính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Hiền Ninh, Huyện Sóc Sơn, Thành phố Hà Nội, khoảng cách ra đường chính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Nội Bài, Thành phố Hà Nội, khoảng cách ra đường chính 210m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Nội Bài, Thành phố Hà Nội, khoảng cách ra đường chính 250m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ở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highlight w:val="white"/>
              </w:rPr>
              <w:t xml:space="preserve">Ngõ cụt</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highlight w:val="white"/>
              </w:rPr>
              <w:t xml:space="preserve">Ngõ Thông</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highlight w:val="white"/>
              </w:rPr>
              <w:t xml:space="preserve">Ngõ thông</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highlight w:val="white"/>
              </w:rPr>
              <w:t xml:space="preserve">Ngõ thông</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left"/>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themeColor="text1"/>
                <w:sz w:val="22"/>
                <w:szCs w:val="22"/>
                <w:highlight w:val="yellow"/>
              </w:rPr>
              <w:t xml:space="preserve">18</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yellow"/>
              </w:rPr>
            </w:pPr>
            <w:r>
              <w:rPr>
                <w:color w:val="000000" w:themeColor="text1"/>
                <w:sz w:val="22"/>
                <w:szCs w:val="22"/>
                <w:highlight w:val="yellow"/>
              </w:rPr>
              <w:t xml:space="preserve">Giá rao (đồng)</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themeColor="text1"/>
                <w:sz w:val="22"/>
                <w:szCs w:val="22"/>
                <w:highlight w:val="yellow"/>
              </w:rPr>
              <w:t xml:space="preserve">19</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yellow"/>
              </w:rPr>
            </w:pPr>
            <w:r>
              <w:rPr>
                <w:color w:val="000000" w:themeColor="text1"/>
                <w:sz w:val="22"/>
                <w:szCs w:val="22"/>
                <w:highlight w:val="yellow"/>
              </w:rPr>
              <w:t xml:space="preserve">Giá thương lượng/bán (đồng)</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23.318.584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28.216.216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29.405.941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2.635.000.000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2.610.000.000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2.970.000.000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23.318.584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28.216.216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29.405.941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23.318.584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28.216.216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29.405.941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150m²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23.318.584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28.216.216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29.405.941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23.318.584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28.216.216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29.405.941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Quang Tiến, Huyện Sóc Sơn, Thành phố Hà Nội, cách trục chính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Hiền Ninh, Huyện Sóc Sơn, Thành phố Hà Nội, khoảng cách ra đường chính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Nội Bài, Thành phố Hà Nội, khoảng cách ra đường chính 210m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Nội Bài, Thành phố Hà Nội, khoảng cách ra đường chính 250m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23.318.584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28.216.216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29.405.941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23.318.584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28.216.216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29.405.941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-1.410.811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23.318.584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26.805.405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29.405.941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ở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-1.165.929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-1.410.811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-1.470.297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22.152.655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25.394.594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27.935.644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1.165.929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1.410.811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882.178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23.318.584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26.805.405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28.817.822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13,54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23.318.584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26.805.405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28.817.822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-1.470.297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23.318.584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26.805.405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27.347.525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-1.632.301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-1.975.135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-2.058.416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21.686.283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24.830.270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25.289.109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sz w:val="22"/>
                <w:highlight w:val="white"/>
              </w:rPr>
            </w:pPr>
            <w:r>
              <w:rPr>
                <w:rFonts w:ascii="Times New Roman" w:hAnsi="Times New Roman" w:eastAsia="Times New Roman" w:cs="Times New Roman"/>
                <w:color w:val="000000" w:themeColor="text1"/>
                <w:sz w:val="22"/>
                <w:highlight w:val="white"/>
              </w:rPr>
              <w:t xml:space="preserve">Ngõ cụt</w:t>
            </w:r>
            <w:r>
              <w:rPr>
                <w:rFonts w:ascii="Times New Roman" w:hAnsi="Times New Roman" w:cs="Times New Roman"/>
                <w:color w:val="000000" w:themeColor="text1"/>
                <w:sz w:val="22"/>
                <w:highlight w:val="white"/>
              </w:rPr>
            </w:r>
            <w:r>
              <w:rPr>
                <w:rFonts w:ascii="Times New Roman" w:hAnsi="Times New Roman" w:cs="Times New Roman"/>
                <w:color w:val="000000" w:themeColor="text1"/>
                <w:sz w:val="22"/>
                <w:highlight w:val="whit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sz w:val="22"/>
                <w:highlight w:val="white"/>
              </w:rPr>
            </w:pPr>
            <w:r>
              <w:rPr>
                <w:rFonts w:ascii="Times New Roman" w:hAnsi="Times New Roman" w:eastAsia="Times New Roman" w:cs="Times New Roman"/>
                <w:color w:val="000000" w:themeColor="text1"/>
                <w:sz w:val="22"/>
                <w:highlight w:val="white"/>
              </w:rPr>
              <w:t xml:space="preserve">Ngõ Thông</w:t>
            </w:r>
            <w:r>
              <w:rPr>
                <w:rFonts w:ascii="Times New Roman" w:hAnsi="Times New Roman" w:cs="Times New Roman"/>
                <w:color w:val="000000" w:themeColor="text1"/>
                <w:sz w:val="22"/>
                <w:highlight w:val="white"/>
              </w:rPr>
            </w:r>
            <w:r>
              <w:rPr>
                <w:rFonts w:ascii="Times New Roman" w:hAnsi="Times New Roman" w:cs="Times New Roman"/>
                <w:color w:val="000000" w:themeColor="text1"/>
                <w:sz w:val="22"/>
                <w:highlight w:val="whit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sz w:val="22"/>
                <w:highlight w:val="white"/>
              </w:rPr>
            </w:pPr>
            <w:r>
              <w:rPr>
                <w:rFonts w:ascii="Times New Roman" w:hAnsi="Times New Roman" w:eastAsia="Times New Roman" w:cs="Times New Roman"/>
                <w:color w:val="000000" w:themeColor="text1"/>
                <w:sz w:val="22"/>
                <w:highlight w:val="white"/>
              </w:rPr>
              <w:t xml:space="preserve">Ngõ thông</w:t>
            </w:r>
            <w:r>
              <w:rPr>
                <w:rFonts w:ascii="Times New Roman" w:hAnsi="Times New Roman" w:cs="Times New Roman"/>
                <w:color w:val="000000" w:themeColor="text1"/>
                <w:sz w:val="22"/>
                <w:highlight w:val="white"/>
              </w:rPr>
            </w:r>
            <w:r>
              <w:rPr>
                <w:rFonts w:ascii="Times New Roman" w:hAnsi="Times New Roman" w:cs="Times New Roman"/>
                <w:color w:val="000000" w:themeColor="text1"/>
                <w:sz w:val="22"/>
                <w:highlight w:val="whit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sz w:val="22"/>
                <w:highlight w:val="white"/>
              </w:rPr>
            </w:pPr>
            <w:r>
              <w:rPr>
                <w:rFonts w:ascii="Times New Roman" w:hAnsi="Times New Roman" w:eastAsia="Times New Roman" w:cs="Times New Roman"/>
                <w:color w:val="000000" w:themeColor="text1"/>
                <w:sz w:val="22"/>
                <w:highlight w:val="white"/>
              </w:rPr>
              <w:t xml:space="preserve">Ngõ thông</w:t>
            </w:r>
            <w:r>
              <w:rPr>
                <w:rFonts w:ascii="Times New Roman" w:hAnsi="Times New Roman" w:cs="Times New Roman"/>
                <w:color w:val="000000" w:themeColor="text1"/>
                <w:sz w:val="22"/>
                <w:highlight w:val="white"/>
              </w:rPr>
            </w:r>
            <w:r>
              <w:rPr>
                <w:rFonts w:ascii="Times New Roman" w:hAnsi="Times New Roman" w:cs="Times New Roman"/>
                <w:color w:val="000000" w:themeColor="text1"/>
                <w:sz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-1.165.929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-1.410.811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-1.470.297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20.520.354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23.419.459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23.818.812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20.520.354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23.419.459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23.818.812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22.586.208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5.130.088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7.618.379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7.351.485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2.798.230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4.796.757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5.587.129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-9,15</w:t>
      </w:r>
      <w:r>
        <w:t xml:space="preserve">% đến</w:t>
      </w:r>
      <w:r>
        <w:t xml:space="preserve"> </w:t>
      </w:r>
      <w:r>
        <w:t xml:space="preserve"> </w:t>
      </w:r>
      <w:r>
        <w:t xml:space="preserve">5,46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20.520.354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6.841.486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23.419.459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7.805.706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23.818.812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7.938.810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22.586.002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22.500.000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22.500.000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bCs/>
        </w:rPr>
      </w:pPr>
      <w:r>
        <w:rPr>
          <w:b/>
          <w:bCs/>
        </w:rPr>
        <w:t xml:space="preserve">Xác </w:t>
      </w:r>
      <w:r>
        <w:rPr>
          <w:rFonts w:ascii="Times New Roman" w:hAnsi="Times New Roman" w:eastAsia="Times New Roman" w:cs="Times New Roman"/>
          <w:b/>
          <w:color w:val="000000"/>
          <w:sz w:val="24"/>
        </w:rPr>
        <w:t xml:space="preserve">định giá trị đất trồng cây lâu năm</w:t>
      </w:r>
      <w:r>
        <w:rPr>
          <w:b/>
          <w:bCs/>
        </w:rPr>
      </w:r>
      <w:r>
        <w:rPr>
          <w:b/>
          <w:bCs/>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0"/>
        <w:jc w:val="both"/>
        <w:rPr/>
      </w:pPr>
      <w:r>
        <w:rPr>
          <w:rFonts w:ascii="Times New Roman" w:hAnsi="Times New Roman" w:eastAsia="Times New Roman" w:cs="Times New Roman"/>
          <w:color w:val="000000"/>
          <w:spacing w:val="-2"/>
          <w:sz w:val="24"/>
        </w:rPr>
        <w:t xml:space="preserve">Khu</w:t>
      </w:r>
      <w:r>
        <w:rPr>
          <w:rFonts w:ascii="Times New Roman" w:hAnsi="Times New Roman" w:eastAsia="Times New Roman" w:cs="Times New Roman"/>
          <w:color w:val="000000"/>
          <w:spacing w:val="3"/>
          <w:sz w:val="23"/>
        </w:rPr>
        <w:t xml:space="preserve"> vực tài sản thẩm định tọa lạc hạn chế giao dịch đất trồng cây hàng năm riêng biệt, do vậy sau khi thống nhất với Khách hàng/Ngân hàng, tổ thẩm định xác định đơn giá quyền sử dụng đất trồng cây hàng năm theo khung giá </w:t>
      </w:r>
      <w:commentRangeStart w:id="5"/>
      <w:r>
        <w:rPr>
          <w:rFonts w:ascii="Times New Roman" w:hAnsi="Times New Roman" w:eastAsia="Times New Roman" w:cs="Times New Roman"/>
          <w:color w:val="000000"/>
          <w:spacing w:val="3"/>
          <w:sz w:val="23"/>
        </w:rPr>
        <w:t xml:space="preserve">Hội Đồng Nhân Dân q</w:t>
      </w:r>
      <w:commentRangeEnd w:id="5"/>
      <w:r>
        <w:commentReference w:id="5"/>
      </w:r>
      <w:r>
        <w:rPr>
          <w:rFonts w:ascii="Times New Roman" w:hAnsi="Times New Roman" w:eastAsia="Times New Roman" w:cs="Times New Roman"/>
          <w:color w:val="000000"/>
          <w:spacing w:val="3"/>
          <w:sz w:val="23"/>
        </w:rPr>
        <w:t xml:space="preserve">uy định:</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Theo Quyết định số: 52/2025/NQ-HĐND ngày 26/11/2025 của Hội Đồng nhân dân thành phố Hà về việc Quy định về Bảng giá đất lần đầu để công bố và áp dụng trên địa bàn Thành phố Hà Nội áp dụng từ ngày 01/01/2026 trên địa bàn Thành phố Hà Nội đơn giá đất trồng c</w:t>
      </w:r>
      <w:r>
        <w:rPr>
          <w:rFonts w:ascii="Times New Roman" w:hAnsi="Times New Roman" w:eastAsia="Times New Roman" w:cs="Times New Roman"/>
          <w:color w:val="000000"/>
          <w:sz w:val="24"/>
        </w:rPr>
        <w:t xml:space="preserve">ây lâu năm tại các huyện </w:t>
      </w:r>
      <w:r>
        <w:rPr>
          <w:rFonts w:ascii="Times New Roman" w:hAnsi="Times New Roman" w:eastAsia="Times New Roman" w:cs="Times New Roman"/>
          <w:color w:val="000000"/>
          <w:sz w:val="24"/>
          <w:szCs w:val="24"/>
          <w:highlight w:val="white"/>
        </w:rPr>
        <w:t xml:space="preserve">Huyện Sóc Sơn (trước sắp xếp</w:t>
      </w:r>
      <w:r>
        <w:rPr>
          <w:rFonts w:ascii="Arial" w:hAnsi="Arial" w:eastAsia="Arial" w:cs="Arial"/>
          <w:color w:val="000000"/>
          <w:sz w:val="18"/>
          <w:highlight w:val="white"/>
        </w:rPr>
        <w:t xml:space="preserve">)</w:t>
      </w:r>
      <w:r>
        <w:rPr>
          <w:rFonts w:ascii="Times New Roman" w:hAnsi="Times New Roman" w:eastAsia="Times New Roman" w:cs="Times New Roman"/>
          <w:color w:val="000000"/>
          <w:sz w:val="24"/>
        </w:rPr>
        <w:t xml:space="preserve"> ở khu vực đồng bằng là </w:t>
      </w:r>
      <w:r>
        <w:rPr>
          <w:rFonts w:ascii="Times New Roman" w:hAnsi="Times New Roman" w:eastAsia="Times New Roman" w:cs="Times New Roman"/>
          <w:color w:val="000000"/>
          <w:sz w:val="24"/>
          <w:highlight w:val="yellow"/>
        </w:rPr>
        <w:t xml:space="preserve">180.000</w:t>
      </w:r>
      <w:r>
        <w:rPr>
          <w:rFonts w:ascii="Times New Roman" w:hAnsi="Times New Roman" w:eastAsia="Times New Roman" w:cs="Times New Roman"/>
          <w:color w:val="000000"/>
          <w:sz w:val="24"/>
        </w:rPr>
        <w:t xml:space="preserve"> đồng/m².</w:t>
      </w:r>
      <w:r>
        <w:rPr>
          <w:rFonts w:ascii="Times New Roman" w:hAnsi="Times New Roman" w:eastAsia="Times New Roman" w:cs="Times New Roman"/>
          <w:sz w:val="24"/>
        </w:rPr>
      </w: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6"/>
        <w:gridCol w:w="1681"/>
        <w:gridCol w:w="1701"/>
        <w:gridCol w:w="2693"/>
        <w:gridCol w:w="2694"/>
      </w:tblGrid>
      <w:tr>
        <w:trPr>
          <w:trHeight w:val="20"/>
        </w:trPr>
        <w:tc>
          <w:tcPr>
            <w:shd w:val="clear" w:color="000000" w:fill="ffffff"/>
            <w:tcBorders/>
            <w:tcW w:w="756"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68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93"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69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56"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07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543, tờ bản đồ: 31 có địa chỉ: Thôn Bắc Thượng, xã Nội Bài, Thành phố Hà Nội </w:t>
            </w:r>
            <w:r>
              <w:rPr>
                <w:rFonts w:ascii="Times New Roman" w:hAnsi="Times New Roman" w:eastAsia="Times New Roman" w:cs="Times New Roman"/>
                <w:b/>
                <w:bCs/>
                <w:color w:val="000000"/>
                <w:sz w:val="24"/>
              </w:rPr>
              <w:t xml:space="preserve">theo Giấy chứng nhận quyền sở dụng đất, quyền sở hữu tài sản gắn liền với đất số: AA 06994252, số vào sổ: CN 02042 do Chi nhánh Văn Phòng Đăng Ký Đất Đai Sóc Sơn cấp ngày 26/03/2026; Chủ sử dụng đất là Ông Nguyễn Văn Hoạt.</w:t>
            </w:r>
            <w:r>
              <w:rPr>
                <w:b/>
                <w:bCs/>
              </w:rPr>
            </w:r>
            <w:r>
              <w:rPr>
                <w:b/>
                <w:bCs/>
              </w:rPr>
            </w:r>
          </w:p>
        </w:tc>
        <w:tc>
          <w:tcPr>
            <w:shd w:val="clear" w:color="000000" w:fill="ffffff"/>
            <w:tcBorders/>
            <w:tcW w:w="269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6"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681"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150</w:t>
            </w:r>
            <w:r>
              <w:rPr>
                <w:color w:val="000000"/>
              </w:rPr>
            </w:r>
            <w:r>
              <w:rPr>
                <w:color w:val="000000"/>
              </w:rPr>
            </w:r>
          </w:p>
        </w:tc>
        <w:tc>
          <w:tcPr>
            <w:shd w:val="clear" w:color="000000" w:fill="ffffff"/>
            <w:tcBorders/>
            <w:tcW w:w="2693" w:type="dxa"/>
            <w:vAlign w:val="center"/>
            <w:textDirection w:val="lrTb"/>
            <w:noWrap w:val="false"/>
          </w:tcPr>
          <w:p>
            <w:pPr>
              <w:pBdr/>
              <w:spacing w:after="40" w:before="40" w:line="288" w:lineRule="auto"/>
              <w:ind/>
              <w:jc w:val="center"/>
              <w:rPr/>
            </w:pPr>
            <w:r>
              <w:rPr>
                <w:color w:val="000000" w:themeColor="text1"/>
              </w:rPr>
              <w:t xml:space="preserve">22.500.000</w:t>
            </w:r>
            <w:r/>
          </w:p>
        </w:tc>
        <w:tc>
          <w:tcPr>
            <w:shd w:val="clear" w:color="000000" w:fill="ffffff"/>
            <w:tcBorders/>
            <w:tcW w:w="2694" w:type="dxa"/>
            <w:vAlign w:val="center"/>
            <w:textDirection w:val="lrTb"/>
            <w:noWrap w:val="false"/>
          </w:tcPr>
          <w:p>
            <w:pPr>
              <w:pBdr/>
              <w:spacing w:after="40" w:before="40" w:line="288" w:lineRule="auto"/>
              <w:ind/>
              <w:jc w:val="center"/>
              <w:rPr/>
            </w:pPr>
            <w:r>
              <w:rPr>
                <w:color w:val="000000" w:themeColor="text1"/>
              </w:rPr>
              <w:t xml:space="preserve">3.375.000.000</w:t>
            </w:r>
            <w:r/>
          </w:p>
        </w:tc>
      </w:tr>
      <w:tr>
        <w:trPr>
          <w:trHeight w:val="20"/>
        </w:trPr>
        <w:tc>
          <w:tcPr>
            <w:shd w:val="clear" w:color="000000" w:fill="ffffff"/>
            <w:tcBorders/>
            <w:tcW w:w="756" w:type="dxa"/>
            <w:vAlign w:val="center"/>
            <w:vMerge w:val="restart"/>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1681" w:type="dxa"/>
            <w:vAlign w:val="center"/>
            <w:vMerge w:val="restart"/>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701"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8</w:t>
            </w:r>
            <w:r>
              <w:rPr>
                <w:color w:val="000000" w:themeColor="text1"/>
              </w:rPr>
            </w:r>
            <w:r>
              <w:rPr>
                <w:color w:val="000000" w:themeColor="text1"/>
              </w:rPr>
            </w:r>
          </w:p>
        </w:tc>
        <w:tc>
          <w:tcPr>
            <w:shd w:val="clear" w:color="000000" w:fill="ffffff"/>
            <w:tcBorders/>
            <w:tcW w:w="2693"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r>
            <w:commentRangeStart w:id="6"/>
            <w:r>
              <w:rPr>
                <w:color w:val="000000" w:themeColor="text1"/>
              </w:rPr>
              <w:t xml:space="preserve">180.000</w:t>
            </w:r>
            <w:r>
              <w:rPr>
                <w:color w:val="000000" w:themeColor="text1"/>
              </w:rPr>
            </w:r>
            <w:commentRangeEnd w:id="6"/>
            <w:r>
              <w:commentReference w:id="6"/>
            </w:r>
            <w:r>
              <w:rPr>
                <w:color w:val="000000" w:themeColor="text1"/>
              </w:rPr>
            </w:r>
            <w:r>
              <w:rPr>
                <w:color w:val="000000" w:themeColor="text1"/>
              </w:rPr>
            </w:r>
          </w:p>
        </w:tc>
        <w:tc>
          <w:tcPr>
            <w:shd w:val="clear" w:color="000000" w:fill="ffffff"/>
            <w:tcBorders/>
            <w:tcW w:w="2694"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t xml:space="preserve">1.440.000</w:t>
            </w:r>
            <w:r>
              <w:rPr>
                <w:color w:val="000000" w:themeColor="text1"/>
              </w:rPr>
            </w:r>
            <w:r>
              <w:rPr>
                <w:color w:val="000000" w:themeColor="text1"/>
              </w:rPr>
            </w:r>
          </w:p>
        </w:tc>
      </w:tr>
      <w:tr>
        <w:trPr>
          <w:trHeight w:val="20"/>
        </w:trPr>
        <w:tc>
          <w:tcPr>
            <w:gridSpan w:val="4"/>
            <w:tcBorders/>
            <w:tcW w:w="683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694" w:type="dxa"/>
            <w:vAlign w:val="center"/>
            <w:textDirection w:val="lrTb"/>
            <w:noWrap/>
          </w:tcPr>
          <w:p>
            <w:pPr>
              <w:pBdr/>
              <w:spacing w:after="40" w:before="40" w:line="288" w:lineRule="auto"/>
              <w:ind/>
              <w:jc w:val="center"/>
              <w:rPr>
                <w:b/>
                <w:bCs/>
                <w:color w:val="000000"/>
              </w:rPr>
            </w:pPr>
            <w:r>
              <w:t xml:space="preserve">3.376.440.000</w:t>
            </w:r>
            <w:r>
              <w:rPr>
                <w:b/>
                <w:bCs/>
                <w:color w:val="000000"/>
              </w:rPr>
            </w:r>
            <w:r>
              <w:rPr>
                <w:b/>
                <w:bCs/>
                <w:color w:val="000000"/>
              </w:rPr>
            </w:r>
          </w:p>
        </w:tc>
      </w:tr>
      <w:tr>
        <w:trPr>
          <w:trHeight w:val="20"/>
        </w:trPr>
        <w:tc>
          <w:tcPr>
            <w:gridSpan w:val="4"/>
            <w:tcBorders/>
            <w:tcW w:w="683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694" w:type="dxa"/>
            <w:vAlign w:val="center"/>
            <w:textDirection w:val="lrTb"/>
            <w:noWrap/>
          </w:tcPr>
          <w:p>
            <w:pPr>
              <w:pBdr/>
              <w:spacing w:after="40" w:before="40" w:line="288" w:lineRule="auto"/>
              <w:ind/>
              <w:jc w:val="center"/>
              <w:rPr>
                <w:b/>
                <w:bCs/>
                <w:color w:val="000000"/>
              </w:rPr>
            </w:pPr>
            <w:r>
              <w:rPr>
                <w:b/>
                <w:bCs/>
                <w:color w:val="000000"/>
              </w:rPr>
              <w:t xml:space="preserve">3.376.400.000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ba trăm bảy mươi sáu triệu bốn trăm nghìn đồng </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rPr>
      </w:pPr>
      <w:r>
        <w:rPr>
          <w:rFonts w:ascii="Times New Roman" w:hAnsi="Times New Roman" w:eastAsia="Times New Roman" w:cs="Times New Roman"/>
          <w:color w:val="000000"/>
          <w:spacing w:val="-2"/>
          <w:sz w:val="24"/>
        </w:rPr>
        <w:t xml:space="preserve">Tại thời điểm khảo sát dưới dự hướng dẫn của khách hàng, CTXD </w:t>
      </w:r>
      <w:r>
        <w:rPr>
          <w:rFonts w:ascii="Times New Roman" w:hAnsi="Times New Roman" w:eastAsia="Times New Roman" w:cs="Times New Roman"/>
          <w:color w:val="000000"/>
          <w:sz w:val="24"/>
        </w:rPr>
        <w:t xml:space="preserve">có nhà mái bằng diện tích gần 60m2 xây dựng năm 2006. Công trình chưa được chứng nhận trên GCN</w:t>
      </w:r>
      <w:r>
        <w:rPr>
          <w:rFonts w:ascii="Times New Roman" w:hAnsi="Times New Roman" w:eastAsia="Times New Roman" w:cs="Times New Roman"/>
          <w:color w:val="000000"/>
          <w:spacing w:val="-2"/>
          <w:sz w:val="24"/>
        </w:rPr>
        <w:t xml:space="preserve">. Do vậy, theo đề nghị của Ngân hàng/Khách hàng, Tổ thẩm định không xác</w:t>
      </w:r>
      <w:r>
        <w:rPr>
          <w:rFonts w:ascii="Times New Roman" w:hAnsi="Times New Roman" w:eastAsia="Times New Roman" w:cs="Times New Roman"/>
          <w:color w:val="000000"/>
          <w:spacing w:val="-2"/>
          <w:sz w:val="24"/>
        </w:rPr>
        <w:t xml:space="preserve">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Bdr/>
        <w:tabs>
          <w:tab w:val="left" w:leader="none" w:pos="993"/>
        </w:tabs>
        <w:spacing w:after="120" w:before="120" w:line="288" w:lineRule="auto"/>
        <w:ind w:firstLine="0" w:left="360"/>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275/2026/0939/VFI-CT.57.A</w:t>
      </w:r>
      <w:r>
        <w:rPr>
          <w:color w:val="ff0000"/>
          <w:lang w:val="vi-VN"/>
        </w:rPr>
        <w:t xml:space="preserve"> </w:t>
      </w:r>
      <w:r>
        <w:rPr>
          <w:color w:val="000000" w:themeColor="text1"/>
        </w:rPr>
        <w:t xml:space="preserve">ngày 23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275/2026/0939/VFI-BC.57.A</w:t>
      </w:r>
      <w:r>
        <w:rPr>
          <w:i/>
          <w:lang w:val="pt-BR"/>
        </w:rPr>
        <w:t xml:space="preserve"> ngày </w:t>
      </w:r>
      <w:r>
        <w:rPr>
          <w:i/>
          <w:lang w:val="pt-BR"/>
        </w:rPr>
        <w:t xml:space="preserve">23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887616" cy="192645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981451" name=""/>
                              <pic:cNvPicPr>
                                <a:picLocks noChangeAspect="1"/>
                              </pic:cNvPicPr>
                              <pic:nvPr/>
                            </pic:nvPicPr>
                            <pic:blipFill rotWithShape="1">
                              <a:blip r:embed="rId19"/>
                              <a:stretch/>
                            </pic:blipFill>
                            <pic:spPr bwMode="auto">
                              <a:xfrm flipH="0" flipV="0">
                                <a:off x="0" y="0"/>
                                <a:ext cx="887616" cy="1926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69.89pt;height:151.6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0882" cy="206630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86998" name=""/>
                              <pic:cNvPicPr>
                                <a:picLocks noChangeAspect="1"/>
                              </pic:cNvPicPr>
                              <pic:nvPr/>
                            </pic:nvPicPr>
                            <pic:blipFill rotWithShape="1">
                              <a:blip r:embed="rId20"/>
                              <a:stretch/>
                            </pic:blipFill>
                            <pic:spPr bwMode="auto">
                              <a:xfrm flipH="0" flipV="0">
                                <a:off x="0" y="0"/>
                                <a:ext cx="2760881" cy="20663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39pt;height:162.7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4035" cy="215680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55968" name=""/>
                              <pic:cNvPicPr>
                                <a:picLocks noChangeAspect="1"/>
                              </pic:cNvPicPr>
                              <pic:nvPr/>
                            </pic:nvPicPr>
                            <pic:blipFill rotWithShape="1">
                              <a:blip r:embed="rId21"/>
                              <a:stretch/>
                            </pic:blipFill>
                            <pic:spPr bwMode="auto">
                              <a:xfrm flipH="0" flipV="0">
                                <a:off x="0" y="0"/>
                                <a:ext cx="2894034" cy="21568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88pt;height:169.8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6589" cy="211154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128053" name=""/>
                              <pic:cNvPicPr>
                                <a:picLocks noChangeAspect="1"/>
                              </pic:cNvPicPr>
                              <pic:nvPr/>
                            </pic:nvPicPr>
                            <pic:blipFill rotWithShape="1">
                              <a:blip r:embed="rId22"/>
                              <a:stretch/>
                            </pic:blipFill>
                            <pic:spPr bwMode="auto">
                              <a:xfrm flipH="0" flipV="0">
                                <a:off x="0" y="0"/>
                                <a:ext cx="2836589" cy="21115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3.35pt;height:166.2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5460" cy="212664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70076" name=""/>
                              <pic:cNvPicPr>
                                <a:picLocks noChangeAspect="1"/>
                              </pic:cNvPicPr>
                              <pic:nvPr/>
                            </pic:nvPicPr>
                            <pic:blipFill rotWithShape="1">
                              <a:blip r:embed="rId23"/>
                              <a:stretch/>
                            </pic:blipFill>
                            <pic:spPr bwMode="auto">
                              <a:xfrm flipH="0" flipV="0">
                                <a:off x="0" y="0"/>
                                <a:ext cx="2865459" cy="21266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63pt;height:167.45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3603" cy="212117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0434" name=""/>
                              <pic:cNvPicPr>
                                <a:picLocks noChangeAspect="1"/>
                              </pic:cNvPicPr>
                              <pic:nvPr/>
                            </pic:nvPicPr>
                            <pic:blipFill rotWithShape="1">
                              <a:blip r:embed="rId24"/>
                              <a:stretch/>
                            </pic:blipFill>
                            <pic:spPr bwMode="auto">
                              <a:xfrm flipH="0" flipV="0">
                                <a:off x="0" y="0"/>
                                <a:ext cx="2843602" cy="2121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3.91pt;height:167.02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275/2026/0939/VFI-BC.57.A</w:t>
      </w:r>
      <w:r>
        <w:rPr>
          <w:i/>
          <w:lang w:val="pt-BR"/>
        </w:rPr>
        <w:t xml:space="preserve"> ngày</w:t>
      </w:r>
      <w:r>
        <w:rPr>
          <w:i/>
          <w:lang w:val="pt-BR"/>
        </w:rPr>
        <w:t xml:space="preserve"> 23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0988332651</w:t>
            </w:r>
            <w:r>
              <w:rPr>
                <w:sz w:val="22"/>
                <w:szCs w:val="22"/>
              </w:rPr>
              <w:t xml:space="preserve"> </w:t>
            </w:r>
            <w:r>
              <w:rPr>
                <w:sz w:val="22"/>
                <w:szCs w:val="22"/>
              </w:rPr>
              <w:br/>
              <w:t xml:space="preserve">(Đại Cường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(113m²)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Hiền Ninh, Huyện Sóc Sơn, Thành phố Hà Nội, khoảng cách ra đường chính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410478" cy="1908582"/>
                      <wp:effectExtent l="0" t="0" r="0" b="0"/>
                      <wp:docPr id="13" name=""/>
                      <wp:cNvGraphicFramePr/>
                      <a:graphic xmlns:a="http://schemas.openxmlformats.org/drawingml/2006/main">
                        <a:graphicData uri="http://schemas.openxmlformats.org/drawingml/2006/picture">
                          <pic:pic xmlns:pic="http://schemas.openxmlformats.org/drawingml/2006/picture">
                            <pic:nvPicPr>
                              <pic:cNvPr id="1445856132" name="" descr=""/>
                              <pic:cNvPicPr/>
                              <pic:nvPr/>
                            </pic:nvPicPr>
                            <pic:blipFill rotWithShape="1">
                              <a:blip r:embed="rId25"/>
                              <a:stretch/>
                            </pic:blipFill>
                            <pic:spPr bwMode="auto">
                              <a:xfrm flipH="0" flipV="0">
                                <a:off x="0" y="0"/>
                                <a:ext cx="1410477" cy="19085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1.06pt;height:150.28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174320" cy="1908582"/>
                      <wp:effectExtent l="0" t="0" r="0" b="0"/>
                      <wp:docPr id="14" name=""/>
                      <wp:cNvGraphicFramePr/>
                      <a:graphic xmlns:a="http://schemas.openxmlformats.org/drawingml/2006/main">
                        <a:graphicData uri="http://schemas.openxmlformats.org/drawingml/2006/picture">
                          <pic:pic xmlns:pic="http://schemas.openxmlformats.org/drawingml/2006/picture">
                            <pic:nvPicPr>
                              <pic:cNvPr id="1248527478" name="" descr=""/>
                              <pic:cNvPicPr/>
                              <pic:nvPr/>
                            </pic:nvPicPr>
                            <pic:blipFill rotWithShape="1">
                              <a:blip r:embed="rId26"/>
                              <a:stretch/>
                            </pic:blipFill>
                            <pic:spPr bwMode="auto">
                              <a:xfrm rot="0" flipH="0" flipV="0">
                                <a:off x="0" y="0"/>
                                <a:ext cx="1174320" cy="19085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92.47pt;height:150.28pt;mso-wrap-distance-left:0.00pt;mso-wrap-distance-top:0.00pt;mso-wrap-distance-right:0.00pt;mso-wrap-distance-bottom:0.00pt;rotation:0;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0924222999</w:t>
            </w:r>
            <w:r>
              <w:rPr>
                <w:sz w:val="22"/>
                <w:szCs w:val="22"/>
              </w:rPr>
              <w:t xml:space="preserve"> </w:t>
            </w:r>
            <w:r>
              <w:rPr>
                <w:sz w:val="22"/>
                <w:szCs w:val="22"/>
              </w:rPr>
              <w:br/>
              <w:t xml:space="preserve">(Công Phóng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(92.5m²)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Nội Bài, Thành phố Hà Nội, khoảng cách ra đường chính 210m9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51577"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4515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50.52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073"/>
        <w:gridCol w:w="491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0968147425</w:t>
            </w:r>
            <w:r>
              <w:rPr>
                <w:sz w:val="22"/>
                <w:szCs w:val="22"/>
              </w:rPr>
              <w:t xml:space="preserve"> </w:t>
            </w:r>
            <w:r>
              <w:rPr>
                <w:sz w:val="22"/>
                <w:szCs w:val="22"/>
              </w:rPr>
              <w:br/>
              <w:t xml:space="preserve">(Nguyễn Văn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2.970.000.000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Nội Bài, Thành phố Hà Nội, khoảng cách ra đường chính 250m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101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7,46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4677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44677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50.14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Nguyễn Minh Phúc</w:t>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810095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48137" name=""/>
                        <pic:cNvPicPr>
                          <a:picLocks noChangeAspect="1"/>
                        </pic:cNvPicPr>
                        <pic:nvPr/>
                      </pic:nvPicPr>
                      <pic:blipFill rotWithShape="1">
                        <a:blip r:embed="rId33"/>
                        <a:stretch/>
                      </pic:blipFill>
                      <pic:spPr bwMode="auto">
                        <a:xfrm>
                          <a:off x="0" y="0"/>
                          <a:ext cx="6048374" cy="81009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7.87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pacing w:after="200" w:line="276" w:lineRule="auto"/>
        <w:ind/>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6048375" cy="8474464"/>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87827" name=""/>
                        <pic:cNvPicPr>
                          <a:picLocks noChangeAspect="1"/>
                        </pic:cNvPicPr>
                        <pic:nvPr/>
                      </pic:nvPicPr>
                      <pic:blipFill rotWithShape="1">
                        <a:blip r:embed="rId34"/>
                        <a:stretch/>
                      </pic:blipFill>
                      <pic:spPr bwMode="auto">
                        <a:xfrm>
                          <a:off x="0" y="0"/>
                          <a:ext cx="6048374" cy="84744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67.28pt;mso-wrap-distance-left:0.00pt;mso-wrap-distance-top:0.00pt;mso-wrap-distance-right:0.00pt;mso-wrap-distance-bottom:0.00pt;z-index:1;" stroked="false">
                <v:imagedata r:id="rId34"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highlight w:val="none"/>
          <w:lang w:val="pt-BR" w:bidi="pt-BR"/>
        </w:rPr>
        <w:t xml:space="preserve">                                                        BIÊN BẢN KHẢO SÁT</w:t>
      </w:r>
      <w:r>
        <w:rPr>
          <w:highlight w:val="none"/>
          <w:lang w:val="pt-BR" w:bidi="pt-BR"/>
        </w:rPr>
      </w:r>
      <w:r>
        <w:rPr>
          <w:highlight w:val="none"/>
          <w:lang w:val="pt-BR" w:bidi="pt-BR"/>
        </w:rPr>
      </w:r>
    </w:p>
    <w:p>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54605"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Nguyễn Thị Thùy Dương" w:date="2026-06-26T13:51:40Z" w:initials="NTTD">
    <w:p w14:paraId="00000001" w14:textId="00000001">
      <w:pPr>
        <w:spacing w:line="240" w:after="0" w:lineRule="auto" w:before="0"/>
        <w:ind w:firstLine="0" w:left="0" w:right="0"/>
        <w:jc w:val="left"/>
      </w:pPr>
      <w:r>
        <w:rPr>
          <w:rFonts w:eastAsia="Arial" w:ascii="Arial" w:hAnsi="Arial" w:cs="Arial"/>
          <w:sz w:val="22"/>
        </w:rPr>
        <w:t xml:space="preserve">180 hay 182</w:t>
      </w:r>
    </w:p>
  </w:comment>
  <w:comment w:id="5" w:author="Nguyễn Thị Thùy Dương" w:date="2026-06-26T13:50:55Z" w:initials="NTTD">
    <w:p w14:paraId="00000002" w14:textId="00000002">
      <w:pPr>
        <w:spacing w:line="240" w:after="0" w:lineRule="auto" w:before="0"/>
        <w:ind w:firstLine="0" w:left="0" w:right="0"/>
        <w:jc w:val="left"/>
      </w:pPr>
      <w:r>
        <w:rPr>
          <w:rFonts w:eastAsia="Arial" w:ascii="Arial" w:hAnsi="Arial" w:cs="Arial"/>
          <w:sz w:val="22"/>
        </w:rPr>
        <w:t xml:space="preserve">Hội đồng nhân dân</w:t>
      </w:r>
    </w:p>
  </w:comment>
  <w:comment w:id="4" w:author="Nguyễn Thị Thùy Dương" w:date="2026-06-26T13:48:26Z" w:initials="NTTD">
    <w:p w14:paraId="00000003" w14:textId="00000003">
      <w:pPr>
        <w:spacing w:line="240" w:after="0" w:lineRule="auto" w:before="0"/>
        <w:ind w:firstLine="0" w:left="0" w:right="0"/>
        <w:jc w:val="left"/>
      </w:pPr>
      <w:r>
        <w:rPr>
          <w:rFonts w:eastAsia="Arial" w:ascii="Arial" w:hAnsi="Arial" w:cs="Arial"/>
          <w:sz w:val="22"/>
        </w:rPr>
        <w:t xml:space="preserve">đất ở</w:t>
      </w:r>
    </w:p>
  </w:comment>
  <w:comment w:id="3" w:author="Nguyễn Thị Thùy Dương" w:date="2026-06-26T11:56:27Z" w:initials="NTTD">
    <w:p w14:paraId="00000004" w14:textId="00000004">
      <w:pPr>
        <w:spacing w:line="240" w:after="0" w:lineRule="auto" w:before="0"/>
        <w:ind w:firstLine="0" w:left="0" w:right="0"/>
        <w:jc w:val="left"/>
      </w:pPr>
      <w:r>
        <w:rPr>
          <w:rFonts w:eastAsia="Arial" w:ascii="Arial" w:hAnsi="Arial" w:cs="Arial"/>
          <w:sz w:val="22"/>
        </w:rPr>
        <w:t xml:space="preserve">Ghi rõ loại đất và thời hạn đất cây</w:t>
      </w:r>
    </w:p>
  </w:comment>
  <w:comment w:id="2" w:author="Nguyễn Thị Thùy Dương" w:date="2026-06-26T11:55:39Z" w:initials="NTTD">
    <w:p w14:paraId="00000005" w14:textId="00000005">
      <w:pPr>
        <w:spacing w:line="240" w:after="0" w:lineRule="auto" w:before="0"/>
        <w:ind w:firstLine="0" w:left="0" w:right="0"/>
        <w:jc w:val="left"/>
      </w:pPr>
      <w:r>
        <w:rPr>
          <w:rFonts w:eastAsia="Arial" w:ascii="Arial" w:hAnsi="Arial" w:cs="Arial"/>
          <w:sz w:val="22"/>
        </w:rPr>
        <w:t xml:space="preserve">Chi tiết diệ tích từng mục đích</w:t>
      </w:r>
    </w:p>
  </w:comment>
  <w:comment w:id="1" w:author="Nguyễn Thị Thùy Dương" w:date="2026-06-26T11:54:28Z" w:initials="NTTD">
    <w:p w14:paraId="00000006" w14:textId="00000006">
      <w:pPr>
        <w:spacing w:line="240" w:after="0" w:lineRule="auto" w:before="0"/>
        <w:ind w:firstLine="0" w:left="0" w:right="0"/>
        <w:jc w:val="left"/>
      </w:pPr>
      <w:r>
        <w:rPr>
          <w:rFonts w:eastAsia="Arial" w:ascii="Arial" w:hAnsi="Arial" w:cs="Arial"/>
          <w:sz w:val="22"/>
        </w:rPr>
        <w:t xml:space="preserve">sai ngày</w:t>
      </w:r>
    </w:p>
  </w:comment>
  <w:comment w:id="0" w:author="Nguyễn Thị Thùy Dương" w:date="2026-06-26T13:53:24Z" w:initials="NTTD">
    <w:p w14:paraId="00000007" w14:textId="00000007">
      <w:pPr>
        <w:spacing w:line="240" w:after="0" w:lineRule="auto" w:before="0"/>
        <w:ind w:firstLine="0" w:left="0" w:right="0"/>
        <w:jc w:val="left"/>
      </w:pPr>
      <w:r>
        <w:rPr>
          <w:rFonts w:eastAsia="Arial" w:ascii="Arial" w:hAnsi="Arial" w:cs="Arial"/>
          <w:sz w:val="22"/>
        </w:rPr>
        <w:t xml:space="preserve">Dưới biện luận 182K</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Ex w15:paraId="00000006" w15:done="0"/>
  <w15:commentEx w15:paraId="0000000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6FE9AA7" w16cex:dateUtc="2026-06-26T06:51:40Z"/>
  <w16cex:commentExtensible w16cex:durableId="453FB6FB" w16cex:dateUtc="2026-06-26T06:50:55Z"/>
  <w16cex:commentExtensible w16cex:durableId="021F43A8" w16cex:dateUtc="2026-06-26T06:48:26Z"/>
  <w16cex:commentExtensible w16cex:durableId="6F8F84A8" w16cex:dateUtc="2026-06-26T04:56:27Z"/>
  <w16cex:commentExtensible w16cex:durableId="6FD2B8C6" w16cex:dateUtc="2026-06-26T04:55:39Z"/>
  <w16cex:commentExtensible w16cex:durableId="0C0AB9E6" w16cex:dateUtc="2026-06-26T04:54:28Z"/>
  <w16cex:commentExtensible w16cex:durableId="4B93DF10" w16cex:dateUtc="2026-06-26T06:53:2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6FE9AA7"/>
  <w16cid:commentId w16cid:paraId="00000002" w16cid:durableId="453FB6FB"/>
  <w16cid:commentId w16cid:paraId="00000003" w16cid:durableId="021F43A8"/>
  <w16cid:commentId w16cid:paraId="00000004" w16cid:durableId="6F8F84A8"/>
  <w16cid:commentId w16cid:paraId="00000005" w16cid:durableId="6FD2B8C6"/>
  <w16cid:commentId w16cid:paraId="00000006" w16cid:durableId="0C0AB9E6"/>
  <w16cid:commentId w16cid:paraId="00000007" w16cid:durableId="4B93DF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A4FF90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nsid w:val="7A4FF90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comments" Target="comments.xml" /><Relationship Id="rId37" Type="http://schemas.microsoft.com/office/2011/relationships/commentsExtended" Target="commentsExtended.xml" /><Relationship Id="rId38" Type="http://schemas.microsoft.com/office/2018/08/relationships/commentsExtensible" Target="commentsExtensible.xml" /><Relationship Id="rId39" Type="http://schemas.microsoft.com/office/2016/09/relationships/commentsIds" Target="commentsIds.xml" /><Relationship Id="rId4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282</cp:revision>
  <dcterms:created xsi:type="dcterms:W3CDTF">2025-09-15T09:58:00Z</dcterms:created>
  <dcterms:modified xsi:type="dcterms:W3CDTF">2026-06-26T07:15:54Z</dcterms:modified>
</cp:coreProperties>
</file>