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6872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71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275/2026/0908/VFI-CT.69.A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Hách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w:t>
                            </w:r>
                            <w:r>
                              <w:rPr>
                                <w:color w:val="000000"/>
                              </w:rPr>
                              <w:t xml:space="preserve">ng Bình Hưng Hoà, Thành phố Hồ Chí Minh) theo 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1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275/2026/0908/VFI-CT.69.A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Văn Hách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w:t>
                      </w:r>
                      <w:r>
                        <w:rPr>
                          <w:color w:val="000000"/>
                        </w:rPr>
                        <w:t xml:space="preserve">ng Bình Hưng Hoà, Thành phố Hồ Chí Minh) theo 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24-31</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3543"/>
        <w:gridCol w:w="6094"/>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275/2026/0908/VFI-CT.69.A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Hách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275/2026/0908/VFI-HĐTĐ.69.A</w:t>
      </w:r>
      <w:r>
        <w:rPr>
          <w:spacing w:val="-4"/>
          <w:lang w:val="vi-VN"/>
        </w:rPr>
        <w:t xml:space="preserve"> ký ngày </w:t>
      </w:r>
      <w:r>
        <w:rPr>
          <w:color w:val="000000" w:themeColor="text1"/>
          <w:spacing w:val="-4"/>
        </w:rPr>
        <w:t xml:space="preserve">12 tháng 6 năm 2026</w:t>
      </w:r>
      <w:r>
        <w:rPr>
          <w:spacing w:val="-4"/>
          <w:lang w:val="vi-VN"/>
        </w:rPr>
        <w:t xml:space="preserve"> </w:t>
      </w:r>
      <w:r>
        <w:rPr>
          <w:spacing w:val="-4"/>
          <w:lang w:val="vi-VN"/>
        </w:rPr>
        <w:t xml:space="preserve">giữa </w:t>
      </w:r>
      <w:r>
        <w:rPr>
          <w:color w:val="000000" w:themeColor="text1"/>
          <w:spacing w:val="-4"/>
        </w:rPr>
        <w:t xml:space="preserve">Ông Phạm Văn Hách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275/2026/0908/VFI-BC.69.A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Phạm </w:t>
            </w:r>
            <w:r>
              <w:rPr>
                <w:b/>
                <w:bCs/>
              </w:rPr>
              <w:t xml:space="preserve">Văn </w:t>
            </w:r>
            <w:r>
              <w:rPr>
                <w:b/>
                <w:bCs/>
              </w:rPr>
              <w:t xml:space="preserve">Hách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033088009303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w:t>
      </w:r>
      <w:r>
        <w:rPr>
          <w:color w:val="000000" w:themeColor="text1"/>
        </w:rPr>
        <w:t xml:space="preserve">ng Bình Hưng Hoà, Thành phố Hồ Chí Minh) theo 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2"/>
        <w:gridCol w:w="1714"/>
        <w:gridCol w:w="1736"/>
        <w:gridCol w:w="1432"/>
        <w:gridCol w:w="1966"/>
        <w:gridCol w:w="1984"/>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714"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Diện tích </w:t>
              <w:br/>
              <w:t xml:space="preserve">(m²)</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432"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Đơn giá </w:t>
              <w:br/>
              <w:t xml:space="preserve">(đồng/m²)</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CLCL </w:t>
              <w:br/>
              <w:t xml:space="preserve">(%)</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Thành tiền </w:t>
              <w:br/>
              <w:t xml:space="preserve">(đồng)</w:t>
            </w:r>
            <w:r>
              <w:rPr>
                <w:sz w:val="24"/>
                <w:szCs w:val="24"/>
              </w:rPr>
            </w:r>
            <w:r>
              <w:rPr>
                <w:sz w:val="24"/>
                <w:szCs w:val="24"/>
              </w:rPr>
            </w:r>
          </w:p>
        </w:tc>
      </w:tr>
      <w:tr>
        <w:trPr>
          <w:trHeight w:val="2759"/>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val="false"/>
          </w:tcPr>
          <w:p>
            <w:pPr>
              <w:pBdr/>
              <w:spacing w:after="0" w:before="0" w:line="276" w:lineRule="auto"/>
              <w:ind/>
              <w:jc w:val="both"/>
              <w:rPr>
                <w:sz w:val="24"/>
                <w:szCs w:val="24"/>
              </w:rPr>
            </w:pPr>
            <w:r>
              <w:rPr>
                <w:rFonts w:ascii="Times New Roman" w:hAnsi="Times New Roman" w:eastAsia="Times New Roman" w:cs="Times New Roman"/>
                <w:b/>
                <w:color w:val="000000"/>
                <w:sz w:val="24"/>
                <w:szCs w:val="24"/>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Phường Bình Hưng Hoà, Thành phố Hồ Chí Minh) theo </w:t>
            </w:r>
            <w:r>
              <w:rPr>
                <w:rFonts w:ascii="Times New Roman" w:hAnsi="Times New Roman" w:eastAsia="Times New Roman" w:cs="Times New Roman"/>
                <w:b/>
                <w:color w:val="000000"/>
                <w:sz w:val="24"/>
                <w:szCs w:val="24"/>
              </w:rPr>
              <w:t xml:space="preserve">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r>
      <w:tr>
        <w:trPr>
          <w:trHeight w:val="415"/>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1</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14"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Đất ở tại đô thị </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242,0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432"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70.500.000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66"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100%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17.061.000.000</w:t>
            </w:r>
            <w:r>
              <w:rPr>
                <w:sz w:val="24"/>
                <w:szCs w:val="24"/>
              </w:rPr>
            </w:r>
            <w:r>
              <w:rPr>
                <w:sz w:val="24"/>
                <w:szCs w:val="24"/>
              </w:rP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14"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Nhà ở riêng lẻ</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242,0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432"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6.240.844</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66"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color w:val="000000"/>
                <w:sz w:val="24"/>
                <w:szCs w:val="24"/>
              </w:rPr>
              <w:t xml:space="preserve">75%</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color w:val="000000"/>
                <w:sz w:val="24"/>
                <w:szCs w:val="24"/>
              </w:rPr>
              <w:t xml:space="preserve">1.132.713.120</w:t>
            </w:r>
            <w:r>
              <w:rPr>
                <w:sz w:val="24"/>
                <w:szCs w:val="24"/>
              </w:rPr>
            </w:r>
            <w:r>
              <w:rPr>
                <w:sz w:val="24"/>
                <w:szCs w:val="24"/>
              </w:rP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b/>
                <w:color w:val="000000"/>
                <w:sz w:val="24"/>
                <w:szCs w:val="24"/>
              </w:rPr>
              <w:t xml:space="preserve">18.193.713.120</w:t>
            </w:r>
            <w:r>
              <w:rPr>
                <w:sz w:val="24"/>
                <w:szCs w:val="24"/>
              </w:rPr>
            </w:r>
            <w:r>
              <w:rPr>
                <w:sz w:val="24"/>
                <w:szCs w:val="24"/>
              </w:rP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76"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76" w:lineRule="auto"/>
              <w:ind/>
              <w:jc w:val="right"/>
              <w:rPr>
                <w:sz w:val="24"/>
                <w:szCs w:val="24"/>
              </w:rPr>
            </w:pPr>
            <w:r>
              <w:rPr>
                <w:rFonts w:ascii="Times New Roman" w:hAnsi="Times New Roman" w:eastAsia="Times New Roman" w:cs="Times New Roman"/>
                <w:b/>
                <w:color w:val="000000"/>
                <w:sz w:val="24"/>
                <w:szCs w:val="24"/>
              </w:rPr>
              <w:t xml:space="preserve">18.194.000.000</w:t>
            </w:r>
            <w:r>
              <w:rPr>
                <w:sz w:val="24"/>
                <w:szCs w:val="24"/>
              </w:rPr>
            </w:r>
            <w:r>
              <w:rPr>
                <w:sz w:val="24"/>
                <w:szCs w:val="24"/>
              </w:rPr>
            </w:r>
          </w:p>
        </w:tc>
      </w:tr>
      <w:tr>
        <w:trPr>
          <w:trHeight w:val="32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4" w:type="dxa"/>
            <w:vAlign w:val="center"/>
            <w:textDirection w:val="lrTb"/>
            <w:noWrap/>
          </w:tcPr>
          <w:p>
            <w:pPr>
              <w:pBdr/>
              <w:spacing w:after="0" w:before="0" w:line="276" w:lineRule="auto"/>
              <w:ind/>
              <w:jc w:val="center"/>
              <w:rPr>
                <w:sz w:val="24"/>
                <w:szCs w:val="24"/>
              </w:rPr>
            </w:pPr>
            <w:r>
              <w:rPr>
                <w:rFonts w:ascii="Times New Roman" w:hAnsi="Times New Roman" w:eastAsia="Times New Roman" w:cs="Times New Roman"/>
                <w:b/>
                <w:i/>
                <w:color w:val="000000"/>
                <w:sz w:val="24"/>
                <w:szCs w:val="24"/>
              </w:rPr>
              <w:t xml:space="preserve">Bằng chữ: Mười tám tỷ một trăm chín mươi bốn triệu đồng./.</w:t>
            </w:r>
            <w:r>
              <w:rPr>
                <w:sz w:val="24"/>
                <w:szCs w:val="24"/>
              </w:rPr>
            </w:r>
            <w:r>
              <w:rPr>
                <w:sz w:val="24"/>
                <w:szCs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36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543"/>
        <w:gridCol w:w="6378"/>
      </w:tblGrid>
      <w:tr>
        <w:trPr>
          <w:trHeight w:val="1843"/>
        </w:trPr>
        <w:tc>
          <w:tcPr>
            <w:gridSpan w:val="2"/>
            <w:tcBorders/>
            <w:tcW w:w="357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275/2026/0908/VFI-CT.69.A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16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275/2026/0908/VFI-CT.69.A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Phạm </w:t>
            </w:r>
            <w:r>
              <w:rPr>
                <w:b/>
                <w:bCs/>
              </w:rPr>
              <w:t xml:space="preserve">Văn </w:t>
            </w:r>
            <w:r>
              <w:rPr>
                <w:b/>
                <w:bCs/>
              </w:rPr>
              <w:t xml:space="preserve">Hách</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033088009303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w:t>
            </w:r>
            <w:r>
              <w:rPr>
                <w:bCs/>
                <w:color w:val="000000" w:themeColor="text1"/>
                <w:lang w:val="pt-BR"/>
              </w:rPr>
              <w:t xml:space="preserve">ng Bình Hưng Hoà, Thành phố Hồ Chí Minh) theo 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107/7/5 Miếu Bình Đông khu phố 16 phường Bình Hưng Hòa A, quận Bình Tân, TP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10.779828, 106.6171348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275/2026/0908/VFI-HĐTĐ.69.A ký ngày 12/06/2026 giữa Ông PHẠM VĂN HÁCH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b/>
          <w:bCs/>
          <w:lang w:val="pt-BR"/>
        </w:rPr>
        <w:tab/>
      </w:r>
      <w:r>
        <w:rPr>
          <w:b/>
          <w:bCs/>
          <w:shd w:val="clear" w:color="auto" w:fill="ffffff"/>
        </w:rPr>
        <w:t xml:space="preserve">Thị trường bất động sản TP. Hồ Chí Minh cơ cấu phân khúc căn hộ thay đổi đa dạng hơn</w:t>
      </w:r>
      <w:r>
        <w:rPr>
          <w:shd w:val="clear" w:color="auto" w:fill="ffffff"/>
        </w:rPr>
        <w:br/>
        <w:br/>
        <w:t xml:space="preserve">Sau quá trình sáp nhập hành chính, cơ cấu phân khúc căn hộ tại TP. Hồ Chí Minh đã có sự thay đổi rõ rệt theo hướng đa dạng hơn. Hơn 4</w:t>
      </w:r>
      <w:r>
        <w:rPr>
          <w:shd w:val="clear" w:color="auto" w:fill="ffffff"/>
        </w:rPr>
        <w:t xml:space="preserve">2% nguồn cung mở bán mới có mức giá dưới 60 triệu đồng/m², góp phần mở rộng khả năng tiếp cận nhà ở cho nhiều nhóm khách hàng.</w:t>
      </w:r>
      <w:r>
        <w:rPr>
          <w:iCs/>
        </w:rPr>
      </w:r>
      <w:r>
        <w:rPr>
          <w:iCs/>
        </w:rPr>
      </w:r>
    </w:p>
    <w:p>
      <w:pPr>
        <w:pBdr/>
        <w:tabs>
          <w:tab w:val="left" w:leader="none" w:pos="426"/>
        </w:tabs>
        <w:spacing w:after="120" w:before="120" w:line="276" w:lineRule="auto"/>
        <w:ind/>
        <w:jc w:val="both"/>
        <w:rPr/>
      </w:pPr>
      <w:r>
        <w:rPr>
          <w:shd w:val="clear" w:color="auto" w:fill="ffffff"/>
        </w:rPr>
        <w:t xml:space="preserve">Thị trường bất động sản TP. Hồ Chí Minh ghi nhận diễn biến tích cực trong quý I/2026 với tổng cộng 3.840 căn hộ và 231 căn nhà</w:t>
      </w:r>
      <w:r>
        <w:rPr>
          <w:shd w:val="clear" w:color="auto" w:fill="ffffff"/>
        </w:rPr>
        <w:t xml:space="preserve"> liền thổ được chào bán mới, tăng 93% so với cùng kỳ năm trước.</w:t>
      </w:r>
      <w:r/>
    </w:p>
    <w:p>
      <w:pPr>
        <w:pBdr/>
        <w:tabs>
          <w:tab w:val="left" w:leader="none" w:pos="426"/>
        </w:tabs>
        <w:spacing w:after="120" w:before="120" w:line="276" w:lineRule="auto"/>
        <w:ind/>
        <w:jc w:val="both"/>
        <w:rPr/>
      </w:pPr>
      <w:r>
        <w:rPr>
          <w:shd w:val="clear" w:color="auto" w:fill="ffffff"/>
        </w:rPr>
      </w:r>
      <w:r>
        <w:rPr>
          <w:shd w:val="clear" w:color="auto" w:fill="ffffff"/>
        </w:rPr>
        <w:t xml:space="preserve">Nguồn cung mới trong kỳ chủ yếu đến từ khu vực TP. Hồ Chí Minh cũ, chiếm gần 40% tổng nguồn cung, tiếp tục khẳng định vai trò trung tâm thu hút đầu tư. Phần còn lại đến từ các khu vực lân c</w:t>
      </w:r>
      <w:r>
        <w:rPr>
          <w:shd w:val="clear" w:color="auto" w:fill="ffffff"/>
        </w:rPr>
        <w:t xml:space="preserve">ận, đặc biệt là Bình Dương – địa bàn vệ tinh ngày càng giữ vị trí quan trọng trong việc bổ sung nguồn cung cho toàn thị trường.</w:t>
      </w:r>
      <w:r/>
    </w:p>
    <w:p>
      <w:pPr>
        <w:pBdr/>
        <w:tabs>
          <w:tab w:val="left" w:leader="none" w:pos="426"/>
        </w:tabs>
        <w:spacing w:after="120" w:before="120" w:line="276" w:lineRule="auto"/>
        <w:ind/>
        <w:jc w:val="both"/>
        <w:rPr/>
      </w:pPr>
      <w:r>
        <w:rPr>
          <w:shd w:val="clear" w:color="auto" w:fill="ffffff"/>
        </w:rPr>
        <w:t xml:space="preserve">Tính đến hết quý I/2026, tổng nguồn cung căn hộ lũy kế tại khu vực TP. Hồ Chí Minh cũ đã vượt 354.000 căn. Đáng chú ý, tỷ lệ </w:t>
      </w:r>
      <w:r>
        <w:rPr>
          <w:shd w:val="clear" w:color="auto" w:fill="ffffff"/>
        </w:rPr>
        <w:t xml:space="preserve">tồn kho duy trì ở mức thấp, chỉ 2,6%, cho thấy tình trạng khan hiếm nguồn cung kéo dài tại khu vực trung tâm và cận trung tâm, qua đó tiếp tục duy trì sức nóng và mức độ cạnh tranh cao cho các dự án mới.</w:t>
      </w:r>
      <w:r>
        <w:rPr>
          <w:iCs/>
        </w:rPr>
      </w:r>
      <w:r/>
    </w:p>
    <w:p>
      <w:pPr>
        <w:pBdr/>
        <w:tabs>
          <w:tab w:val="left" w:leader="none" w:pos="426"/>
        </w:tabs>
        <w:spacing w:after="120" w:before="120" w:line="276" w:lineRule="auto"/>
        <w:ind/>
        <w:jc w:val="both"/>
        <w:rPr/>
      </w:pPr>
      <w:r>
        <w:rPr>
          <w:shd w:val="clear" w:color="auto" w:fill="ffffff"/>
        </w:rPr>
        <w:t xml:space="preserve">Sau quá trình sáp nhập hành chính, cơ cấu phân khúc</w:t>
      </w:r>
      <w:r>
        <w:rPr>
          <w:shd w:val="clear" w:color="auto" w:fill="ffffff"/>
        </w:rPr>
        <w:t xml:space="preserve"> căn hộ tại TP. Hồ Chí Minh đã có sự thay đổi rõ rệt theo hướng đa dạng hơn. Trong quý I/2026, hơn 42% nguồn cung mở bán mới có mức giá dưới 60 triệu đồng/m², góp phần mở rộng khả năng tiếp cận nhà ở cho nhiều nhóm khách hàng.</w:t>
      </w:r>
      <w:r>
        <w:rPr>
          <w:iCs/>
        </w:rPr>
      </w:r>
      <w:r/>
    </w:p>
    <w:p>
      <w:pPr>
        <w:pBdr/>
        <w:tabs>
          <w:tab w:val="left" w:leader="none" w:pos="426"/>
        </w:tabs>
        <w:spacing w:after="120" w:before="120" w:line="276" w:lineRule="auto"/>
        <w:ind/>
        <w:jc w:val="both"/>
        <w:rPr/>
      </w:pPr>
      <w:r>
        <w:rPr>
          <w:shd w:val="clear" w:color="auto" w:fill="ffffff"/>
        </w:rPr>
        <w:t xml:space="preserve">Giá bán sơ cấp trung bình </w:t>
      </w:r>
      <w:r>
        <w:rPr>
          <w:shd w:val="clear" w:color="auto" w:fill="ffffff"/>
        </w:rPr>
        <w:t xml:space="preserve">toàn thị trường (sau sáp nhập) đạt khoảng 71 triệu đồng/m² (diện tích thông thủy, chưa bao gồm VAT và phí bảo trì), tăng 11% so với cùng kỳ và 4,4% so với quý trước. Mức tăng này cho thấy thị trường vẫn duy trì xu hướng đi lên, nhưng tốc độ đã chậm lại đán</w:t>
      </w:r>
      <w:r>
        <w:rPr>
          <w:shd w:val="clear" w:color="auto" w:fill="ffffff"/>
        </w:rPr>
        <w:t xml:space="preserve">g kể sau giai đoạn tăng trưởng nóng trong năm 2025, khi nhiều quý ghi nhận mức tăng trên 17%/năm. Tỷ lệ hấp thụ trong quý I/2026 đạt trung bình 77%, cao hơn mức bình quân 73% của cả năm 2025, phản ánh lực cầu vẫn ổn định dù thị trường bước vào giai đoạn đ</w:t>
      </w:r>
      <w:r>
        <w:rPr>
          <w:shd w:val="clear" w:color="auto" w:fill="ffffff"/>
        </w:rPr>
        <w:t xml:space="preserve">iều chỉnh.</w:t>
      </w:r>
      <w:r>
        <w:rPr>
          <w:iCs/>
        </w:rPr>
      </w:r>
      <w:r/>
    </w:p>
    <w:p>
      <w:pPr>
        <w:pBdr/>
        <w:tabs>
          <w:tab w:val="left" w:leader="none" w:pos="426"/>
        </w:tabs>
        <w:spacing w:after="120" w:before="120" w:line="276" w:lineRule="auto"/>
        <w:ind/>
        <w:jc w:val="both"/>
        <w:rPr/>
      </w:pPr>
      <w:r>
        <w:rPr>
          <w:shd w:val="clear" w:color="auto" w:fill="ffffff"/>
        </w:rPr>
        <w:t xml:space="preserve">Hạ tầng tiếp tục là động lực then chốt</w:t>
      </w:r>
      <w:r>
        <w:rPr>
          <w:iCs/>
        </w:rPr>
      </w:r>
      <w:r/>
    </w:p>
    <w:p>
      <w:pPr>
        <w:pBdr/>
        <w:tabs>
          <w:tab w:val="left" w:leader="none" w:pos="426"/>
        </w:tabs>
        <w:spacing w:after="120" w:before="120" w:line="276" w:lineRule="auto"/>
        <w:ind/>
        <w:jc w:val="both"/>
        <w:rPr/>
      </w:pPr>
      <w:r>
        <w:rPr>
          <w:shd w:val="clear" w:color="auto" w:fill="ffffff"/>
        </w:rPr>
        <w:t xml:space="preserve">Song song với diễn biến thị trường, TP. Hồ Chí Minh đang đẩy mạnh đầu tư vào các dự án hạ tầng trọng điểm nhằm hỗ trợ giãn dân và phát triển đô thị bền vững. Trong quý I/2026, nhiều công trình quan trọn</w:t>
      </w:r>
      <w:r>
        <w:rPr>
          <w:shd w:val="clear" w:color="auto" w:fill="ffffff"/>
        </w:rPr>
        <w:t xml:space="preserve">g đã được khởi công như tuyến Metro số 2 (Bến Thành – Tham Lương), cầu Cần Giờ và cầu Phú Mỹ 2.</w:t>
      </w:r>
      <w:r>
        <w:rPr>
          <w:iCs/>
        </w:rPr>
      </w:r>
      <w:r/>
    </w:p>
    <w:p>
      <w:pPr>
        <w:pBdr/>
        <w:tabs>
          <w:tab w:val="left" w:leader="none" w:pos="426"/>
        </w:tabs>
        <w:spacing w:after="120" w:before="120" w:line="276" w:lineRule="auto"/>
        <w:ind/>
        <w:jc w:val="both"/>
        <w:rPr/>
      </w:pPr>
      <w:r>
        <w:rPr>
          <w:shd w:val="clear" w:color="auto" w:fill="ffffff"/>
        </w:rPr>
        <w:t xml:space="preserve">Thời gian tới, hai dự án hạ tầng chiến lược cấp quốc gia gồm đường sắt tốc độ cao Bắc – Nam và tuyến đường sắt Thủ Thiêm – Long Thành cũng dự kiến được triển k</w:t>
      </w:r>
      <w:r>
        <w:rPr>
          <w:shd w:val="clear" w:color="auto" w:fill="ffffff"/>
        </w:rPr>
        <w:t xml:space="preserve">hai. Việc đồng bộ hệ thống giao thông được kỳ vọng sẽ tiếp tục mở rộng không gian phát triển đô thị, đặc biệt tại các khu vực vệ tinh.</w:t>
      </w:r>
      <w:r>
        <w:rPr>
          <w:iCs/>
        </w:rPr>
      </w:r>
      <w:r/>
    </w:p>
    <w:p>
      <w:pPr>
        <w:pBdr/>
        <w:tabs>
          <w:tab w:val="left" w:leader="none" w:pos="426"/>
        </w:tabs>
        <w:spacing w:after="120" w:before="120" w:line="276" w:lineRule="auto"/>
        <w:ind/>
        <w:jc w:val="both"/>
        <w:rPr/>
      </w:pPr>
      <w:r>
        <w:rPr>
          <w:shd w:val="clear" w:color="auto" w:fill="ffffff"/>
        </w:rPr>
        <w:t xml:space="preserve">Dự báo trong năm 2026, nguồn cung căn hộ tại khu vực TP. Hồ Chí Minh có thể tăng gấp đôi so với năm trước, trong đó kh</w:t>
      </w:r>
      <w:r>
        <w:rPr>
          <w:shd w:val="clear" w:color="auto" w:fill="ffffff"/>
        </w:rPr>
        <w:t xml:space="preserve">oảng 60% đến từ khu Đông – nơi đang ghi nhận tốc độ phát triển hạ tầng và đô thị mạnh mẽ. Nếu tính trên toàn địa bàn TP. Hồ Chí Minh sau sáp nhập, tổng nguồn cung căn hộ dự kiến đạt gần 34.000 căn. Đáng chú ý, Bình Dương (khu vực cũ) được kỳ vọng đóng g</w:t>
      </w:r>
      <w:r>
        <w:rPr>
          <w:shd w:val="clear" w:color="auto" w:fill="ffffff"/>
        </w:rPr>
        <w:t xml:space="preserve">óp hơn 50% thị phần, tiếp tục giữ vai trò then chốt trong việc giải bài toán nguồn cung cho toàn thị trường.</w:t>
      </w:r>
      <w:r>
        <w:rPr>
          <w:iCs/>
        </w:rPr>
      </w:r>
      <w:r/>
    </w:p>
    <w:p>
      <w:pPr>
        <w:pBdr/>
        <w:tabs>
          <w:tab w:val="left" w:leader="none" w:pos="426"/>
        </w:tabs>
        <w:spacing w:after="120" w:before="120" w:line="276" w:lineRule="auto"/>
        <w:ind/>
        <w:jc w:val="both"/>
        <w:rPr/>
      </w:pPr>
      <w:r>
        <w:rPr>
          <w:shd w:val="clear" w:color="auto" w:fill="ffffff"/>
        </w:rPr>
        <w:t xml:space="preserve">Phân khúc bất động sản gắn liền với đất ghi nhận sự phục hồi rõ nét sau giai đoạn trầm lắng. Quý IV/2025 đánh dấu cột mốc đặc biệt khi nguồn cung </w:t>
      </w:r>
      <w:r>
        <w:rPr>
          <w:shd w:val="clear" w:color="auto" w:fill="ffffff"/>
        </w:rPr>
        <w:t xml:space="preserve">nhà thấp tầng tại TP. Hồ Chí Minh (cũ) đạt khoảng 4.500 sản phẩm, nâng tổng nguồn cung cả năm lên gần 5.000 căn – tăng gấp 20 lần so với năm 2024, mức tăng mạnh nhất từ trước đến nay.</w:t>
      </w:r>
      <w:r>
        <w:rPr>
          <w:iCs/>
        </w:rPr>
      </w:r>
      <w:r/>
    </w:p>
    <w:p>
      <w:pPr>
        <w:pBdr/>
        <w:tabs>
          <w:tab w:val="left" w:leader="none" w:pos="426"/>
        </w:tabs>
        <w:spacing w:after="120" w:before="120" w:line="276" w:lineRule="auto"/>
        <w:ind/>
        <w:jc w:val="both"/>
        <w:rPr/>
      </w:pPr>
      <w:r>
        <w:rPr>
          <w:shd w:val="clear" w:color="auto" w:fill="ffffff"/>
        </w:rPr>
        <w:t xml:space="preserve">Bước sang quý I/2026, thị trường tiếp tục cho thấy khả năng hấp thụ t</w:t>
      </w:r>
      <w:r>
        <w:rPr>
          <w:shd w:val="clear" w:color="auto" w:fill="ffffff"/>
        </w:rPr>
        <w:t xml:space="preserve">ốt khi dù chỉ có 87 căn mở bán mới, số lượng giao dịch thành công đã vượt 750 căn, cho thấy lực cầu vẫn duy trì tích cực.</w:t>
      </w:r>
      <w:r>
        <w:rPr>
          <w:iCs/>
        </w:rPr>
      </w:r>
      <w:r/>
    </w:p>
    <w:p>
      <w:pPr>
        <w:pBdr/>
        <w:tabs>
          <w:tab w:val="left" w:leader="none" w:pos="426"/>
        </w:tabs>
        <w:spacing w:after="120" w:before="120" w:line="276" w:lineRule="auto"/>
        <w:ind/>
        <w:jc w:val="both"/>
        <w:rPr/>
      </w:pPr>
      <w:r>
        <w:rPr>
          <w:shd w:val="clear" w:color="auto" w:fill="ffffff"/>
        </w:rPr>
        <w:t xml:space="preserve">Trong năm 2026, nguồn cung nhà liền thổ dự kiến đạt khoảng 5.500 căn và có thể tăng lên hơn 15.000 sản phẩm vào năm 2028, chủ yếu đến</w:t>
      </w:r>
      <w:r>
        <w:rPr>
          <w:shd w:val="clear" w:color="auto" w:fill="ffffff"/>
        </w:rPr>
        <w:t xml:space="preserve"> từ các đại đô thị tại khu Đông và khu Nam – những khu vực còn quỹ đất lớn và được đầu tư hạ tầng bài bản.</w:t>
      </w:r>
      <w:r>
        <w:rPr>
          <w:i/>
          <w:iCs/>
          <w:lang w:val="pt-BR"/>
        </w:rPr>
      </w:r>
      <w:r/>
    </w:p>
    <w:p>
      <w:pPr>
        <w:pBdr/>
        <w:tabs>
          <w:tab w:val="left" w:leader="none" w:pos="426"/>
        </w:tabs>
        <w:spacing w:after="120" w:before="120" w:line="276" w:lineRule="auto"/>
        <w:ind/>
        <w:jc w:val="both"/>
        <w:rPr>
          <w:bCs/>
          <w:i/>
          <w:highlight w:val="none"/>
          <w:lang w:val="pt-BR"/>
        </w:rPr>
      </w:pPr>
      <w:r>
        <w:rPr>
          <w:shd w:val="clear" w:color="auto" w:fill="ffffff"/>
        </w:rPr>
      </w:r>
      <w:r>
        <w:rPr>
          <w:i/>
          <w:iCs/>
          <w:shd w:val="clear" w:color="auto" w:fill="ffffff"/>
        </w:rPr>
        <w:t xml:space="preserve">(Nguồn tham khảo: </w:t>
      </w:r>
      <w:hyperlink r:id="rId17" w:tooltip="https://thitruongtaichinhtiente.vn/thi-truong-bat-dong-san-tp-ho-chi-minh-co-cau-phan-khuc-can-ho-thay-doi-da-dang-hon-82228.html)" w:history="1">
        <w:r>
          <w:rPr>
            <w:rStyle w:val="1025"/>
            <w:i/>
            <w:iCs/>
            <w:shd w:val="clear" w:color="auto" w:fill="ffffff"/>
          </w:rPr>
          <w:t xml:space="preserve">https://thitruongtaichinhtiente.vn/thi-truong-bat-dong-san-tp-ho-chi-minh-co-cau-phan-khuc-can-ho-thay-doi-da-dang-hon-82228.html)</w:t>
        </w:r>
        <w:r>
          <w:rPr>
            <w:rStyle w:val="1025"/>
            <w:bCs/>
            <w:i/>
            <w:lang w:val="pt-BR"/>
          </w:rPr>
        </w:r>
        <w:r>
          <w:rPr>
            <w:rStyle w:val="1025"/>
            <w:bCs/>
            <w:i/>
            <w:lang w:val="pt-BR"/>
          </w:rPr>
        </w:r>
      </w:hyperlink>
      <w:r>
        <w:rPr>
          <w:bCs/>
          <w:i/>
          <w:lang w:val="pt-BR"/>
        </w:rPr>
      </w:r>
      <w:r>
        <w:rPr>
          <w:bCs/>
          <w:i/>
          <w:highlight w:val="none"/>
          <w:lang w:val="pt-BR"/>
        </w:rPr>
      </w:r>
    </w:p>
    <w:p>
      <w:pPr>
        <w:pBdr/>
        <w:tabs>
          <w:tab w:val="left" w:leader="none" w:pos="426"/>
        </w:tabs>
        <w:spacing w:after="120" w:before="120" w:line="276" w:lineRule="auto"/>
        <w:ind/>
        <w:jc w:val="both"/>
        <w:rPr>
          <w:bCs/>
          <w:i/>
          <w:lang w:val="pt-BR"/>
        </w:rPr>
      </w:pPr>
      <w:r>
        <w:rPr>
          <w:bCs/>
          <w:i/>
          <w:lang w:val="pt-BR"/>
        </w:rPr>
      </w:r>
      <w:r>
        <w:rPr>
          <w:bCs/>
          <w:i/>
          <w:lang w:val="pt-BR"/>
        </w:rPr>
      </w:r>
      <w:r>
        <w:rPr>
          <w:bCs/>
          <w:i/>
          <w:lang w:val="pt-BR"/>
        </w:rPr>
      </w:r>
    </w:p>
    <w:p>
      <w:pPr>
        <w:pBdr/>
        <w:tabs>
          <w:tab w:val="left" w:leader="none" w:pos="426"/>
        </w:tabs>
        <w:spacing w:after="120" w:before="120" w:line="276" w:lineRule="auto"/>
        <w:ind/>
        <w:jc w:val="both"/>
        <w:rPr>
          <w:bCs/>
          <w:i/>
          <w:lang w:val="pt-BR"/>
        </w:rPr>
      </w:pPr>
      <w:r>
        <w:rPr>
          <w:bCs/>
          <w:i/>
          <w:highlight w:val="none"/>
          <w:lang w:val="pt-BR" w:bidi="pt-BR"/>
        </w:rPr>
      </w:r>
      <w:r>
        <w:rPr>
          <w:bCs/>
          <w:i/>
          <w:highlight w:val="none"/>
          <w:lang w:val="pt-BR"/>
        </w:rPr>
      </w:r>
      <w:r>
        <w:rPr>
          <w:bCs/>
          <w:i/>
          <w:lang w:val="pt-BR"/>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w:t>
            </w:r>
            <w:r>
              <w:rPr>
                <w:b/>
                <w:bCs/>
                <w:color w:val="000000"/>
              </w:rPr>
              <w:t xml:space="preserve">ng Bình Hưng Hoà, Thành phố Hồ Chí Minh) theo 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799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157(TL-2005)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107/7/5 Miếu Bình Đông khu phố 16 phường Bình Hưng Hòa A, quận Bình Tân, TP HCM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242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Công </w:t>
            </w:r>
            <w:r>
              <w:rPr>
                <w:color w:val="000000"/>
              </w:rPr>
              <w:t xml:space="preserve">nhận </w:t>
            </w:r>
            <w:r>
              <w:rPr>
                <w:color w:val="000000"/>
              </w:rPr>
              <w:t xml:space="preserve">QS</w:t>
            </w:r>
            <w:r>
              <w:rPr>
                <w:color w:val="000000"/>
              </w:rPr>
              <w:t xml:space="preserve">D</w:t>
            </w:r>
            <w:r>
              <w:rPr>
                <w:color w:val="000000"/>
              </w:rPr>
              <w:t xml:space="preserve">Đ </w:t>
            </w:r>
            <w:r>
              <w:rPr>
                <w:color w:val="000000"/>
              </w:rPr>
              <w:t xml:space="preserve">như </w:t>
            </w:r>
            <w:r>
              <w:rPr>
                <w:color w:val="000000"/>
              </w:rPr>
              <w:t xml:space="preserve">gia</w:t>
            </w:r>
            <w:r>
              <w:rPr>
                <w:color w:val="000000"/>
              </w:rPr>
              <w:t xml:space="preserve">o </w:t>
            </w:r>
            <w:r>
              <w:rPr>
                <w:color w:val="000000"/>
              </w:rPr>
              <w:t xml:space="preserve">đất </w:t>
            </w:r>
            <w:r>
              <w:rPr>
                <w:color w:val="000000"/>
              </w:rPr>
              <w:t xml:space="preserve">c</w:t>
            </w:r>
            <w:r>
              <w:rPr>
                <w:color w:val="000000"/>
              </w:rPr>
              <w:t xml:space="preserve">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thẩm </w:t>
            </w:r>
            <w:r>
              <w:rPr>
                <w:color w:val="000000"/>
              </w:rPr>
              <w:t xml:space="preserve">định </w:t>
            </w:r>
            <w:r>
              <w:rPr>
                <w:color w:val="000000"/>
              </w:rPr>
              <w:t xml:space="preserve">giá, </w:t>
            </w:r>
            <w:r>
              <w:rPr>
                <w:color w:val="000000"/>
              </w:rPr>
              <w:t xml:space="preserve">Tổ </w:t>
            </w:r>
            <w:r>
              <w:rPr>
                <w:color w:val="000000"/>
              </w:rPr>
              <w:t xml:space="preserve">thẩm </w:t>
            </w:r>
            <w:r>
              <w:rPr>
                <w:color w:val="000000"/>
              </w:rPr>
              <w:t xml:space="preserve">định </w:t>
            </w:r>
            <w:r>
              <w:rPr>
                <w:color w:val="000000"/>
              </w:rPr>
              <w:t xml:space="preserve">không </w:t>
            </w:r>
            <w:r>
              <w:rPr>
                <w:color w:val="000000"/>
              </w:rPr>
              <w:t xml:space="preserve">được </w:t>
            </w:r>
            <w:r>
              <w:rPr>
                <w:color w:val="000000"/>
              </w:rPr>
              <w:t xml:space="preserve">Khách </w:t>
            </w:r>
            <w:r>
              <w:rPr>
                <w:color w:val="000000"/>
              </w:rPr>
              <w:t xml:space="preserve">hàng </w:t>
            </w:r>
            <w:r>
              <w:rPr>
                <w:color w:val="000000"/>
              </w:rPr>
              <w:t xml:space="preserve">cung </w:t>
            </w:r>
            <w:r>
              <w:rPr>
                <w:color w:val="000000"/>
              </w:rPr>
              <w:t xml:space="preserve">cấ</w:t>
            </w:r>
            <w:r>
              <w:rPr>
                <w:color w:val="000000"/>
              </w:rPr>
              <w:t xml:space="preserve">p </w:t>
            </w:r>
            <w:r>
              <w:rPr>
                <w:color w:val="000000"/>
              </w:rPr>
              <w:t xml:space="preserve">các </w:t>
            </w:r>
            <w:r>
              <w:rPr>
                <w:color w:val="000000"/>
              </w:rPr>
              <w:t xml:space="preserve">thông </w:t>
            </w:r>
            <w:r>
              <w:rPr>
                <w:color w:val="000000"/>
              </w:rPr>
              <w:t xml:space="preserve">tin </w:t>
            </w:r>
            <w:r>
              <w:rPr>
                <w:color w:val="000000"/>
              </w:rPr>
              <w:t xml:space="preserve">quy </w:t>
            </w:r>
            <w:r>
              <w:rPr>
                <w:color w:val="000000"/>
              </w:rPr>
              <w:t xml:space="preserve">hoạch </w:t>
            </w:r>
            <w:r>
              <w:rPr>
                <w:color w:val="000000"/>
              </w:rPr>
              <w:t xml:space="preserve">li</w:t>
            </w:r>
            <w:r>
              <w:rPr>
                <w:color w:val="000000"/>
              </w:rPr>
              <w:t xml:space="preserve">ên </w:t>
            </w:r>
            <w:r>
              <w:rPr>
                <w:color w:val="000000"/>
              </w:rPr>
              <w:t xml:space="preserve">quan </w:t>
            </w:r>
            <w:r>
              <w:rPr>
                <w:color w:val="000000"/>
              </w:rPr>
              <w:t xml:space="preserve">đến </w:t>
            </w:r>
            <w:r>
              <w:rPr>
                <w:color w:val="000000"/>
              </w:rPr>
              <w:t xml:space="preserve">thửa </w:t>
            </w:r>
            <w:r>
              <w:rPr>
                <w:color w:val="000000"/>
              </w:rPr>
              <w:t xml:space="preserve">đất, </w:t>
            </w:r>
            <w:r>
              <w:rPr>
                <w:color w:val="000000"/>
              </w:rPr>
              <w:t xml:space="preserve">dựa </w:t>
            </w:r>
            <w:r>
              <w:rPr>
                <w:color w:val="000000"/>
              </w:rPr>
              <w:t xml:space="preserve">trên </w:t>
            </w:r>
            <w:r>
              <w:rPr>
                <w:color w:val="000000"/>
              </w:rPr>
              <w:t xml:space="preserve">định </w:t>
            </w:r>
            <w:r>
              <w:rPr>
                <w:color w:val="000000"/>
              </w:rPr>
              <w:t xml:space="preserve">vị </w:t>
            </w:r>
            <w:r>
              <w:rPr>
                <w:color w:val="000000"/>
              </w:rPr>
              <w:t xml:space="preserve">của </w:t>
            </w:r>
            <w:r>
              <w:rPr>
                <w:color w:val="000000"/>
              </w:rPr>
              <w:t xml:space="preserve">t</w:t>
            </w:r>
            <w:r>
              <w:rPr>
                <w:color w:val="000000"/>
              </w:rPr>
              <w:t xml:space="preserve">ài </w:t>
            </w:r>
            <w:r>
              <w:rPr>
                <w:color w:val="000000"/>
              </w:rPr>
              <w:t xml:space="preserve">sản </w:t>
            </w:r>
            <w:r>
              <w:rPr>
                <w:color w:val="000000"/>
              </w:rPr>
              <w:t xml:space="preserve">sau </w:t>
            </w:r>
            <w:r>
              <w:rPr>
                <w:color w:val="000000"/>
              </w:rPr>
              <w:t xml:space="preserve">khi </w:t>
            </w:r>
            <w:r>
              <w:rPr>
                <w:color w:val="000000"/>
              </w:rPr>
              <w:t xml:space="preserve">khảo </w:t>
            </w:r>
            <w:r>
              <w:rPr>
                <w:color w:val="000000"/>
              </w:rPr>
              <w:t xml:space="preserve">sát, </w:t>
            </w:r>
            <w:r>
              <w:rPr>
                <w:color w:val="000000"/>
              </w:rPr>
              <w:t xml:space="preserve">T</w:t>
            </w:r>
            <w:r>
              <w:rPr>
                <w:color w:val="000000"/>
              </w:rPr>
              <w:t xml:space="preserve">ổ </w:t>
            </w:r>
            <w:r>
              <w:rPr>
                <w:color w:val="000000"/>
              </w:rPr>
              <w:t xml:space="preserve">thẩm </w:t>
            </w:r>
            <w:r>
              <w:rPr>
                <w:color w:val="000000"/>
              </w:rPr>
              <w:t xml:space="preserve">định </w:t>
            </w:r>
            <w:r>
              <w:rPr>
                <w:color w:val="000000"/>
              </w:rPr>
              <w:t xml:space="preserve">kiểm </w:t>
            </w:r>
            <w:r>
              <w:rPr>
                <w:color w:val="000000"/>
              </w:rPr>
              <w:t xml:space="preserve">tra </w:t>
            </w:r>
            <w:r>
              <w:rPr>
                <w:color w:val="000000"/>
              </w:rPr>
              <w:t xml:space="preserve">quy </w:t>
            </w:r>
            <w:r>
              <w:rPr>
                <w:color w:val="000000"/>
              </w:rPr>
              <w:t xml:space="preserve">hoạch </w:t>
            </w:r>
            <w:r>
              <w:rPr>
                <w:color w:val="000000"/>
              </w:rPr>
              <w:t xml:space="preserve">online </w:t>
            </w:r>
            <w:r>
              <w:rPr>
                <w:color w:val="000000"/>
              </w:rPr>
              <w:t xml:space="preserve">t</w:t>
            </w:r>
            <w:r>
              <w:rPr>
                <w:color w:val="000000"/>
              </w:rPr>
              <w:t xml:space="preserve">hông </w:t>
            </w:r>
            <w:r>
              <w:rPr>
                <w:color w:val="000000"/>
              </w:rPr>
              <w:t xml:space="preserve">qua </w:t>
            </w:r>
            <w:r>
              <w:rPr>
                <w:color w:val="000000"/>
              </w:rPr>
              <w:t xml:space="preserve">website </w:t>
            </w:r>
            <w:r>
              <w:rPr>
                <w:color w:val="000000"/>
              </w:rPr>
            </w:r>
            <w:r>
              <w:rPr>
                <w:color w:val="000000"/>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szCs w:val="24"/>
              </w:rPr>
            </w:pPr>
            <w:r>
              <w:rPr>
                <w:color w:val="000000"/>
              </w:rPr>
            </w:r>
            <w:hyperlink r:id="rId18" w:tooltip="https://thongtinquyhoach.hochiminhcity.gov.vn/" w:history="1">
              <w:r>
                <w:rPr>
                  <w:rStyle w:val="1025"/>
                  <w:rFonts w:ascii="Times New Roman" w:hAnsi="Times New Roman" w:eastAsia="Times New Roman" w:cs="Times New Roman"/>
                  <w:color w:val="0563c1"/>
                  <w:sz w:val="24"/>
                  <w:u w:val="none"/>
                </w:rPr>
                <w:t xml:space="preserve">https://thongtinquyhoach.hochiminhcity.gov.vn</w:t>
              </w:r>
            </w:hyperlink>
            <w:r>
              <w:rPr>
                <w:rFonts w:ascii="Times New Roman" w:hAnsi="Times New Roman" w:eastAsia="Times New Roman" w:cs="Times New Roman"/>
                <w:color w:val="000000"/>
                <w:sz w:val="24"/>
              </w:rPr>
              <w:t xml:space="preserve"> , xác định vị trí tài sản nằm trong khu vực đất khu dân cư hiện có. </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774706" cy="184488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92091" name=""/>
                              <pic:cNvPicPr>
                                <a:picLocks noChangeAspect="1"/>
                              </pic:cNvPicPr>
                              <pic:nvPr/>
                            </pic:nvPicPr>
                            <pic:blipFill rotWithShape="1">
                              <a:blip r:embed="rId19"/>
                              <a:stretch/>
                            </pic:blipFill>
                            <pic:spPr bwMode="auto">
                              <a:xfrm flipH="0" flipV="0">
                                <a:off x="0" y="0"/>
                                <a:ext cx="3774706" cy="1844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7.22pt;height:145.27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Hẻm 107/7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w:t>
            </w:r>
            <w:r>
              <w:rPr>
                <w:color w:val="000000" w:themeColor="text1"/>
              </w:rPr>
              <w:t xml:space="preserve">ản </w:t>
            </w:r>
            <w:r>
              <w:rPr>
                <w:color w:val="000000" w:themeColor="text1"/>
              </w:rPr>
              <w:t xml:space="preserve">nằm </w:t>
            </w:r>
            <w:r>
              <w:rPr>
                <w:color w:val="000000" w:themeColor="text1"/>
              </w:rPr>
              <w:t xml:space="preserve">tại </w:t>
            </w:r>
            <w:r>
              <w:rPr>
                <w:color w:val="000000" w:themeColor="text1"/>
              </w:rPr>
              <w:t xml:space="preserve">hẻm 107/7, </w:t>
            </w:r>
            <w:r>
              <w:rPr>
                <w:color w:val="000000" w:themeColor="text1"/>
              </w:rPr>
              <w:t xml:space="preserve">cách </w:t>
            </w:r>
            <w:r>
              <w:rPr>
                <w:color w:val="000000" w:themeColor="text1"/>
              </w:rPr>
              <w:t xml:space="preserve">đường </w:t>
            </w:r>
            <w:r>
              <w:rPr>
                <w:color w:val="000000" w:themeColor="text1"/>
              </w:rPr>
              <w:t xml:space="preserve">Miếu </w:t>
            </w:r>
            <w:r>
              <w:rPr>
                <w:color w:val="000000" w:themeColor="text1"/>
              </w:rPr>
              <w:t xml:space="preserve">Bì</w:t>
            </w:r>
            <w:r>
              <w:rPr>
                <w:color w:val="000000" w:themeColor="text1"/>
              </w:rPr>
              <w:t xml:space="preserve">nh </w:t>
            </w:r>
            <w:r>
              <w:rPr>
                <w:color w:val="000000" w:themeColor="text1"/>
              </w:rPr>
              <w:t xml:space="preserve">Đông </w:t>
            </w:r>
            <w:r>
              <w:rPr>
                <w:color w:val="000000" w:themeColor="text1"/>
              </w:rPr>
              <w:t xml:space="preserve">khoảng 50</w:t>
            </w:r>
            <w:r>
              <w:rPr>
                <w:color w:val="000000" w:themeColor="text1"/>
              </w:rPr>
              <w:t xml:space="preserve">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10.779828</w:t>
            </w:r>
            <w:r>
              <w:rPr>
                <w:color w:val="000000"/>
              </w:rPr>
              <w:t xml:space="preserve">, </w:t>
            </w:r>
            <w:r>
              <w:rPr>
                <w:color w:val="000000"/>
              </w:rPr>
              <w:t xml:space="preserve">106.6171348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95239" cy="3185279"/>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5495238" cy="31852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2.70pt;height:250.81pt;mso-wrap-distance-left:0.00pt;mso-wrap-distance-top:0.00pt;mso-wrap-distance-right:0.00pt;mso-wrap-distance-bottom:0.00pt;z-index:1;" stroked="false">
                      <v:imagedata r:id="rId20"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3,39</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pPr>
            <w:r>
              <w:t xml:space="preserve">13,17</w:t>
            </w:r>
            <w:r>
              <w:rPr>
                <w:color w:val="000000" w:themeColor="text1"/>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92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w:t>
            </w:r>
            <w:r>
              <w:rPr>
                <w:color w:val="000000"/>
              </w:rPr>
              <w:t xml:space="preserve">t, </w:t>
            </w:r>
            <w:r>
              <w:rPr>
                <w:color w:val="000000"/>
              </w:rPr>
              <w:t xml:space="preserve">dưới </w:t>
            </w:r>
            <w:r>
              <w:rPr>
                <w:color w:val="000000"/>
              </w:rPr>
              <w:t xml:space="preserve">sự </w:t>
            </w:r>
            <w:r>
              <w:rPr>
                <w:color w:val="000000"/>
              </w:rPr>
              <w:t xml:space="preserve">hướng </w:t>
            </w:r>
            <w:r>
              <w:rPr>
                <w:color w:val="000000"/>
              </w:rPr>
              <w:t xml:space="preserve">dẫn </w:t>
            </w:r>
            <w:r>
              <w:rPr>
                <w:color w:val="000000"/>
              </w:rPr>
              <w:t xml:space="preserve">của </w:t>
            </w:r>
            <w:r>
              <w:rPr>
                <w:color w:val="000000"/>
              </w:rPr>
              <w:t xml:space="preserve">Khách </w:t>
            </w:r>
            <w:r>
              <w:rPr>
                <w:color w:val="000000"/>
              </w:rPr>
              <w:t xml:space="preserve">hàng,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trên </w:t>
            </w:r>
            <w:r>
              <w:rPr>
                <w:color w:val="000000"/>
              </w:rPr>
              <w:t xml:space="preserve">đất </w:t>
            </w:r>
            <w:r>
              <w:rPr>
                <w:color w:val="000000"/>
              </w:rPr>
              <w:t xml:space="preserve">là </w:t>
            </w:r>
            <w:r>
              <w:rPr>
                <w:color w:val="000000"/>
              </w:rPr>
              <w:t xml:space="preserve">nhà 01 </w:t>
            </w:r>
            <w:r>
              <w:rPr>
                <w:color w:val="000000"/>
              </w:rPr>
              <w:t xml:space="preserve">tầng, </w:t>
            </w:r>
            <w:r>
              <w:rPr>
                <w:color w:val="000000"/>
              </w:rPr>
              <w:t xml:space="preserve">diện </w:t>
            </w:r>
            <w:r>
              <w:rPr>
                <w:color w:val="000000"/>
              </w:rPr>
              <w:t xml:space="preserve">tích </w:t>
            </w:r>
            <w:r>
              <w:rPr>
                <w:color w:val="000000"/>
              </w:rPr>
              <w:t xml:space="preserve">sử </w:t>
            </w:r>
            <w:r>
              <w:rPr>
                <w:color w:val="000000"/>
              </w:rPr>
              <w:t xml:space="preserve">dụn</w:t>
            </w:r>
            <w:r>
              <w:rPr>
                <w:color w:val="000000"/>
              </w:rPr>
              <w:t xml:space="preserve">g 242 </w:t>
            </w:r>
            <w:r>
              <w:rPr>
                <w:color w:val="000000"/>
              </w:rPr>
              <w:t xml:space="preserve">m²</w:t>
            </w:r>
            <w:r>
              <w:rPr>
                <w:color w:val="000000"/>
              </w:rPr>
              <w:t xml:space="preserve">. </w:t>
            </w:r>
            <w:r>
              <w:rPr>
                <w:color w:val="000000"/>
              </w:rPr>
              <w:t xml:space="preserve">Công </w:t>
            </w:r>
            <w:r>
              <w:rPr>
                <w:color w:val="000000"/>
              </w:rPr>
              <w:t xml:space="preserve">trình </w:t>
            </w:r>
            <w:r>
              <w:rPr>
                <w:color w:val="000000"/>
              </w:rPr>
              <w:t xml:space="preserve">xây </w:t>
            </w:r>
            <w:r>
              <w:rPr>
                <w:color w:val="000000"/>
              </w:rPr>
              <w:t xml:space="preserve">dựng </w:t>
            </w:r>
            <w:r>
              <w:rPr>
                <w:color w:val="000000"/>
              </w:rPr>
              <w:t xml:space="preserve">đã </w:t>
            </w:r>
            <w:r>
              <w:rPr>
                <w:color w:val="000000"/>
              </w:rPr>
              <w:t xml:space="preserve">được </w:t>
            </w:r>
            <w:r>
              <w:rPr>
                <w:color w:val="000000"/>
              </w:rPr>
              <w:t xml:space="preserve">chứng </w:t>
            </w:r>
            <w:r>
              <w:rPr>
                <w:color w:val="000000"/>
              </w:rPr>
              <w:t xml:space="preserve">nhận </w:t>
            </w:r>
            <w:r>
              <w:rPr>
                <w:color w:val="000000"/>
              </w:rPr>
              <w:t xml:space="preserve">trên </w:t>
            </w:r>
            <w:r>
              <w:rPr>
                <w:color w:val="000000"/>
              </w:rPr>
              <w:t xml:space="preserve">GCN </w:t>
            </w:r>
            <w:r>
              <w:rPr>
                <w:color w:val="000000"/>
              </w:rPr>
              <w:t xml:space="preserve">QS</w:t>
            </w:r>
            <w:r>
              <w:rPr>
                <w:color w:val="000000"/>
              </w:rPr>
              <w:t xml:space="preserve">D</w:t>
            </w:r>
            <w:r>
              <w:rPr>
                <w:color w:val="000000"/>
              </w:rPr>
              <w:t xml:space="preserve">Đ.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107/7/5 Miếu Bình Đông khu phố 16 phường Bình Hưng Hòa A, quận Bình Tân, TP HCM </w:t>
            </w:r>
            <w:r/>
          </w:p>
        </w:tc>
        <w:tc>
          <w:tcPr>
            <w:tcBorders/>
            <w:tcW w:w="1605" w:type="dxa"/>
            <w:vAlign w:val="center"/>
            <w:textDirection w:val="lrTb"/>
            <w:noWrap w:val="false"/>
          </w:tcPr>
          <w:p>
            <w:pPr>
              <w:pBdr/>
              <w:spacing/>
              <w:ind/>
              <w:jc w:val="center"/>
              <w:rPr/>
            </w:pPr>
            <w:r>
              <w:t xml:space="preserve">107/7/5 Miếu Bình Đông</w:t>
            </w:r>
            <w:r>
              <w:t xml:space="preserve">, Phường Bình Hưng Hòa , Thành phố Hồ Chí Minh</w:t>
            </w:r>
            <w:r>
              <w:t xml:space="preserve">✔</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w:t>
            </w:r>
            <w:r>
              <w:t xml:space="preserve">t </w:t>
            </w:r>
            <w:r>
              <w:t xml:space="preserve">nh</w:t>
            </w:r>
            <w:r>
              <w:t xml:space="preserve">ập </w:t>
            </w:r>
            <w:r>
              <w:t xml:space="preserve">địa </w:t>
            </w:r>
            <w:r>
              <w:t xml:space="preserve">giới </w:t>
            </w:r>
            <w:r>
              <w:t xml:space="preserve">hành </w:t>
            </w:r>
            <w:r>
              <w:t xml:space="preserve">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3,0</w:t>
            </w:r>
            <w:r/>
          </w:p>
        </w:tc>
        <w:tc>
          <w:tcPr>
            <w:tcBorders/>
            <w:tcW w:w="1605" w:type="dxa"/>
            <w:vAlign w:val="center"/>
            <w:textDirection w:val="lrTb"/>
            <w:noWrap w:val="false"/>
          </w:tcPr>
          <w:p>
            <w:pPr>
              <w:pBdr/>
              <w:spacing/>
              <w:ind/>
              <w:jc w:val="center"/>
              <w:rPr/>
            </w:pPr>
            <w:r>
              <w:t xml:space="preserve">3,0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242</w:t>
            </w:r>
            <w:r/>
          </w:p>
        </w:tc>
        <w:tc>
          <w:tcPr>
            <w:tcBorders/>
            <w:tcW w:w="1605" w:type="dxa"/>
            <w:vAlign w:val="center"/>
            <w:textDirection w:val="lrTb"/>
            <w:noWrap w:val="false"/>
          </w:tcPr>
          <w:p>
            <w:pPr>
              <w:pBdr/>
              <w:spacing/>
              <w:ind/>
              <w:jc w:val="center"/>
              <w:rPr/>
            </w:pPr>
            <w:r>
              <w:t xml:space="preserve">242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3,39</w:t>
            </w:r>
            <w:r/>
          </w:p>
        </w:tc>
        <w:tc>
          <w:tcPr>
            <w:tcBorders/>
            <w:tcW w:w="1605" w:type="dxa"/>
            <w:vAlign w:val="center"/>
            <w:textDirection w:val="lrTb"/>
            <w:noWrap w:val="false"/>
          </w:tcPr>
          <w:p>
            <w:pPr>
              <w:pBdr/>
              <w:spacing/>
              <w:ind/>
              <w:jc w:val="center"/>
              <w:rPr/>
            </w:pPr>
            <w:r>
              <w:t xml:space="preserve">3,39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13,17 ✔</w:t>
            </w:r>
            <w:r/>
          </w:p>
        </w:tc>
        <w:tc>
          <w:tcPr>
            <w:tcBorders/>
            <w:tcW w:w="1605" w:type="dxa"/>
            <w:vAlign w:val="center"/>
            <w:textDirection w:val="lrTb"/>
            <w:noWrap w:val="false"/>
          </w:tcPr>
          <w:p>
            <w:pPr>
              <w:pBdr/>
              <w:spacing/>
              <w:ind/>
              <w:jc w:val="center"/>
              <w:rPr/>
            </w:pPr>
            <w:r>
              <w:t xml:space="preserve">13,17</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650"/>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w:t>
            </w:r>
            <w:r>
              <w:t xml:space="preserve">đối </w:t>
            </w:r>
            <w:r>
              <w:t xml:space="preserve">vuông </w:t>
            </w:r>
            <w:r>
              <w:t xml:space="preserve">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6832"/>
        <w:gridCol w:w="1134"/>
        <w:gridCol w:w="993"/>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99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832"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6520"/>
        <w:gridCol w:w="1134"/>
        <w:gridCol w:w="993"/>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993"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6520"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993"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107/7/5 </w:t>
            </w:r>
            <w:r>
              <w:rPr>
                <w:color w:val="000000" w:themeColor="text1"/>
                <w:sz w:val="22"/>
                <w:szCs w:val="22"/>
              </w:rPr>
              <w:t xml:space="preserve">Miếu </w:t>
            </w:r>
            <w:r>
              <w:rPr>
                <w:color w:val="000000" w:themeColor="text1"/>
                <w:sz w:val="22"/>
                <w:szCs w:val="22"/>
              </w:rPr>
              <w:t xml:space="preserve">Bình </w:t>
            </w:r>
            <w:r>
              <w:rPr>
                <w:color w:val="000000" w:themeColor="text1"/>
                <w:sz w:val="22"/>
                <w:szCs w:val="22"/>
              </w:rPr>
              <w:t xml:space="preserve">Đông, </w:t>
            </w:r>
            <w:r>
              <w:rPr>
                <w:color w:val="000000" w:themeColor="text1"/>
                <w:sz w:val="22"/>
                <w:szCs w:val="22"/>
              </w:rPr>
              <w:t xml:space="preserve">Khu </w:t>
            </w:r>
            <w:r>
              <w:rPr>
                <w:color w:val="000000" w:themeColor="text1"/>
                <w:sz w:val="22"/>
                <w:szCs w:val="22"/>
              </w:rPr>
              <w:t xml:space="preserve">phố 16, </w:t>
            </w:r>
            <w:r>
              <w:rPr>
                <w:color w:val="000000" w:themeColor="text1"/>
                <w:sz w:val="22"/>
                <w:szCs w:val="22"/>
              </w:rPr>
              <w:t xml:space="preserve">Phường Bình Hưng Hòa A, Quận Bình Tân,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Hẻm</w:t>
            </w:r>
            <w:r>
              <w:rPr>
                <w:color w:val="000000" w:themeColor="text1"/>
                <w:sz w:val="22"/>
                <w:szCs w:val="22"/>
              </w:rPr>
              <w:t xml:space="preserve"> Miếu Bình Đông, Phường Bình Hưng Hòa 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Hẻm </w:t>
            </w:r>
            <w:r>
              <w:rPr>
                <w:color w:val="000000" w:themeColor="text1"/>
                <w:sz w:val="22"/>
                <w:szCs w:val="22"/>
              </w:rPr>
              <w:t xml:space="preserve">Miếu Bình Đông, Phường Bình Hưng Hòa 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Hẻm</w:t>
            </w:r>
            <w:r>
              <w:rPr>
                <w:color w:val="000000" w:themeColor="text1"/>
                <w:sz w:val="22"/>
                <w:szCs w:val="22"/>
              </w:rPr>
              <w:t xml:space="preserve"> Lê Văn Quới, Phường Bình Hưng Hòa,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1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https://web.facebook.com/groups/batdongsanhochiminh59/posts/2103771403825392/?_rdc=1&amp;_rdr#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https://www.facebook.com/groups/1187114355128372/posts/2411778539328608/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0919 218 468</w:t>
            </w:r>
            <w:r>
              <w:rPr>
                <w:sz w:val="22"/>
                <w:szCs w:val="22"/>
              </w:rPr>
              <w:t xml:space="preserve"> </w:t>
            </w:r>
            <w:r>
              <w:rPr>
                <w:sz w:val="22"/>
                <w:szCs w:val="22"/>
              </w:rPr>
              <w:br/>
              <w:t xml:space="preserve">(</w:t>
            </w:r>
            <w:r>
              <w:rPr>
                <w:sz w:val="22"/>
                <w:szCs w:val="22"/>
              </w:rPr>
              <w:t xml:space="preserve">Bảo</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0933.671.345</w:t>
            </w:r>
            <w:r>
              <w:rPr>
                <w:sz w:val="22"/>
                <w:szCs w:val="22"/>
              </w:rPr>
              <w:br/>
            </w:r>
            <w:r>
              <w:rPr>
                <w:sz w:val="22"/>
                <w:szCs w:val="22"/>
              </w:rPr>
              <w:t xml:space="preserve">(</w:t>
            </w:r>
            <w:r>
              <w:rPr>
                <w:sz w:val="22"/>
                <w:szCs w:val="22"/>
              </w:rPr>
              <w:t xml:space="preserve">Ben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0919 218 468</w:t>
            </w:r>
            <w:r>
              <w:rPr>
                <w:sz w:val="22"/>
                <w:szCs w:val="22"/>
              </w:rPr>
              <w:br/>
            </w:r>
            <w:r>
              <w:rPr>
                <w:sz w:val="22"/>
                <w:szCs w:val="22"/>
              </w:rPr>
              <w:t xml:space="preserve">(</w:t>
            </w:r>
            <w:r>
              <w:rPr>
                <w:sz w:val="22"/>
                <w:szCs w:val="22"/>
              </w:rPr>
              <w:t xml:space="preserve">Bảo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107/7/5 </w:t>
            </w:r>
            <w:r>
              <w:rPr>
                <w:color w:val="000000" w:themeColor="text1"/>
                <w:sz w:val="22"/>
                <w:szCs w:val="22"/>
              </w:rPr>
              <w:t xml:space="preserve">Miếu </w:t>
            </w:r>
            <w:r>
              <w:rPr>
                <w:color w:val="000000" w:themeColor="text1"/>
                <w:sz w:val="22"/>
                <w:szCs w:val="22"/>
              </w:rPr>
              <w:t xml:space="preserve">Bình </w:t>
            </w:r>
            <w:r>
              <w:rPr>
                <w:color w:val="000000" w:themeColor="text1"/>
                <w:sz w:val="22"/>
                <w:szCs w:val="22"/>
              </w:rPr>
              <w:t xml:space="preserve">Đông, </w:t>
            </w:r>
            <w:r>
              <w:rPr>
                <w:color w:val="000000" w:themeColor="text1"/>
                <w:sz w:val="22"/>
                <w:szCs w:val="22"/>
              </w:rPr>
              <w:t xml:space="preserve">Khu </w:t>
            </w:r>
            <w:r>
              <w:rPr>
                <w:color w:val="000000" w:themeColor="text1"/>
                <w:sz w:val="22"/>
                <w:szCs w:val="22"/>
              </w:rPr>
              <w:t xml:space="preserve">phố 16, </w:t>
            </w:r>
            <w:r>
              <w:rPr>
                <w:color w:val="000000" w:themeColor="text1"/>
                <w:sz w:val="22"/>
                <w:szCs w:val="22"/>
              </w:rPr>
              <w:t xml:space="preserve">Phường Bình Hưng Hòa A, Quận Bình Tân,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Hẻm</w:t>
            </w:r>
            <w:r>
              <w:rPr>
                <w:color w:val="000000" w:themeColor="text1"/>
                <w:sz w:val="22"/>
                <w:szCs w:val="22"/>
              </w:rPr>
              <w:t xml:space="preserve"> Miếu Bình Đông, Phường Bình Hưng Hòa 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Hẻm </w:t>
            </w:r>
            <w:r>
              <w:rPr>
                <w:color w:val="000000" w:themeColor="text1"/>
                <w:sz w:val="22"/>
                <w:szCs w:val="22"/>
              </w:rPr>
              <w:t xml:space="preserve">Miếu Bình Đông, Phường Bình Hưng Hòa 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Hẻm</w:t>
            </w:r>
            <w:r>
              <w:rPr>
                <w:color w:val="000000" w:themeColor="text1"/>
                <w:sz w:val="22"/>
                <w:szCs w:val="22"/>
              </w:rPr>
              <w:t xml:space="preserve"> Lê Văn Quới, Phường Bình Hưng Hòa,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7.73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03 </w:t>
            </w:r>
            <w:r>
              <w:rPr>
                <w:color w:val="000000" w:themeColor="text1"/>
                <w:sz w:val="22"/>
                <w:szCs w:val="22"/>
              </w:rPr>
              <w:t xml:space="preserve">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01 </w:t>
            </w:r>
            <w:r>
              <w:rPr>
                <w:color w:val="000000" w:themeColor="text1"/>
                <w:sz w:val="22"/>
                <w:szCs w:val="22"/>
              </w:rPr>
              <w:t xml:space="preserve">tầng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Nhà 01 </w:t>
            </w:r>
            <w:r>
              <w:rPr>
                <w:color w:val="000000" w:themeColor="text1"/>
                <w:sz w:val="22"/>
                <w:szCs w:val="22"/>
              </w:rPr>
              <w:t xml:space="preserve">tầng </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S</w:t>
            </w:r>
            <w:r>
              <w:rPr>
                <w:color w:val="000000"/>
                <w:sz w:val="22"/>
                <w:szCs w:val="22"/>
              </w:rPr>
              <w:t xml:space="preserve">ố </w:t>
            </w:r>
            <w:r>
              <w:rPr>
                <w:color w:val="000000"/>
                <w:sz w:val="22"/>
                <w:szCs w:val="22"/>
              </w:rPr>
              <w:t xml:space="preserve">t</w:t>
            </w:r>
            <w:r>
              <w:rPr>
                <w:color w:val="000000"/>
                <w:sz w:val="22"/>
                <w:szCs w:val="22"/>
              </w:rPr>
              <w:t xml:space="preserve">ầng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Diện </w:t>
            </w:r>
            <w:r>
              <w:rPr>
                <w:color w:val="000000"/>
                <w:sz w:val="22"/>
                <w:szCs w:val="22"/>
              </w:rPr>
              <w:t xml:space="preserve">tích </w:t>
            </w:r>
            <w:r>
              <w:rPr>
                <w:color w:val="000000"/>
                <w:sz w:val="22"/>
                <w:szCs w:val="22"/>
              </w:rPr>
              <w:t xml:space="preserve">sàn </w:t>
            </w:r>
            <w:r>
              <w:rPr>
                <w:color w:val="000000"/>
                <w:sz w:val="22"/>
                <w:szCs w:val="22"/>
              </w:rPr>
              <w:t xml:space="preserve">xây </w:t>
            </w:r>
            <w:r>
              <w:rPr>
                <w:color w:val="000000"/>
                <w:sz w:val="22"/>
                <w:szCs w:val="22"/>
              </w:rPr>
              <w:t xml:space="preserve">dựng: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96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29,5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54,8</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3.080.000.000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544.056.106</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155.242.200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298.018.714</w:t>
            </w:r>
            <w:r>
              <w:rPr>
                <w:sz w:val="22"/>
                <w:szCs w:val="22"/>
                <w14:ligatures w14:val="none"/>
              </w:rPr>
            </w:r>
            <w:r>
              <w:rPr>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3.015.000.000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101.532.164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2.947.943.894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2.859.757.800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2.781.981.286</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101.532.164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101.532.164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101.532.164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101.532.164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107/7/5 </w:t>
            </w:r>
            <w:r>
              <w:rPr>
                <w:color w:val="000000" w:themeColor="text1"/>
                <w:sz w:val="22"/>
                <w:szCs w:val="22"/>
              </w:rPr>
              <w:t xml:space="preserve">Miếu </w:t>
            </w:r>
            <w:r>
              <w:rPr>
                <w:color w:val="000000" w:themeColor="text1"/>
                <w:sz w:val="22"/>
                <w:szCs w:val="22"/>
              </w:rPr>
              <w:t xml:space="preserve">Bình </w:t>
            </w:r>
            <w:r>
              <w:rPr>
                <w:color w:val="000000" w:themeColor="text1"/>
                <w:sz w:val="22"/>
                <w:szCs w:val="22"/>
              </w:rPr>
              <w:t xml:space="preserve">Đông, </w:t>
            </w:r>
            <w:r>
              <w:rPr>
                <w:color w:val="000000" w:themeColor="text1"/>
                <w:sz w:val="22"/>
                <w:szCs w:val="22"/>
              </w:rPr>
              <w:t xml:space="preserve">Khu </w:t>
            </w:r>
            <w:r>
              <w:rPr>
                <w:color w:val="000000" w:themeColor="text1"/>
                <w:sz w:val="22"/>
                <w:szCs w:val="22"/>
              </w:rPr>
              <w:t xml:space="preserve">phố 16, </w:t>
            </w:r>
            <w:r>
              <w:rPr>
                <w:color w:val="000000" w:themeColor="text1"/>
                <w:sz w:val="22"/>
                <w:szCs w:val="22"/>
              </w:rPr>
              <w:t xml:space="preserve">Phường Bình Hưng Hòa A, Quận Bình Tân,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Hẻm</w:t>
            </w:r>
            <w:r>
              <w:rPr>
                <w:color w:val="000000" w:themeColor="text1"/>
                <w:sz w:val="22"/>
                <w:szCs w:val="22"/>
              </w:rPr>
              <w:t xml:space="preserve"> Miếu Bình Đông, Phường Bình Hưng Hòa 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Hẻm </w:t>
            </w:r>
            <w:r>
              <w:rPr>
                <w:color w:val="000000" w:themeColor="text1"/>
                <w:sz w:val="22"/>
                <w:szCs w:val="22"/>
              </w:rPr>
              <w:t xml:space="preserve">Miếu Bình Đông, Phường Bình Hưng Hòa 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tại: </w:t>
            </w:r>
            <w:r>
              <w:rPr>
                <w:color w:val="000000" w:themeColor="text1"/>
                <w:sz w:val="22"/>
                <w:szCs w:val="22"/>
              </w:rPr>
              <w:t xml:space="preserve">Hẻm</w:t>
            </w:r>
            <w:r>
              <w:rPr>
                <w:color w:val="000000" w:themeColor="text1"/>
                <w:sz w:val="22"/>
                <w:szCs w:val="22"/>
              </w:rPr>
              <w:t xml:space="preserve"> Lê Văn Quới, Phường Bình Hưng Hòa, Quận Bình Tân,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Bình </w:t>
            </w:r>
            <w:r>
              <w:rPr>
                <w:color w:val="000000" w:themeColor="text1"/>
                <w:sz w:val="22"/>
                <w:szCs w:val="22"/>
              </w:rPr>
              <w:t xml:space="preserve">Hư</w:t>
            </w:r>
            <w:r>
              <w:rPr>
                <w:color w:val="000000" w:themeColor="text1"/>
                <w:sz w:val="22"/>
                <w:szCs w:val="22"/>
              </w:rPr>
              <w:t xml:space="preserve">ng </w:t>
            </w:r>
            <w:r>
              <w:rPr>
                <w:color w:val="000000" w:themeColor="text1"/>
                <w:sz w:val="22"/>
                <w:szCs w:val="22"/>
              </w:rPr>
              <w:t xml:space="preserve">Hoà,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-8.122.573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93.409.591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93.409.591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-10.153.216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92.123.247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97.105.528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83.256.375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-13.818.487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-19.421.106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-20.306.433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78.304.760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77.684.422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62.949.942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-1.842.465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76.462.295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77.684.422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62.949.942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-6.448.627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-6.797.387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-7.107.251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70.013.668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70.887.035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55.842.691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70.013.668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70.887.035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55.842.691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4.606.162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4.855.276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5.076.608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74.619.830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75.742.311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60.919.299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74.619.830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75.742.311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60.919.299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70.427.147</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26.715.741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31.073.769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50.766.081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17.503.417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21.363.217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40.612.865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-13.5</w:t>
      </w:r>
      <w:r>
        <w:t xml:space="preserve">% đến</w:t>
      </w:r>
      <w:r>
        <w:t xml:space="preserve"> </w:t>
      </w:r>
      <w:r>
        <w:t xml:space="preserve"> </w:t>
      </w:r>
      <w:r>
        <w:t xml:space="preserve">7.55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74.619.830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24.878.251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75.742.311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25.244.912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60.919.299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20.304.402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70.427.565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70.500.000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70.500.000</w:t>
      </w:r>
      <w:r>
        <w:rPr>
          <w:b/>
          <w:bCs/>
          <w:color w:val="000000" w:themeColor="text1"/>
        </w:rPr>
        <w:t xml:space="preserve"> </w:t>
      </w:r>
      <w:r>
        <w:rPr>
          <w:b/>
          <w:bCs/>
        </w:rPr>
        <w:t xml:space="preserve">đồng/m².</w:t>
      </w:r>
      <w:r>
        <w:rPr>
          <w:b/>
          <w:bCs/>
        </w:rPr>
      </w:r>
      <w:r>
        <w:rPr>
          <w:b/>
          <w:bCs/>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Style w:val="1035"/>
        <w:numPr>
          <w:ilvl w:val="0"/>
          <w:numId w:val="43"/>
        </w:numPr>
        <w:pBdr/>
        <w:spacing w:after="120" w:before="120" w:line="276" w:lineRule="auto"/>
        <w:ind/>
        <w:jc w:val="both"/>
        <w:rPr>
          <w:b/>
          <w:bCs/>
          <w:highlight w:val="none"/>
        </w:rPr>
      </w:pPr>
      <w:r>
        <w:rPr>
          <w:b/>
          <w:bCs/>
          <w:highlight w:val="none"/>
        </w:rPr>
        <w:t xml:space="preserve">Xác </w:t>
      </w:r>
      <w:r>
        <w:rPr>
          <w:b/>
          <w:bCs/>
          <w:highlight w:val="none"/>
        </w:rPr>
        <w:t xml:space="preserve">định </w:t>
      </w:r>
      <w:r>
        <w:rPr>
          <w:b/>
          <w:bCs/>
          <w:highlight w:val="none"/>
        </w:rPr>
        <w:t xml:space="preserve">đơn </w:t>
      </w:r>
      <w:r>
        <w:rPr>
          <w:b/>
          <w:bCs/>
          <w:highlight w:val="none"/>
        </w:rPr>
        <w:t xml:space="preserve">giá </w:t>
      </w:r>
      <w:r>
        <w:rPr>
          <w:b/>
          <w:bCs/>
          <w:highlight w:val="none"/>
        </w:rPr>
        <w:t xml:space="preserve">xây </w:t>
      </w:r>
      <w:r>
        <w:rPr>
          <w:b/>
          <w:bCs/>
          <w:highlight w:val="none"/>
        </w:rPr>
        <w:t xml:space="preserve">mới </w:t>
      </w:r>
      <w:r>
        <w:rPr>
          <w:b/>
          <w:bCs/>
          <w:highlight w:val="none"/>
        </w:rPr>
        <w:t xml:space="preserve">của </w:t>
      </w:r>
      <w:r>
        <w:rPr>
          <w:b/>
          <w:bCs/>
          <w:highlight w:val="none"/>
        </w:rPr>
        <w:t xml:space="preserve">công </w:t>
      </w:r>
      <w:r>
        <w:rPr>
          <w:b/>
          <w:bCs/>
          <w:highlight w:val="none"/>
        </w:rPr>
        <w:t xml:space="preserve">trình </w:t>
      </w:r>
      <w:r>
        <w:rPr>
          <w:b/>
          <w:bCs/>
          <w:highlight w:val="none"/>
        </w:rPr>
        <w:t xml:space="preserve">xây </w:t>
      </w:r>
      <w:r>
        <w:rPr>
          <w:b/>
          <w:bCs/>
          <w:highlight w:val="none"/>
        </w:rPr>
        <w:t xml:space="preserve">dựng: </w:t>
      </w:r>
      <w:r>
        <w:rPr>
          <w:b/>
          <w:bCs/>
          <w:highlight w:val="none"/>
        </w:rPr>
      </w:r>
      <w:r>
        <w:rPr>
          <w:b/>
          <w:bCs/>
          <w:highlight w:val="none"/>
        </w:rPr>
      </w:r>
    </w:p>
    <w:p>
      <w:pPr>
        <w:pBdr/>
        <w:spacing w:after="120" w:before="120" w:line="276" w:lineRule="auto"/>
        <w:ind w:firstLine="0" w:left="0"/>
        <w:jc w:val="both"/>
        <w:rPr>
          <w:b/>
          <w:bCs/>
          <w:highlight w:val="none"/>
        </w:rPr>
      </w:pPr>
      <w:r>
        <w:rPr>
          <w:b w:val="0"/>
          <w:bCs w:val="0"/>
          <w:highlight w:val="none"/>
        </w:rPr>
        <w:t xml:space="preserve">Q</w:t>
      </w:r>
      <w:r>
        <w:rPr>
          <w:rFonts w:ascii="Times New Roman" w:hAnsi="Times New Roman" w:eastAsia="Times New Roman" w:cs="Times New Roman"/>
          <w:b w:val="0"/>
          <w:bCs w:val="0"/>
          <w:color w:val="000000"/>
          <w:sz w:val="24"/>
          <w:szCs w:val="24"/>
        </w:rPr>
        <w:t xml:space="preserve">ua tham kh</w:t>
      </w:r>
      <w:r>
        <w:rPr>
          <w:rFonts w:ascii="Times New Roman" w:hAnsi="Times New Roman" w:eastAsia="Times New Roman" w:cs="Times New Roman"/>
          <w:color w:val="000000"/>
          <w:sz w:val="24"/>
          <w:szCs w:val="24"/>
        </w:rPr>
        <w:t xml:space="preserve">ảo thị trường về đơn giá xây dựng mới đối với công trình </w:t>
      </w:r>
      <w:r>
        <w:rPr>
          <w:rFonts w:ascii="Times New Roman" w:hAnsi="Times New Roman" w:eastAsia="Times New Roman" w:cs="Times New Roman"/>
          <w:color w:val="000000"/>
          <w:sz w:val="24"/>
          <w:szCs w:val="24"/>
        </w:rPr>
        <w:t xml:space="preserve">xây </w:t>
      </w:r>
      <w:r>
        <w:rPr>
          <w:rFonts w:ascii="Times New Roman" w:hAnsi="Times New Roman" w:eastAsia="Times New Roman" w:cs="Times New Roman"/>
          <w:color w:val="000000"/>
          <w:sz w:val="24"/>
          <w:szCs w:val="24"/>
        </w:rPr>
        <w:t xml:space="preserve">dựng </w:t>
      </w:r>
      <w:r>
        <w:rPr>
          <w:rFonts w:ascii="Times New Roman" w:hAnsi="Times New Roman" w:eastAsia="Times New Roman" w:cs="Times New Roman"/>
          <w:color w:val="000000"/>
          <w:sz w:val="24"/>
          <w:szCs w:val="24"/>
        </w:rPr>
        <w:t xml:space="preserve">là</w:t>
      </w:r>
      <w:r>
        <w:t xml:space="preserve"> </w:t>
      </w:r>
      <w:r>
        <w:rPr>
          <w:rFonts w:ascii="Times New Roman" w:hAnsi="Times New Roman" w:eastAsia="Times New Roman" w:cs="Times New Roman"/>
          <w:color w:val="000000"/>
          <w:sz w:val="24"/>
          <w:szCs w:val="24"/>
          <w:highlight w:val="white"/>
        </w:rPr>
        <w:t xml:space="preserve">Nhà 1 tầng, căn hộ khép kín, kết cấu </w:t>
      </w:r>
      <w:r>
        <w:rPr>
          <w:rFonts w:ascii="Times New Roman" w:hAnsi="Times New Roman" w:eastAsia="Times New Roman" w:cs="Times New Roman"/>
          <w:color w:val="000000"/>
          <w:sz w:val="24"/>
          <w:szCs w:val="24"/>
          <w:highlight w:val="white"/>
        </w:rPr>
        <w:t xml:space="preserve">tường gạch chịu lực, mái </w:t>
      </w:r>
      <w:r>
        <w:rPr>
          <w:rFonts w:ascii="Times New Roman" w:hAnsi="Times New Roman" w:eastAsia="Times New Roman" w:cs="Times New Roman"/>
          <w:color w:val="000000"/>
          <w:sz w:val="24"/>
          <w:szCs w:val="24"/>
          <w:highlight w:val="none"/>
        </w:rPr>
        <w:t xml:space="preserve">BTCT </w:t>
      </w:r>
      <w:r>
        <w:rPr>
          <w:rFonts w:ascii="Times New Roman" w:hAnsi="Times New Roman" w:eastAsia="Times New Roman" w:cs="Times New Roman"/>
          <w:color w:val="000000"/>
          <w:sz w:val="24"/>
          <w:szCs w:val="24"/>
          <w:highlight w:val="none"/>
        </w:rPr>
        <w:t xml:space="preserve">đổ </w:t>
      </w:r>
      <w:r>
        <w:rPr>
          <w:rFonts w:ascii="Times New Roman" w:hAnsi="Times New Roman" w:eastAsia="Times New Roman" w:cs="Times New Roman"/>
          <w:color w:val="000000"/>
          <w:sz w:val="24"/>
          <w:szCs w:val="24"/>
          <w:highlight w:val="none"/>
        </w:rPr>
        <w:t xml:space="preserve">tại </w:t>
      </w:r>
      <w:r>
        <w:rPr>
          <w:rFonts w:ascii="Times New Roman" w:hAnsi="Times New Roman" w:eastAsia="Times New Roman" w:cs="Times New Roman"/>
          <w:color w:val="000000"/>
          <w:sz w:val="24"/>
          <w:szCs w:val="24"/>
          <w:highlight w:val="none"/>
        </w:rPr>
        <w:t xml:space="preserve">chỗ,</w:t>
      </w:r>
      <w:r>
        <w:rPr>
          <w:rFonts w:ascii="Times New Roman" w:hAnsi="Times New Roman" w:eastAsia="Times New Roman" w:cs="Times New Roman"/>
          <w:i/>
          <w:color w:val="000000"/>
          <w:spacing w:val="-4"/>
          <w:sz w:val="24"/>
          <w:szCs w:val="24"/>
        </w:rPr>
        <w:t xml:space="preserve">,</w:t>
      </w:r>
      <w:r>
        <w:rPr>
          <w:rFonts w:ascii="Times New Roman" w:hAnsi="Times New Roman" w:eastAsia="Times New Roman" w:cs="Times New Roman"/>
          <w:i/>
          <w:color w:val="000000"/>
          <w:spacing w:val="-4"/>
          <w:sz w:val="24"/>
          <w:szCs w:val="24"/>
        </w:rPr>
        <w:t xml:space="preserve"> </w:t>
      </w:r>
      <w:r>
        <w:rPr>
          <w:rFonts w:ascii="Times New Roman" w:hAnsi="Times New Roman" w:eastAsia="Times New Roman" w:cs="Times New Roman"/>
          <w:color w:val="000000"/>
          <w:sz w:val="24"/>
          <w:szCs w:val="24"/>
        </w:rPr>
        <w:t xml:space="preserve">cân nhắc và xem xét với kết cấu của công trình xây dựng hiện</w:t>
      </w:r>
      <w:r>
        <w:rPr>
          <w:rFonts w:ascii="Times New Roman" w:hAnsi="Times New Roman" w:eastAsia="Times New Roman" w:cs="Times New Roman"/>
          <w:color w:val="000000"/>
          <w:sz w:val="24"/>
          <w:szCs w:val="24"/>
        </w:rPr>
        <w:t xml:space="preserve"> có, tổ thẩm định nhận thấy đơn giá vận dụng theo Quyết định số 425/QĐ-BXD ngày 31 tháng 03 năm 2026 của Bộ Xây dựng về việc công bố suất vốn đầu tư xây dựng và giá xây dựng tổng hợp bộ phận kết cấu công trình năm 2025 là khá phù hợp với thị trư</w:t>
      </w:r>
      <w:r>
        <w:rPr>
          <w:rFonts w:ascii="Times New Roman" w:hAnsi="Times New Roman" w:eastAsia="Times New Roman" w:cs="Times New Roman"/>
          <w:color w:val="000000"/>
          <w:sz w:val="24"/>
          <w:szCs w:val="24"/>
        </w:rPr>
        <w:t xml:space="preserve">ờng, theo đ</w:t>
      </w:r>
      <w:r>
        <w:rPr>
          <w:rFonts w:ascii="Times New Roman" w:hAnsi="Times New Roman" w:eastAsia="Times New Roman" w:cs="Times New Roman"/>
          <w:color w:val="000000"/>
          <w:sz w:val="24"/>
          <w:szCs w:val="24"/>
        </w:rPr>
        <w:t xml:space="preserve">ó:</w:t>
      </w:r>
      <w:r>
        <w:rPr>
          <w:rFonts w:ascii="Times New Roman" w:hAnsi="Times New Roman" w:eastAsia="Times New Roman" w:cs="Times New Roman"/>
          <w:color w:val="000000"/>
          <w:spacing w:val="3"/>
          <w:sz w:val="24"/>
          <w:szCs w:val="24"/>
          <w:highlight w:val="white"/>
        </w:rPr>
        <w:t xml:space="preserve"> </w:t>
      </w:r>
      <w:r>
        <w:rPr>
          <w:b/>
          <w:bCs/>
          <w:highlight w:val="none"/>
        </w:rPr>
      </w:r>
      <w:r>
        <w:rPr>
          <w:b/>
          <w:bCs/>
          <w:highlight w:val="none"/>
        </w:rPr>
      </w:r>
    </w:p>
    <w:p>
      <w:pPr>
        <w:pStyle w:val="1035"/>
        <w:numPr>
          <w:ilvl w:val="0"/>
          <w:numId w:val="39"/>
        </w:numPr>
        <w:pBdr/>
        <w:spacing w:after="120" w:before="120" w:line="276" w:lineRule="auto"/>
        <w:ind/>
        <w:jc w:val="both"/>
        <w:rPr>
          <w:b w:val="0"/>
          <w:bCs w:val="0"/>
          <w:i/>
        </w:rPr>
      </w:pPr>
      <w:r>
        <w:rPr>
          <w:b w:val="0"/>
          <w:bCs w:val="0"/>
          <w:i/>
          <w:iCs/>
          <w:highlight w:val="none"/>
        </w:rPr>
        <w:t xml:space="preserve">Suất </w:t>
      </w:r>
      <w:r>
        <w:rPr>
          <w:b w:val="0"/>
          <w:bCs w:val="0"/>
          <w:i/>
          <w:iCs/>
          <w:highlight w:val="none"/>
        </w:rPr>
        <w:t xml:space="preserve">vốn </w:t>
      </w:r>
      <w:r>
        <w:rPr>
          <w:b w:val="0"/>
          <w:bCs w:val="0"/>
          <w:i/>
          <w:iCs/>
          <w:highlight w:val="none"/>
        </w:rPr>
        <w:t xml:space="preserve">đầu </w:t>
      </w:r>
      <w:r>
        <w:rPr>
          <w:b w:val="0"/>
          <w:bCs w:val="0"/>
          <w:i/>
          <w:iCs/>
          <w:highlight w:val="none"/>
        </w:rPr>
        <w:t xml:space="preserve">tư </w:t>
      </w:r>
      <w:r>
        <w:rPr>
          <w:b w:val="0"/>
          <w:bCs w:val="0"/>
          <w:i/>
          <w:iCs/>
          <w:highlight w:val="none"/>
        </w:rPr>
        <w:t xml:space="preserve">của </w:t>
      </w:r>
      <w:r>
        <w:rPr>
          <w:b w:val="0"/>
          <w:bCs w:val="0"/>
          <w:i/>
          <w:iCs/>
          <w:highlight w:val="none"/>
        </w:rPr>
        <w:t xml:space="preserve">công </w:t>
      </w:r>
      <w:r>
        <w:rPr>
          <w:b w:val="0"/>
          <w:bCs w:val="0"/>
          <w:i/>
          <w:iCs/>
          <w:highlight w:val="none"/>
        </w:rPr>
        <w:t xml:space="preserve">trình </w:t>
      </w:r>
      <w:r>
        <w:rPr>
          <w:b w:val="0"/>
          <w:bCs w:val="0"/>
          <w:i/>
          <w:iCs/>
          <w:highlight w:val="none"/>
        </w:rPr>
        <w:t xml:space="preserve">xây </w:t>
      </w:r>
      <w:r>
        <w:rPr>
          <w:b w:val="0"/>
          <w:bCs w:val="0"/>
          <w:i/>
          <w:iCs/>
          <w:highlight w:val="none"/>
        </w:rPr>
        <w:t xml:space="preserve">dựng </w:t>
      </w:r>
      <w:r>
        <w:rPr>
          <w:b w:val="0"/>
          <w:bCs w:val="0"/>
          <w:i/>
          <w:iCs/>
          <w:highlight w:val="none"/>
        </w:rPr>
        <w:t xml:space="preserve">là: 6.452.000 </w:t>
      </w:r>
      <w:r>
        <w:rPr>
          <w:b w:val="0"/>
          <w:bCs w:val="0"/>
          <w:i/>
          <w:iCs/>
          <w:highlight w:val="none"/>
        </w:rPr>
        <w:t xml:space="preserve">đồng/</w:t>
      </w:r>
      <w:r>
        <w:rPr>
          <w:b w:val="0"/>
          <w:bCs w:val="0"/>
          <w:i/>
          <w:iCs/>
          <w:highlight w:val="none"/>
        </w:rPr>
        <w:t xml:space="preserve">m2. </w:t>
      </w:r>
      <w:r>
        <w:rPr>
          <w:b w:val="0"/>
          <w:bCs w:val="0"/>
          <w:i/>
        </w:rPr>
      </w:r>
      <w:r>
        <w:rPr>
          <w:b w:val="0"/>
          <w:bCs w:val="0"/>
          <w:i/>
        </w:rPr>
      </w:r>
    </w:p>
    <w:p>
      <w:pPr>
        <w:pStyle w:val="1035"/>
        <w:numPr>
          <w:ilvl w:val="0"/>
          <w:numId w:val="39"/>
        </w:numPr>
        <w:pBdr/>
        <w:spacing w:after="120" w:before="120" w:line="276" w:lineRule="auto"/>
        <w:ind/>
        <w:jc w:val="both"/>
        <w:rPr>
          <w:b w:val="0"/>
          <w:bCs w:val="0"/>
          <w:i/>
        </w:rPr>
      </w:pPr>
      <w:r>
        <w:rPr>
          <w:b w:val="0"/>
          <w:bCs w:val="0"/>
          <w:i/>
          <w:iCs/>
          <w:highlight w:val="none"/>
        </w:rPr>
        <w:t xml:space="preserve">H</w:t>
      </w:r>
      <w:r>
        <w:rPr>
          <w:rFonts w:ascii="Times New Roman" w:hAnsi="Times New Roman" w:eastAsia="Times New Roman" w:cs="Times New Roman"/>
          <w:b w:val="0"/>
          <w:bCs w:val="0"/>
          <w:i/>
          <w:iCs/>
          <w:color w:val="000000"/>
          <w:sz w:val="24"/>
          <w:szCs w:val="24"/>
        </w:rPr>
        <w:t xml:space="preserve">ệ số điều chỉnh vùng cho suất vốn đầu tư Vùng 8 - </w:t>
      </w:r>
      <w:r>
        <w:rPr>
          <w:rFonts w:ascii="Times New Roman" w:hAnsi="Times New Roman" w:eastAsia="Times New Roman" w:cs="Times New Roman"/>
          <w:b w:val="0"/>
          <w:bCs w:val="0"/>
          <w:i/>
          <w:iCs/>
          <w:color w:val="000000"/>
          <w:sz w:val="24"/>
          <w:szCs w:val="24"/>
        </w:rPr>
        <w:t xml:space="preserve">Thành </w:t>
      </w:r>
      <w:r>
        <w:rPr>
          <w:rFonts w:ascii="Times New Roman" w:hAnsi="Times New Roman" w:eastAsia="Times New Roman" w:cs="Times New Roman"/>
          <w:b w:val="0"/>
          <w:bCs w:val="0"/>
          <w:i/>
          <w:iCs/>
          <w:color w:val="000000"/>
          <w:sz w:val="24"/>
          <w:szCs w:val="24"/>
        </w:rPr>
        <w:t xml:space="preserve">phố </w:t>
      </w:r>
      <w:r>
        <w:rPr>
          <w:rFonts w:ascii="Times New Roman" w:hAnsi="Times New Roman" w:eastAsia="Times New Roman" w:cs="Times New Roman"/>
          <w:b w:val="0"/>
          <w:bCs w:val="0"/>
          <w:i/>
          <w:iCs/>
          <w:color w:val="000000"/>
          <w:sz w:val="24"/>
          <w:szCs w:val="24"/>
        </w:rPr>
        <w:t xml:space="preserve">Hồ </w:t>
      </w:r>
      <w:r>
        <w:rPr>
          <w:rFonts w:ascii="Times New Roman" w:hAnsi="Times New Roman" w:eastAsia="Times New Roman" w:cs="Times New Roman"/>
          <w:b w:val="0"/>
          <w:bCs w:val="0"/>
          <w:i/>
          <w:iCs/>
          <w:color w:val="000000"/>
          <w:sz w:val="24"/>
          <w:szCs w:val="24"/>
        </w:rPr>
        <w:t xml:space="preserve">Chí </w:t>
      </w:r>
      <w:r>
        <w:rPr>
          <w:rFonts w:ascii="Times New Roman" w:hAnsi="Times New Roman" w:eastAsia="Times New Roman" w:cs="Times New Roman"/>
          <w:b w:val="0"/>
          <w:bCs w:val="0"/>
          <w:i/>
          <w:iCs/>
          <w:color w:val="000000"/>
          <w:sz w:val="24"/>
          <w:szCs w:val="24"/>
        </w:rPr>
        <w:t xml:space="preserve">Minh </w:t>
      </w:r>
      <w:r>
        <w:rPr>
          <w:rFonts w:ascii="Times New Roman" w:hAnsi="Times New Roman" w:eastAsia="Times New Roman" w:cs="Times New Roman"/>
          <w:b w:val="0"/>
          <w:bCs w:val="0"/>
          <w:i/>
          <w:iCs/>
          <w:color w:val="000000"/>
          <w:sz w:val="24"/>
          <w:szCs w:val="24"/>
        </w:rPr>
        <w:t xml:space="preserve">là 1,064 </w:t>
      </w:r>
      <w:r>
        <w:rPr>
          <w:b w:val="0"/>
          <w:bCs w:val="0"/>
          <w:i/>
        </w:rPr>
      </w:r>
      <w:r>
        <w:rPr>
          <w:b w:val="0"/>
          <w:bCs w:val="0"/>
          <w:i/>
        </w:rPr>
      </w:r>
    </w:p>
    <w:p>
      <w:pPr>
        <w:pBdr/>
        <w:spacing w:after="0" w:before="0" w:line="276" w:lineRule="auto"/>
        <w:ind/>
        <w:jc w:val="left"/>
        <w:rPr>
          <w:b w:val="0"/>
          <w:bCs w:val="0"/>
          <w:color w:val="000000" w:themeColor="text1"/>
          <w:highlight w:val="none"/>
        </w:rPr>
      </w:pPr>
      <w:r>
        <w:rPr>
          <w:b w:val="0"/>
          <w:bCs w:val="0"/>
          <w:color w:val="000000" w:themeColor="text1"/>
          <w:highlight w:val="none"/>
        </w:rPr>
        <w:t xml:space="preserve">Như </w:t>
      </w:r>
      <w:r>
        <w:rPr>
          <w:b w:val="0"/>
          <w:bCs w:val="0"/>
          <w:color w:val="000000" w:themeColor="text1"/>
          <w:highlight w:val="none"/>
        </w:rPr>
        <w:t xml:space="preserve">vậy, </w:t>
      </w:r>
      <w:r>
        <w:rPr>
          <w:b w:val="0"/>
          <w:bCs w:val="0"/>
          <w:color w:val="000000" w:themeColor="text1"/>
          <w:highlight w:val="none"/>
        </w:rPr>
        <w:t xml:space="preserve">đơn </w:t>
      </w:r>
      <w:r>
        <w:rPr>
          <w:b w:val="0"/>
          <w:bCs w:val="0"/>
          <w:color w:val="000000" w:themeColor="text1"/>
          <w:highlight w:val="none"/>
        </w:rPr>
        <w:t xml:space="preserve">giá </w:t>
      </w:r>
      <w:r>
        <w:rPr>
          <w:b w:val="0"/>
          <w:bCs w:val="0"/>
          <w:color w:val="000000" w:themeColor="text1"/>
          <w:highlight w:val="none"/>
        </w:rPr>
        <w:t xml:space="preserve">xây </w:t>
      </w:r>
      <w:r>
        <w:rPr>
          <w:b w:val="0"/>
          <w:bCs w:val="0"/>
          <w:color w:val="000000" w:themeColor="text1"/>
          <w:highlight w:val="none"/>
        </w:rPr>
        <w:t xml:space="preserve">mới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w:t>
      </w:r>
      <w:r>
        <w:rPr>
          <w:b w:val="0"/>
          <w:bCs w:val="0"/>
          <w:color w:val="000000" w:themeColor="text1"/>
          <w:highlight w:val="none"/>
        </w:rPr>
        <w:t xml:space="preserve">rình</w:t>
      </w:r>
      <w:r>
        <w:rPr>
          <w:b w:val="0"/>
          <w:bCs w:val="0"/>
          <w:color w:val="000000" w:themeColor="text1"/>
          <w:highlight w:val="none"/>
        </w:rPr>
        <w:t xml:space="preserve">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là 6.452.000</w:t>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x 1,064/1,1 = </w:t>
      </w:r>
      <w:r>
        <w:rPr>
          <w:rFonts w:ascii="Times New Roman" w:hAnsi="Times New Roman" w:eastAsia="Times New Roman" w:cs="Times New Roman"/>
          <w:color w:val="000000"/>
          <w:sz w:val="24"/>
        </w:rPr>
        <w:t xml:space="preserve"> 6.240.844</w:t>
      </w:r>
      <w:r>
        <w:rPr>
          <w:b w:val="0"/>
          <w:bCs w:val="0"/>
          <w:color w:val="000000" w:themeColor="text1"/>
          <w:highlight w:val="none"/>
        </w:rPr>
        <w:t xml:space="preserve"> </w:t>
      </w:r>
      <w:r>
        <w:rPr>
          <w:rFonts w:ascii="Times New Roman" w:hAnsi="Times New Roman" w:eastAsia="Times New Roman" w:cs="Times New Roman"/>
          <w:b w:val="0"/>
          <w:bCs w:val="0"/>
          <w:i w:val="0"/>
          <w:iCs w:val="0"/>
          <w:color w:val="000000"/>
          <w:spacing w:val="-4"/>
          <w:sz w:val="24"/>
          <w:szCs w:val="24"/>
        </w:rPr>
        <w:t xml:space="preserve">đồng/m²</w:t>
      </w:r>
      <w:r>
        <w:rPr>
          <w:b w:val="0"/>
          <w:bCs w:val="0"/>
          <w:color w:val="000000" w:themeColor="text1"/>
          <w:highlight w:val="none"/>
        </w:rPr>
        <w:t xml:space="preserve">. </w:t>
      </w:r>
      <w:r>
        <w:rPr>
          <w:b w:val="0"/>
          <w:bCs w:val="0"/>
          <w:color w:val="000000" w:themeColor="text1"/>
          <w:highlight w:val="none"/>
        </w:rPr>
      </w:r>
      <w:r>
        <w:rPr>
          <w:b w:val="0"/>
          <w:bCs w:val="0"/>
          <w:color w:val="000000" w:themeColor="text1"/>
          <w:highlight w:val="none"/>
        </w:rPr>
      </w:r>
    </w:p>
    <w:p>
      <w:pPr>
        <w:pStyle w:val="1035"/>
        <w:numPr>
          <w:ilvl w:val="0"/>
          <w:numId w:val="42"/>
        </w:numPr>
        <w:pBdr/>
        <w:spacing w:after="0" w:before="0" w:line="276" w:lineRule="auto"/>
        <w:ind/>
        <w:jc w:val="left"/>
        <w:rPr>
          <w:b/>
          <w:bCs/>
          <w:color w:val="000000" w:themeColor="text1"/>
          <w:highlight w:val="none"/>
        </w:rPr>
      </w:pPr>
      <w:r>
        <w:rPr>
          <w:b/>
          <w:bCs/>
          <w:color w:val="000000" w:themeColor="text1"/>
          <w:highlight w:val="none"/>
        </w:rPr>
        <w:t xml:space="preserve">Xác </w:t>
      </w:r>
      <w:r>
        <w:rPr>
          <w:b/>
          <w:bCs/>
          <w:color w:val="000000" w:themeColor="text1"/>
          <w:highlight w:val="none"/>
        </w:rPr>
        <w:t xml:space="preserve">định </w:t>
      </w:r>
      <w:r>
        <w:rPr>
          <w:b/>
          <w:bCs/>
          <w:color w:val="000000" w:themeColor="text1"/>
          <w:highlight w:val="none"/>
        </w:rPr>
        <w:t xml:space="preserve">tỷ </w:t>
      </w:r>
      <w:r>
        <w:rPr>
          <w:b/>
          <w:bCs/>
          <w:color w:val="000000" w:themeColor="text1"/>
          <w:highlight w:val="none"/>
        </w:rPr>
        <w:t xml:space="preserve">l</w:t>
      </w:r>
      <w:r>
        <w:rPr>
          <w:b/>
          <w:bCs/>
          <w:color w:val="000000" w:themeColor="text1"/>
          <w:highlight w:val="none"/>
        </w:rPr>
        <w:t xml:space="preserve">ệ </w:t>
      </w:r>
      <w:r>
        <w:rPr>
          <w:b/>
          <w:bCs/>
          <w:color w:val="000000" w:themeColor="text1"/>
          <w:highlight w:val="none"/>
        </w:rPr>
        <w:t xml:space="preserve">h</w:t>
      </w:r>
      <w:r>
        <w:rPr>
          <w:b/>
          <w:bCs/>
          <w:color w:val="000000" w:themeColor="text1"/>
          <w:highlight w:val="none"/>
        </w:rPr>
        <w:t xml:space="preserve">ao </w:t>
      </w:r>
      <w:r>
        <w:rPr>
          <w:b/>
          <w:bCs/>
          <w:color w:val="000000" w:themeColor="text1"/>
          <w:highlight w:val="none"/>
        </w:rPr>
        <w:t xml:space="preserve">mòn </w:t>
      </w:r>
      <w:r>
        <w:rPr>
          <w:b/>
          <w:bCs/>
          <w:color w:val="000000" w:themeColor="text1"/>
          <w:highlight w:val="none"/>
        </w:rPr>
        <w:t xml:space="preserve">của </w:t>
      </w:r>
      <w:r>
        <w:rPr>
          <w:b/>
          <w:bCs/>
          <w:color w:val="000000" w:themeColor="text1"/>
          <w:highlight w:val="none"/>
        </w:rPr>
        <w:t xml:space="preserve">công </w:t>
      </w:r>
      <w:r>
        <w:rPr>
          <w:b/>
          <w:bCs/>
          <w:color w:val="000000" w:themeColor="text1"/>
          <w:highlight w:val="none"/>
        </w:rPr>
        <w:t xml:space="preserve">trình </w:t>
      </w:r>
      <w:r>
        <w:rPr>
          <w:b/>
          <w:bCs/>
          <w:color w:val="000000" w:themeColor="text1"/>
          <w:highlight w:val="none"/>
        </w:rPr>
        <w:t xml:space="preserve">xây </w:t>
      </w:r>
      <w:r>
        <w:rPr>
          <w:b/>
          <w:bCs/>
          <w:color w:val="000000" w:themeColor="text1"/>
          <w:highlight w:val="none"/>
        </w:rPr>
        <w:t xml:space="preserve">dựng: </w:t>
      </w:r>
      <w:r>
        <w:rPr>
          <w:b/>
          <w:bCs/>
          <w:color w:val="000000" w:themeColor="text1"/>
          <w:highlight w:val="none"/>
        </w:rPr>
      </w:r>
      <w:r>
        <w:rPr>
          <w:b/>
          <w:bCs/>
          <w:color w:val="000000" w:themeColor="text1"/>
          <w:highlight w:val="none"/>
        </w:rPr>
      </w:r>
    </w:p>
    <w:p>
      <w:pPr>
        <w:pBdr>
          <w:top w:val="none" w:color="000000" w:sz="4" w:space="0"/>
          <w:left w:val="none" w:color="000000" w:sz="4" w:space="0"/>
          <w:bottom w:val="none" w:color="000000" w:sz="4" w:space="0"/>
          <w:right w:val="none" w:color="000000" w:sz="4" w:space="0"/>
        </w:pBdr>
        <w:spacing w:after="120" w:before="120" w:line="288" w:lineRule="auto"/>
        <w:ind w:right="0" w:firstLine="720" w:left="0"/>
        <w:jc w:val="both"/>
        <w:rPr>
          <w:rFonts w:ascii="Times New Roman" w:hAnsi="Times New Roman" w:eastAsia="Times New Roman" w:cs="Times New Roman"/>
          <w:color w:val="000000"/>
          <w:sz w:val="24"/>
          <w:szCs w:val="24"/>
          <w:highlight w:val="none"/>
        </w:rPr>
      </w:pPr>
      <w:r>
        <w:rPr>
          <w:b w:val="0"/>
          <w:bCs w:val="0"/>
          <w:color w:val="000000" w:themeColor="text1"/>
          <w:highlight w:val="none"/>
        </w:rPr>
        <w:t xml:space="preserve">Tỷ </w:t>
      </w:r>
      <w:r>
        <w:rPr>
          <w:b w:val="0"/>
          <w:bCs w:val="0"/>
          <w:color w:val="000000" w:themeColor="text1"/>
          <w:highlight w:val="none"/>
        </w:rPr>
        <w:t xml:space="preserve">l</w:t>
      </w:r>
      <w:r>
        <w:rPr>
          <w:b w:val="0"/>
          <w:bCs w:val="0"/>
          <w:color w:val="000000" w:themeColor="text1"/>
          <w:highlight w:val="none"/>
        </w:rPr>
        <w:t xml:space="preserve">ệ </w:t>
      </w:r>
      <w:r>
        <w:rPr>
          <w:b w:val="0"/>
          <w:bCs w:val="0"/>
          <w:color w:val="000000" w:themeColor="text1"/>
          <w:highlight w:val="none"/>
        </w:rPr>
        <w:t xml:space="preserve">hao </w:t>
      </w:r>
      <w:r>
        <w:rPr>
          <w:b w:val="0"/>
          <w:bCs w:val="0"/>
          <w:color w:val="000000" w:themeColor="text1"/>
          <w:highlight w:val="none"/>
        </w:rPr>
        <w:t xml:space="preserve">mòn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trình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được </w:t>
      </w:r>
      <w:r>
        <w:rPr>
          <w:b w:val="0"/>
          <w:bCs w:val="0"/>
          <w:color w:val="000000" w:themeColor="text1"/>
          <w:highlight w:val="none"/>
        </w:rPr>
        <w:t xml:space="preserve">tính </w:t>
      </w:r>
      <w:r>
        <w:rPr>
          <w:b w:val="0"/>
          <w:bCs w:val="0"/>
          <w:color w:val="000000" w:themeColor="text1"/>
          <w:highlight w:val="none"/>
        </w:rPr>
        <w:t xml:space="preserve">theo </w:t>
      </w:r>
      <w:r>
        <w:rPr>
          <w:b w:val="0"/>
          <w:bCs w:val="0"/>
          <w:color w:val="000000" w:themeColor="text1"/>
          <w:highlight w:val="none"/>
        </w:rPr>
        <w:t xml:space="preserve">phương </w:t>
      </w:r>
      <w:r>
        <w:rPr>
          <w:b w:val="0"/>
          <w:bCs w:val="0"/>
          <w:color w:val="000000" w:themeColor="text1"/>
          <w:highlight w:val="none"/>
        </w:rPr>
        <w:t xml:space="preserve">pháp </w:t>
      </w:r>
      <w:r>
        <w:rPr>
          <w:b w:val="0"/>
          <w:bCs w:val="0"/>
          <w:color w:val="000000" w:themeColor="text1"/>
          <w:highlight w:val="none"/>
        </w:rPr>
        <w:t xml:space="preserve">chuyên </w:t>
      </w:r>
      <w:r>
        <w:rPr>
          <w:b w:val="0"/>
          <w:bCs w:val="0"/>
          <w:color w:val="000000" w:themeColor="text1"/>
          <w:highlight w:val="none"/>
        </w:rPr>
        <w:t xml:space="preserve">gi</w:t>
      </w:r>
      <w:r>
        <w:rPr>
          <w:b w:val="0"/>
          <w:bCs w:val="0"/>
          <w:color w:val="000000" w:themeColor="text1"/>
          <w:highlight w:val="none"/>
        </w:rPr>
        <w:t xml:space="preserve">a. </w:t>
      </w:r>
      <w:r>
        <w:rPr>
          <w:rFonts w:ascii="Times New Roman" w:hAnsi="Times New Roman" w:eastAsia="Times New Roman" w:cs="Times New Roman"/>
          <w:color w:val="000000"/>
          <w:sz w:val="24"/>
        </w:rPr>
        <w:t xml:space="preserve">Theo Văn bản số 1326/BXD-QLN do Bộ Xây dựng ban hành ngày 08/8/2011 về việc hướng dẫn kiểm kê, đánh giá lại giá trị tài sản cố định là nhà, vật kiến trúc như sau: Tỷ lệ chất lượng còn lại của nhà, vật kiến trúc được xác định căn cứ vào tỷ lệ chất lượng còn</w:t>
      </w:r>
      <w:r>
        <w:rPr>
          <w:rFonts w:ascii="Times New Roman" w:hAnsi="Times New Roman" w:eastAsia="Times New Roman" w:cs="Times New Roman"/>
          <w:color w:val="000000"/>
          <w:sz w:val="24"/>
        </w:rPr>
        <w:t xml:space="preserve"> lại của các kết cấu chính (nếu là nhà thì kết cấu chính gồm: móng, khung, cột, tường, nền, sàn, kết cấu đỡ mái và mái) tạo nên nhà đó và tỷ lệ giá trị của các kết cấu chính đó so với tổng giá trị của nhà hoặc vật kiến trúc.</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Công thức tính:</w:t>
      </w:r>
      <w:r/>
    </w:p>
    <w:tbl>
      <w:tblPr>
        <w:tblStyle w:val="1039"/>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5"/>
        <w:gridCol w:w="476"/>
        <w:gridCol w:w="657"/>
        <w:gridCol w:w="2581"/>
        <w:gridCol w:w="525"/>
        <w:gridCol w:w="3110"/>
      </w:tblGrid>
      <w:tr>
        <w:trPr>
          <w:trHeight w:val="968"/>
        </w:trPr>
        <w:tc>
          <w:tcPr>
            <w:tcBorders/>
            <w:tcMar>
              <w:left w:w="108" w:type="dxa"/>
              <w:top w:w="0" w:type="dxa"/>
              <w:right w:w="108" w:type="dxa"/>
              <w:bottom w:w="0" w:type="dxa"/>
            </w:tcMar>
            <w:tcW w:w="20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47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311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595"/>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8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i/>
          <w:color w:val="000000"/>
          <w:sz w:val="24"/>
        </w:rPr>
        <w:t xml:space="preserve">Trong đó:</w:t>
      </w:r>
      <w:r/>
    </w:p>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i: số thứ tự của kết cấu chính</w:t>
      </w:r>
      <w:r/>
    </w:p>
    <w:p>
      <w:pPr>
        <w:numPr>
          <w:ilvl w:val="0"/>
          <w:numId w:val="41"/>
        </w:numPr>
        <w:pBdr>
          <w:top w:val="none" w:color="000000" w:sz="4" w:space="0"/>
          <w:left w:val="none" w:color="000000" w:sz="4" w:space="0"/>
          <w:bottom w:val="none" w:color="000000" w:sz="4" w:space="0"/>
          <w:right w:val="none" w:color="000000" w:sz="4" w:space="0"/>
        </w:pBdr>
        <w:spacing w:after="120" w:before="0"/>
        <w:ind/>
        <w:rPr/>
      </w:pPr>
      <w:r>
        <w:rPr>
          <w:rFonts w:ascii="Times New Roman" w:hAnsi="Times New Roman" w:eastAsia="Times New Roman" w:cs="Times New Roman"/>
          <w:color w:val="000000"/>
          <w:sz w:val="24"/>
        </w:rPr>
        <w:t xml:space="preserve">n: số các kết cấu chính</w:t>
      </w: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68"/>
        <w:gridCol w:w="1868"/>
        <w:gridCol w:w="1847"/>
        <w:gridCol w:w="1926"/>
        <w:gridCol w:w="1431"/>
      </w:tblGrid>
      <w:tr>
        <w:trPr>
          <w:trHeight w:val="93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4" w:space="0"/>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75%</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4" w:space="0"/>
              <w:bottom w:val="single" w:color="000000" w:sz="4" w:space="0"/>
              <w:right w:val="single" w:color="000000" w:sz="4" w:space="0"/>
            </w:tcBorders>
            <w:tcMar>
              <w:left w:w="0" w:type="dxa"/>
              <w:top w:w="0" w:type="dxa"/>
              <w:right w:w="0" w:type="dxa"/>
              <w:bottom w:w="0" w:type="dxa"/>
            </w:tcMar>
            <w:tcW w:w="3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4" w:space="0"/>
              <w:right w:val="single" w:color="000000" w:sz="4" w:space="0"/>
            </w:tcBorders>
            <w:tcMar>
              <w:left w:w="0" w:type="dxa"/>
              <w:top w:w="0" w:type="dxa"/>
              <w:right w:w="0" w:type="dxa"/>
              <w:bottom w:w="0" w:type="dxa"/>
            </w:tcMar>
            <w:tcW w:w="184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9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4" w:space="0"/>
              <w:right w:val="single" w:color="000000" w:sz="4" w:space="0"/>
            </w:tcBorders>
            <w:tcMar>
              <w:left w:w="0" w:type="dxa"/>
              <w:top w:w="0" w:type="dxa"/>
              <w:right w:w="0" w:type="dxa"/>
              <w:bottom w:w="0" w:type="dxa"/>
            </w:tcMar>
            <w:tcW w:w="14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75%</w:t>
            </w:r>
            <w:r/>
          </w:p>
        </w:tc>
      </w:tr>
    </w:tbl>
    <w:p>
      <w:pPr>
        <w:pBdr>
          <w:top w:val="none" w:color="000000" w:sz="4" w:space="0"/>
          <w:left w:val="none" w:color="000000" w:sz="4" w:space="0"/>
          <w:bottom w:val="none" w:color="000000" w:sz="4" w:space="0"/>
          <w:right w:val="none" w:color="000000" w:sz="4" w:space="0"/>
        </w:pBdr>
        <w:spacing w:after="120" w:before="0"/>
        <w:ind w:firstLine="0" w:left="0"/>
        <w:rPr/>
      </w:pPr>
      <w:r>
        <w:rPr>
          <w:highlight w:val="none"/>
        </w:rPr>
      </w:r>
      <w:r>
        <w:rPr>
          <w:highlight w:val="none"/>
        </w:rPr>
      </w:r>
      <w:r/>
    </w:p>
    <w:p>
      <w:pPr>
        <w:pBdr/>
        <w:spacing w:after="0" w:before="0" w:line="276" w:lineRule="auto"/>
        <w:ind/>
        <w:jc w:val="left"/>
        <w:rPr>
          <w:b w:val="0"/>
          <w:bCs w:val="0"/>
          <w:color w:val="000000" w:themeColor="text1"/>
          <w:highlight w:val="none"/>
        </w:rPr>
      </w:pPr>
      <w:r>
        <w:rPr>
          <w:b w:val="0"/>
          <w:bCs w:val="0"/>
          <w:color w:val="000000" w:themeColor="text1"/>
          <w:highlight w:val="none"/>
        </w:rPr>
        <w:t xml:space="preserve">Tổ </w:t>
      </w:r>
      <w:r>
        <w:rPr>
          <w:b w:val="0"/>
          <w:bCs w:val="0"/>
          <w:color w:val="000000" w:themeColor="text1"/>
          <w:highlight w:val="none"/>
        </w:rPr>
        <w:t xml:space="preserve">thẩm </w:t>
      </w:r>
      <w:r>
        <w:rPr>
          <w:b w:val="0"/>
          <w:bCs w:val="0"/>
          <w:color w:val="000000" w:themeColor="text1"/>
          <w:highlight w:val="none"/>
        </w:rPr>
        <w:t xml:space="preserve">định </w:t>
      </w:r>
      <w:r>
        <w:rPr>
          <w:b w:val="0"/>
          <w:bCs w:val="0"/>
          <w:color w:val="000000" w:themeColor="text1"/>
          <w:highlight w:val="none"/>
        </w:rPr>
        <w:t xml:space="preserve">xác </w:t>
      </w:r>
      <w:r>
        <w:rPr>
          <w:b w:val="0"/>
          <w:bCs w:val="0"/>
          <w:color w:val="000000" w:themeColor="text1"/>
          <w:highlight w:val="none"/>
        </w:rPr>
        <w:t xml:space="preserve">định, </w:t>
      </w:r>
      <w:r>
        <w:rPr>
          <w:b w:val="0"/>
          <w:bCs w:val="0"/>
          <w:color w:val="000000" w:themeColor="text1"/>
          <w:highlight w:val="none"/>
        </w:rPr>
        <w:t xml:space="preserve">tỷ </w:t>
      </w:r>
      <w:r>
        <w:rPr>
          <w:b w:val="0"/>
          <w:bCs w:val="0"/>
          <w:color w:val="000000" w:themeColor="text1"/>
          <w:highlight w:val="none"/>
        </w:rPr>
        <w:t xml:space="preserve">l</w:t>
      </w:r>
      <w:r>
        <w:rPr>
          <w:b w:val="0"/>
          <w:bCs w:val="0"/>
          <w:color w:val="000000" w:themeColor="text1"/>
          <w:highlight w:val="none"/>
        </w:rPr>
        <w:t xml:space="preserve">ệ </w:t>
      </w:r>
      <w:r>
        <w:rPr>
          <w:b w:val="0"/>
          <w:bCs w:val="0"/>
          <w:color w:val="000000" w:themeColor="text1"/>
          <w:highlight w:val="none"/>
        </w:rPr>
        <w:t xml:space="preserve">chất </w:t>
      </w:r>
      <w:r>
        <w:rPr>
          <w:b w:val="0"/>
          <w:bCs w:val="0"/>
          <w:color w:val="000000" w:themeColor="text1"/>
          <w:highlight w:val="none"/>
        </w:rPr>
        <w:t xml:space="preserve">lượng </w:t>
      </w:r>
      <w:r>
        <w:rPr>
          <w:b w:val="0"/>
          <w:bCs w:val="0"/>
          <w:color w:val="000000" w:themeColor="text1"/>
          <w:highlight w:val="none"/>
        </w:rPr>
        <w:t xml:space="preserve">còn </w:t>
      </w:r>
      <w:r>
        <w:rPr>
          <w:b w:val="0"/>
          <w:bCs w:val="0"/>
          <w:color w:val="000000" w:themeColor="text1"/>
          <w:highlight w:val="none"/>
        </w:rPr>
        <w:t xml:space="preserve">lại </w:t>
      </w:r>
      <w:r>
        <w:rPr>
          <w:b w:val="0"/>
          <w:bCs w:val="0"/>
          <w:color w:val="000000" w:themeColor="text1"/>
          <w:highlight w:val="none"/>
        </w:rPr>
        <w:t xml:space="preserve">của </w:t>
      </w:r>
      <w:r>
        <w:rPr>
          <w:b w:val="0"/>
          <w:bCs w:val="0"/>
          <w:color w:val="000000" w:themeColor="text1"/>
          <w:highlight w:val="none"/>
        </w:rPr>
        <w:t xml:space="preserve">công </w:t>
      </w:r>
      <w:r>
        <w:rPr>
          <w:b w:val="0"/>
          <w:bCs w:val="0"/>
          <w:color w:val="000000" w:themeColor="text1"/>
          <w:highlight w:val="none"/>
        </w:rPr>
        <w:t xml:space="preserve">trình </w:t>
      </w:r>
      <w:r>
        <w:rPr>
          <w:b w:val="0"/>
          <w:bCs w:val="0"/>
          <w:color w:val="000000" w:themeColor="text1"/>
          <w:highlight w:val="none"/>
        </w:rPr>
        <w:t xml:space="preserve">xây </w:t>
      </w:r>
      <w:r>
        <w:rPr>
          <w:b w:val="0"/>
          <w:bCs w:val="0"/>
          <w:color w:val="000000" w:themeColor="text1"/>
          <w:highlight w:val="none"/>
        </w:rPr>
        <w:t xml:space="preserve">dựng </w:t>
      </w:r>
      <w:r>
        <w:rPr>
          <w:b w:val="0"/>
          <w:bCs w:val="0"/>
          <w:color w:val="000000" w:themeColor="text1"/>
          <w:highlight w:val="none"/>
        </w:rPr>
        <w:t xml:space="preserve">là </w:t>
      </w:r>
      <w:r>
        <w:rPr>
          <w:b/>
          <w:bCs/>
          <w:color w:val="000000" w:themeColor="text1"/>
          <w:highlight w:val="none"/>
        </w:rPr>
        <w:t xml:space="preserve">75%</w:t>
      </w:r>
      <w:r>
        <w:rPr>
          <w:b w:val="0"/>
          <w:bCs w:val="0"/>
          <w:color w:val="000000" w:themeColor="text1"/>
          <w:highlight w:val="none"/>
        </w:rPr>
        <w:t xml:space="preserve">, </w:t>
      </w:r>
      <w:r>
        <w:rPr>
          <w:b w:val="0"/>
          <w:bCs w:val="0"/>
          <w:color w:val="000000" w:themeColor="text1"/>
          <w:highlight w:val="none"/>
        </w:rPr>
        <w:t xml:space="preserve">tương </w:t>
      </w:r>
      <w:r>
        <w:rPr>
          <w:b w:val="0"/>
          <w:bCs w:val="0"/>
          <w:color w:val="000000" w:themeColor="text1"/>
          <w:highlight w:val="none"/>
        </w:rPr>
        <w:t xml:space="preserve">đương </w:t>
      </w:r>
      <w:r>
        <w:rPr>
          <w:b w:val="0"/>
          <w:bCs w:val="0"/>
          <w:color w:val="000000" w:themeColor="text1"/>
          <w:highlight w:val="none"/>
        </w:rPr>
        <w:t xml:space="preserve">với </w:t>
      </w:r>
      <w:r>
        <w:rPr>
          <w:b w:val="0"/>
          <w:bCs w:val="0"/>
          <w:color w:val="000000" w:themeColor="text1"/>
          <w:highlight w:val="none"/>
        </w:rPr>
        <w:t xml:space="preserve">tỷ </w:t>
      </w:r>
      <w:r>
        <w:rPr>
          <w:b w:val="0"/>
          <w:bCs w:val="0"/>
          <w:color w:val="000000" w:themeColor="text1"/>
          <w:highlight w:val="none"/>
        </w:rPr>
        <w:t xml:space="preserve">l</w:t>
      </w:r>
      <w:r>
        <w:rPr>
          <w:b w:val="0"/>
          <w:bCs w:val="0"/>
          <w:color w:val="000000" w:themeColor="text1"/>
          <w:highlight w:val="none"/>
        </w:rPr>
        <w:t xml:space="preserve">ệ </w:t>
      </w:r>
      <w:r>
        <w:rPr>
          <w:b w:val="0"/>
          <w:bCs w:val="0"/>
          <w:color w:val="000000" w:themeColor="text1"/>
          <w:highlight w:val="none"/>
        </w:rPr>
        <w:t xml:space="preserve">hao </w:t>
      </w:r>
      <w:r>
        <w:rPr>
          <w:b w:val="0"/>
          <w:bCs w:val="0"/>
          <w:color w:val="000000" w:themeColor="text1"/>
          <w:highlight w:val="none"/>
        </w:rPr>
        <w:t xml:space="preserve">mòn </w:t>
      </w:r>
      <w:r>
        <w:rPr>
          <w:b w:val="0"/>
          <w:bCs w:val="0"/>
          <w:color w:val="000000" w:themeColor="text1"/>
          <w:highlight w:val="none"/>
        </w:rPr>
        <w:t xml:space="preserve">là</w:t>
      </w:r>
      <w:r>
        <w:rPr>
          <w:b/>
          <w:bCs/>
          <w:color w:val="000000" w:themeColor="text1"/>
          <w:highlight w:val="none"/>
        </w:rPr>
        <w:t xml:space="preserve"> 25%. </w:t>
      </w:r>
      <w:r>
        <w:rPr>
          <w:b w:val="0"/>
          <w:bCs w:val="0"/>
          <w:color w:val="000000" w:themeColor="text1"/>
          <w:highlight w:val="none"/>
        </w:rPr>
      </w:r>
      <w:r>
        <w:rPr>
          <w:b w:val="0"/>
          <w:bCs w:val="0"/>
          <w:color w:val="000000" w:themeColor="text1"/>
          <w:highlight w:val="none"/>
        </w:rPr>
      </w:r>
    </w:p>
    <w:p>
      <w:pPr>
        <w:pBdr/>
        <w:spacing w:after="0" w:before="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after="0" w:before="0" w:line="276" w:lineRule="auto"/>
        <w:ind/>
        <w:jc w:val="center"/>
        <w:rPr>
          <w:b/>
          <w:bCs/>
          <w:color w:val="000000" w:themeColor="text1"/>
          <w:highlight w:val="none"/>
        </w:rPr>
      </w:pPr>
      <w:r>
        <w:rPr>
          <w:b/>
          <w:bCs/>
          <w:color w:val="000000" w:themeColor="text1"/>
          <w:highlight w:val="none"/>
        </w:rPr>
      </w:r>
      <w:r>
        <w:rPr>
          <w:b/>
          <w:bCs/>
          <w:color w:val="000000" w:themeColor="text1"/>
          <w:highlight w:val="none"/>
        </w:rPr>
        <w:t xml:space="preserve">BẢNG </w:t>
      </w:r>
      <w:r>
        <w:rPr>
          <w:b/>
          <w:bCs/>
          <w:color w:val="000000" w:themeColor="text1"/>
          <w:highlight w:val="none"/>
        </w:rPr>
        <w:t xml:space="preserve">TÍNH </w:t>
      </w:r>
      <w:r>
        <w:rPr>
          <w:b/>
          <w:bCs/>
          <w:color w:val="000000" w:themeColor="text1"/>
          <w:highlight w:val="none"/>
        </w:rPr>
        <w:t xml:space="preserve">GIÁ </w:t>
      </w:r>
      <w:r>
        <w:rPr>
          <w:b/>
          <w:bCs/>
          <w:color w:val="000000" w:themeColor="text1"/>
          <w:highlight w:val="none"/>
        </w:rPr>
        <w:t xml:space="preserve">TRỊ </w:t>
      </w:r>
      <w:r>
        <w:rPr>
          <w:b/>
          <w:bCs/>
          <w:color w:val="000000" w:themeColor="text1"/>
          <w:highlight w:val="none"/>
        </w:rPr>
        <w:t xml:space="preserve">CÔNG </w:t>
      </w:r>
      <w:r>
        <w:rPr>
          <w:b/>
          <w:bCs/>
          <w:color w:val="000000" w:themeColor="text1"/>
          <w:highlight w:val="none"/>
        </w:rPr>
        <w:t xml:space="preserve">TRÌNH </w:t>
      </w:r>
      <w:r>
        <w:rPr>
          <w:b/>
          <w:bCs/>
          <w:color w:val="000000" w:themeColor="text1"/>
          <w:highlight w:val="none"/>
        </w:rPr>
        <w:t xml:space="preserve">XÂY </w:t>
      </w:r>
      <w:r>
        <w:rPr>
          <w:b/>
          <w:bCs/>
          <w:color w:val="000000" w:themeColor="text1"/>
          <w:highlight w:val="none"/>
        </w:rPr>
        <w:t xml:space="preserve">DỰNG </w:t>
      </w:r>
      <w:r>
        <w:rPr>
          <w:b/>
          <w:bCs/>
          <w:color w:val="000000" w:themeColor="text1"/>
          <w:highlight w:val="none"/>
        </w:rPr>
      </w:r>
      <w:r>
        <w:rPr>
          <w:b/>
          <w:bCs/>
          <w:color w:val="000000" w:themeColor="text1"/>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62"/>
        <w:gridCol w:w="865"/>
        <w:gridCol w:w="1597"/>
        <w:gridCol w:w="1669"/>
        <w:gridCol w:w="1233"/>
        <w:gridCol w:w="1440"/>
        <w:gridCol w:w="1560"/>
      </w:tblGrid>
      <w:tr>
        <w:trPr>
          <w:trHeight w:val="42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8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w:t>
              <w:br/>
              <w:t xml:space="preserve"> (m²</w:t>
            </w:r>
            <w:r>
              <w:rPr>
                <w:rFonts w:ascii="Times New Roman" w:hAnsi="Times New Roman" w:eastAsia="Times New Roman" w:cs="Times New Roman"/>
                <w:b/>
                <w:color w:val="000000"/>
                <w:sz w:val="28"/>
              </w:rPr>
              <w:t xml:space="preserve">)</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xây dựng mới (đồng/m²)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2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thẩm định tại thời điểm thẩm định giá (đồng)</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86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15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4" w:space="0"/>
              <w:right w:val="single" w:color="000000" w:sz="4" w:space="0"/>
            </w:tcBorders>
            <w:tcMar>
              <w:left w:w="0" w:type="dxa"/>
              <w:top w:w="0" w:type="dxa"/>
              <w:right w:w="0" w:type="dxa"/>
              <w:bottom w:w="0" w:type="dxa"/>
            </w:tcMar>
            <w:tcW w:w="166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4" w:space="0"/>
              <w:right w:val="single" w:color="000000" w:sz="4" w:space="0"/>
            </w:tcBorders>
            <w:tcMar>
              <w:left w:w="0" w:type="dxa"/>
              <w:top w:w="0" w:type="dxa"/>
              <w:right w:w="0" w:type="dxa"/>
              <w:bottom w:w="0" w:type="dxa"/>
            </w:tcMar>
            <w:tcW w:w="123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44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 = (4) - (6)</w:t>
            </w:r>
            <w:r/>
          </w:p>
        </w:tc>
      </w:tr>
      <w:tr>
        <w:trPr>
          <w:trHeight w:val="580"/>
        </w:trPr>
        <w:tc>
          <w:tcPr>
            <w:tcBorders>
              <w:left w:val="single" w:color="000000" w:sz="4" w:space="0"/>
              <w:bottom w:val="single" w:color="000000" w:sz="4" w:space="0"/>
              <w:right w:val="single" w:color="000000" w:sz="4" w:space="0"/>
            </w:tcBorders>
            <w:tcMar>
              <w:left w:w="0" w:type="dxa"/>
              <w:top w:w="0" w:type="dxa"/>
              <w:right w:w="0" w:type="dxa"/>
              <w:bottom w:w="0" w:type="dxa"/>
            </w:tcMar>
            <w:tcW w:w="11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Nhà 01 tầng </w:t>
            </w:r>
            <w:r/>
          </w:p>
        </w:tc>
        <w:tc>
          <w:tcPr>
            <w:tcBorders>
              <w:bottom w:val="single" w:color="000000" w:sz="4" w:space="0"/>
              <w:right w:val="single" w:color="000000" w:sz="4" w:space="0"/>
            </w:tcBorders>
            <w:tcMar>
              <w:left w:w="0" w:type="dxa"/>
              <w:top w:w="0" w:type="dxa"/>
              <w:right w:w="0" w:type="dxa"/>
              <w:bottom w:w="0" w:type="dxa"/>
            </w:tcMar>
            <w:tcW w:w="86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242,0</w:t>
            </w:r>
            <w:r/>
          </w:p>
        </w:tc>
        <w:tc>
          <w:tcPr>
            <w:tcBorders>
              <w:bottom w:val="single" w:color="000000" w:sz="4" w:space="0"/>
              <w:right w:val="single" w:color="000000" w:sz="4" w:space="0"/>
            </w:tcBorders>
            <w:tcMar>
              <w:left w:w="0" w:type="dxa"/>
              <w:top w:w="0" w:type="dxa"/>
              <w:right w:w="0" w:type="dxa"/>
              <w:bottom w:w="0" w:type="dxa"/>
            </w:tcMar>
            <w:tcW w:w="15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6.240.844</w:t>
            </w:r>
            <w:r/>
          </w:p>
        </w:tc>
        <w:tc>
          <w:tcPr>
            <w:tcBorders>
              <w:bottom w:val="single" w:color="000000" w:sz="4" w:space="0"/>
              <w:right w:val="single" w:color="000000" w:sz="4" w:space="0"/>
            </w:tcBorders>
            <w:tcMar>
              <w:left w:w="0" w:type="dxa"/>
              <w:top w:w="0" w:type="dxa"/>
              <w:right w:w="0" w:type="dxa"/>
              <w:bottom w:w="0" w:type="dxa"/>
            </w:tcMar>
            <w:tcW w:w="166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1.510.284.160</w:t>
            </w:r>
            <w:r/>
          </w:p>
        </w:tc>
        <w:tc>
          <w:tcPr>
            <w:tcBorders>
              <w:bottom w:val="single" w:color="000000" w:sz="4" w:space="0"/>
              <w:right w:val="single" w:color="000000" w:sz="4" w:space="0"/>
            </w:tcBorders>
            <w:tcMar>
              <w:left w:w="0" w:type="dxa"/>
              <w:top w:w="0" w:type="dxa"/>
              <w:right w:w="0" w:type="dxa"/>
              <w:bottom w:w="0" w:type="dxa"/>
            </w:tcMar>
            <w:tcW w:w="123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25%</w:t>
            </w:r>
            <w:r/>
          </w:p>
        </w:tc>
        <w:tc>
          <w:tcPr>
            <w:tcBorders>
              <w:bottom w:val="single" w:color="000000" w:sz="4" w:space="0"/>
              <w:right w:val="single" w:color="000000" w:sz="4" w:space="0"/>
            </w:tcBorders>
            <w:tcMar>
              <w:left w:w="0" w:type="dxa"/>
              <w:top w:w="0" w:type="dxa"/>
              <w:right w:w="0" w:type="dxa"/>
              <w:bottom w:w="0" w:type="dxa"/>
            </w:tcMar>
            <w:tcW w:w="144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377.571.040</w:t>
            </w:r>
            <w:r/>
          </w:p>
        </w:tc>
        <w:tc>
          <w:tcPr>
            <w:tcBorders>
              <w:bottom w:val="single" w:color="000000" w:sz="4" w:space="0"/>
              <w:right w:val="single" w:color="000000" w:sz="4" w:space="0"/>
            </w:tcBorders>
            <w:tcMar>
              <w:left w:w="0" w:type="dxa"/>
              <w:top w:w="0" w:type="dxa"/>
              <w:right w:w="0" w:type="dxa"/>
              <w:bottom w:w="0" w:type="dxa"/>
            </w:tcMar>
            <w:tcW w:w="15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1.132.713.120</w:t>
            </w:r>
            <w:r/>
          </w:p>
        </w:tc>
      </w:tr>
    </w:tbl>
    <w:p>
      <w:pPr>
        <w:pBdr/>
        <w:spacing w:after="0" w:before="0" w:line="276" w:lineRule="auto"/>
        <w:ind/>
        <w:jc w:val="center"/>
        <w:rPr>
          <w:b/>
          <w:bCs/>
        </w:rPr>
      </w:pPr>
      <w:r>
        <w:rPr>
          <w:b/>
          <w:bCs/>
          <w:color w:val="000000" w:themeColor="text1"/>
          <w:highlight w:val="none"/>
        </w:rPr>
      </w:r>
      <w:r>
        <w:rPr>
          <w:b/>
          <w:bCs/>
        </w:rPr>
      </w:r>
      <w:r>
        <w:rPr>
          <w:b/>
          <w:bCs/>
        </w:rPr>
      </w:r>
    </w:p>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92"/>
        <w:gridCol w:w="1714"/>
        <w:gridCol w:w="1736"/>
        <w:gridCol w:w="1432"/>
        <w:gridCol w:w="1966"/>
        <w:gridCol w:w="1984"/>
      </w:tblGrid>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71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Diện tích </w:t>
              <w:br/>
              <w:t xml:space="preserve">(m²)</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432"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Đơn giá </w:t>
              <w:br/>
              <w:t xml:space="preserve">(đồng/m²)</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CLCL </w:t>
              <w:br/>
              <w:t xml:space="preserve">(%)</w:t>
            </w:r>
            <w:r>
              <w:rPr>
                <w:sz w:val="24"/>
                <w:szCs w:val="24"/>
              </w:rPr>
            </w:r>
            <w:r>
              <w:rPr>
                <w:sz w:val="24"/>
                <w:szCs w:val="24"/>
              </w:rP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Thành tiền </w:t>
              <w:br/>
              <w:t xml:space="preserve">(đồng)</w:t>
            </w:r>
            <w:r>
              <w:rPr>
                <w:sz w:val="24"/>
                <w:szCs w:val="24"/>
              </w:rPr>
            </w:r>
            <w:r>
              <w:rPr>
                <w:sz w:val="24"/>
                <w:szCs w:val="24"/>
              </w:rPr>
            </w:r>
          </w:p>
        </w:tc>
      </w:tr>
      <w:tr>
        <w:trPr>
          <w:trHeight w:val="2759"/>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40"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val="false"/>
          </w:tcPr>
          <w:p>
            <w:pPr>
              <w:pBdr/>
              <w:spacing w:after="0" w:before="0" w:line="276" w:lineRule="auto"/>
              <w:ind/>
              <w:jc w:val="both"/>
              <w:rPr>
                <w:sz w:val="24"/>
                <w:szCs w:val="24"/>
              </w:rPr>
            </w:pPr>
            <w:r>
              <w:rPr>
                <w:rFonts w:ascii="Times New Roman" w:hAnsi="Times New Roman" w:eastAsia="Times New Roman" w:cs="Times New Roman"/>
                <w:b/>
                <w:color w:val="000000"/>
                <w:sz w:val="24"/>
                <w:szCs w:val="24"/>
              </w:rPr>
              <w:t xml:space="preserve">Quyền sử dụng đất và công trình xây dựng tại thửa đất số 799, tờ bản đồ số 157 (TL-2005) có địa chỉ: 107/7/5 Miếu Bình Đông, khu phố 16, phường Bình Hưng Hoà A, quận Bình Tân, Thành phố Hồ Chí Minh (Nay là Phường Bình Hưng Hoà, Thành phố Hồ Chí Minh) theo </w:t>
            </w:r>
            <w:r>
              <w:rPr>
                <w:rFonts w:ascii="Times New Roman" w:hAnsi="Times New Roman" w:eastAsia="Times New Roman" w:cs="Times New Roman"/>
                <w:b/>
                <w:color w:val="000000"/>
                <w:sz w:val="24"/>
                <w:szCs w:val="24"/>
              </w:rPr>
              <w:t xml:space="preserve">Giấy chứng nhận quyền sử dụng đất quyền sở hữu nhà ở và tài sản khác gắn liền với đất số BB 119671, số vào sổ cấp GCN: CH 00784 do UBND quận Bình Tân cấp ngày 23/03/2010; Chủ sử dụng đất là Ông Nguyễn Chấn Tín.</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r>
      <w:tr>
        <w:trPr>
          <w:trHeight w:val="415"/>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1</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14" w:type="dxa"/>
            <w:vAlign w:val="center"/>
            <w:textDirection w:val="lrTb"/>
            <w:noWrap/>
          </w:tcPr>
          <w:p>
            <w:pPr>
              <w:pBdr/>
              <w:spacing w:after="0" w:before="0" w:line="240" w:lineRule="auto"/>
              <w:ind/>
              <w:rPr>
                <w:sz w:val="24"/>
                <w:szCs w:val="24"/>
              </w:rPr>
            </w:pPr>
            <w:r>
              <w:rPr>
                <w:rFonts w:ascii="Times New Roman" w:hAnsi="Times New Roman" w:eastAsia="Times New Roman" w:cs="Times New Roman"/>
                <w:color w:val="000000"/>
                <w:sz w:val="24"/>
                <w:szCs w:val="24"/>
              </w:rPr>
              <w:t xml:space="preserve">Đất ở tại đô thị </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242,0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432"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color w:val="000000"/>
                <w:sz w:val="24"/>
                <w:szCs w:val="24"/>
              </w:rPr>
              <w:t xml:space="preserve">70.500.000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66"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100%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color w:val="000000"/>
                <w:sz w:val="24"/>
                <w:szCs w:val="24"/>
              </w:rPr>
              <w:t xml:space="preserve">17.061.000.000</w:t>
            </w:r>
            <w:r>
              <w:rPr>
                <w:sz w:val="24"/>
                <w:szCs w:val="24"/>
              </w:rPr>
            </w:r>
            <w:r>
              <w:rPr>
                <w:sz w:val="24"/>
                <w:szCs w:val="24"/>
              </w:rP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2</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14" w:type="dxa"/>
            <w:vAlign w:val="center"/>
            <w:textDirection w:val="lrTb"/>
            <w:noWrap/>
          </w:tcPr>
          <w:p>
            <w:pPr>
              <w:pBdr/>
              <w:spacing w:after="0" w:before="0" w:line="240" w:lineRule="auto"/>
              <w:ind/>
              <w:rPr>
                <w:sz w:val="24"/>
                <w:szCs w:val="24"/>
              </w:rPr>
            </w:pPr>
            <w:r>
              <w:rPr>
                <w:rFonts w:ascii="Times New Roman" w:hAnsi="Times New Roman" w:eastAsia="Times New Roman" w:cs="Times New Roman"/>
                <w:color w:val="000000"/>
                <w:sz w:val="24"/>
                <w:szCs w:val="24"/>
              </w:rPr>
              <w:t xml:space="preserve">Nhà ở riêng lẻ</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736"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242,0</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432"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color w:val="000000"/>
                <w:sz w:val="24"/>
                <w:szCs w:val="24"/>
              </w:rPr>
              <w:t xml:space="preserve">6.240.844</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66"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75%</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color w:val="000000"/>
                <w:sz w:val="24"/>
                <w:szCs w:val="24"/>
              </w:rPr>
              <w:t xml:space="preserve">1.132.713.120</w:t>
            </w:r>
            <w:r>
              <w:rPr>
                <w:sz w:val="24"/>
                <w:szCs w:val="24"/>
              </w:rPr>
            </w:r>
            <w:r>
              <w:rPr>
                <w:sz w:val="24"/>
                <w:szCs w:val="24"/>
              </w:rP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40"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b/>
                <w:color w:val="000000"/>
                <w:sz w:val="24"/>
                <w:szCs w:val="24"/>
              </w:rPr>
              <w:t xml:space="preserve">18.193.713.120</w:t>
            </w:r>
            <w:r>
              <w:rPr>
                <w:sz w:val="24"/>
                <w:szCs w:val="24"/>
              </w:rPr>
            </w:r>
            <w:r>
              <w:rPr>
                <w:sz w:val="24"/>
                <w:szCs w:val="24"/>
              </w:rPr>
            </w:r>
          </w:p>
        </w:tc>
      </w:tr>
      <w:tr>
        <w:trPr>
          <w:trHeight w:val="320"/>
        </w:trPr>
        <w:tc>
          <w:tcPr>
            <w:tcBorders>
              <w:left w:val="single" w:color="000000" w:sz="4" w:space="0"/>
              <w:bottom w:val="single" w:color="000000" w:sz="4" w:space="0"/>
              <w:right w:val="single" w:color="000000" w:sz="4" w:space="0"/>
            </w:tcBorders>
            <w:tcMar>
              <w:left w:w="0" w:type="dxa"/>
              <w:top w:w="0" w:type="dxa"/>
              <w:right w:w="0" w:type="dxa"/>
              <w:bottom w:w="0" w:type="dxa"/>
            </w:tcMar>
            <w:tcW w:w="692" w:type="dxa"/>
            <w:vAlign w:val="center"/>
            <w:textDirection w:val="lrTb"/>
            <w:noWrap/>
          </w:tcPr>
          <w:p>
            <w:pPr>
              <w:pBdr/>
              <w:spacing w:after="0" w:before="0" w:line="240" w:lineRule="auto"/>
              <w:ind/>
              <w:rPr>
                <w:sz w:val="24"/>
                <w:szCs w:val="24"/>
              </w:rPr>
            </w:pPr>
            <w:r>
              <w:rPr>
                <w:rFonts w:ascii="Times New Roman" w:hAnsi="Times New Roman" w:eastAsia="Times New Roman" w:cs="Times New Roman"/>
                <w:color w:val="000000"/>
                <w:sz w:val="24"/>
                <w:szCs w:val="24"/>
              </w:rPr>
              <w:t xml:space="preserve"> </w:t>
            </w:r>
            <w:r>
              <w:rPr>
                <w:sz w:val="24"/>
                <w:szCs w:val="24"/>
              </w:rPr>
            </w:r>
            <w:r>
              <w:rPr>
                <w:sz w:val="24"/>
                <w:szCs w:val="24"/>
              </w:rPr>
            </w:r>
          </w:p>
        </w:tc>
        <w:tc>
          <w:tcPr>
            <w:gridSpan w:val="4"/>
            <w:tcBorders>
              <w:top w:val="single" w:color="000000" w:sz="4" w:space="0"/>
              <w:bottom w:val="single" w:color="000000" w:sz="4" w:space="0"/>
              <w:right w:val="single" w:color="000000" w:sz="4" w:space="0"/>
            </w:tcBorders>
            <w:tcMar>
              <w:left w:w="0" w:type="dxa"/>
              <w:top w:w="0" w:type="dxa"/>
              <w:right w:w="0" w:type="dxa"/>
              <w:bottom w:w="0" w:type="dxa"/>
            </w:tcMar>
            <w:tcW w:w="6848"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lineRule="auto"/>
              <w:ind/>
              <w:jc w:val="right"/>
              <w:rPr>
                <w:sz w:val="24"/>
                <w:szCs w:val="24"/>
              </w:rPr>
            </w:pPr>
            <w:r>
              <w:rPr>
                <w:rFonts w:ascii="Times New Roman" w:hAnsi="Times New Roman" w:eastAsia="Times New Roman" w:cs="Times New Roman"/>
                <w:b/>
                <w:color w:val="000000"/>
                <w:sz w:val="24"/>
                <w:szCs w:val="24"/>
              </w:rPr>
              <w:t xml:space="preserve">18.194.000.000</w:t>
            </w:r>
            <w:r>
              <w:rPr>
                <w:sz w:val="24"/>
                <w:szCs w:val="24"/>
              </w:rPr>
            </w:r>
            <w:r>
              <w:rPr>
                <w:sz w:val="24"/>
                <w:szCs w:val="24"/>
              </w:rPr>
            </w:r>
          </w:p>
        </w:tc>
      </w:tr>
      <w:tr>
        <w:trPr>
          <w:trHeight w:val="320"/>
        </w:trPr>
        <w:tc>
          <w:tcPr>
            <w:gridSpan w:val="6"/>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524" w:type="dxa"/>
            <w:vAlign w:val="center"/>
            <w:textDirection w:val="lrTb"/>
            <w:noWrap/>
          </w:tcPr>
          <w:p>
            <w:pPr>
              <w:pBdr/>
              <w:spacing w:after="0" w:before="0" w:line="240" w:lineRule="auto"/>
              <w:ind/>
              <w:jc w:val="center"/>
              <w:rPr>
                <w:sz w:val="24"/>
                <w:szCs w:val="24"/>
              </w:rPr>
            </w:pPr>
            <w:r>
              <w:rPr>
                <w:rFonts w:ascii="Times New Roman" w:hAnsi="Times New Roman" w:eastAsia="Times New Roman" w:cs="Times New Roman"/>
                <w:b/>
                <w:i/>
                <w:color w:val="000000"/>
                <w:sz w:val="24"/>
                <w:szCs w:val="24"/>
              </w:rPr>
              <w:t xml:space="preserve">Bằng chữ: Mười tám tỷ một trăm chín mươi bốn triệu đồng./.</w:t>
            </w:r>
            <w:r>
              <w:rPr>
                <w:sz w:val="24"/>
                <w:szCs w:val="24"/>
              </w:rPr>
            </w:r>
            <w:r>
              <w:rPr>
                <w:sz w:val="24"/>
                <w:szCs w:val="24"/>
              </w:rPr>
            </w:r>
          </w:p>
        </w:tc>
      </w:tr>
    </w:tbl>
    <w:p>
      <w:pPr>
        <w:pStyle w:val="1035"/>
        <w:pBdr/>
        <w:tabs>
          <w:tab w:val="left" w:leader="none" w:pos="993"/>
        </w:tabs>
        <w:spacing w:after="120" w:before="120" w:line="276" w:lineRule="auto"/>
        <w:ind w:left="0"/>
        <w:jc w:val="both"/>
        <w:rPr/>
      </w:pPr>
      <w:r>
        <w:rPr>
          <w:highlight w:val="none"/>
        </w:rPr>
      </w:r>
      <w:r>
        <w:rPr>
          <w:highlight w:val="none"/>
        </w:rPr>
      </w:r>
      <w:r/>
    </w:p>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275/2026/0908/VFI-CT.69.A</w:t>
      </w:r>
      <w:r>
        <w:rPr>
          <w:color w:val="ff0000"/>
          <w:lang w:val="vi-VN"/>
        </w:rPr>
        <w:t xml:space="preserve"> </w:t>
      </w:r>
      <w:r>
        <w:rPr>
          <w:color w:val="000000" w:themeColor="text1"/>
        </w:rPr>
        <w:t xml:space="preserve">ngày 16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275/2026/0908/VFI-BC.69.A</w:t>
      </w:r>
      <w:r>
        <w:rPr>
          <w:i/>
          <w:lang w:val="pt-BR"/>
        </w:rPr>
        <w:t xml:space="preserve"> </w:t>
      </w:r>
      <w:r>
        <w:rPr>
          <w:i/>
          <w:lang w:val="pt-BR"/>
        </w:rPr>
        <w:t xml:space="preserve">ngày </w:t>
      </w:r>
      <w:r>
        <w:rPr>
          <w:i/>
          <w:lang w:val="pt-BR"/>
        </w:rPr>
        <w:t xml:space="preserve">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6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79303" cy="218427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89111" name=""/>
                              <pic:cNvPicPr>
                                <a:picLocks noChangeAspect="1"/>
                              </pic:cNvPicPr>
                              <pic:nvPr/>
                            </pic:nvPicPr>
                            <pic:blipFill rotWithShape="1">
                              <a:blip r:embed="rId21"/>
                              <a:stretch/>
                            </pic:blipFill>
                            <pic:spPr bwMode="auto">
                              <a:xfrm flipH="0" flipV="0">
                                <a:off x="0" y="0"/>
                                <a:ext cx="1979303" cy="21842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5.85pt;height:171.9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5013" cy="244887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91141" name=""/>
                              <pic:cNvPicPr>
                                <a:picLocks noChangeAspect="1"/>
                              </pic:cNvPicPr>
                              <pic:nvPr/>
                            </pic:nvPicPr>
                            <pic:blipFill rotWithShape="1">
                              <a:blip r:embed="rId22"/>
                              <a:stretch/>
                            </pic:blipFill>
                            <pic:spPr bwMode="auto">
                              <a:xfrm flipH="0" flipV="0">
                                <a:off x="0" y="0"/>
                                <a:ext cx="2435012" cy="2448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1.73pt;height:192.8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Đ</w:t>
            </w:r>
            <w:r>
              <w:rPr>
                <w:b/>
                <w:bCs/>
                <w:i/>
                <w:lang w:val="pt-BR"/>
              </w:rPr>
              <w:t xml:space="preserve">ường </w:t>
            </w:r>
            <w:r>
              <w:rPr>
                <w:b/>
                <w:bCs/>
                <w:i/>
                <w:lang w:val="pt-BR"/>
              </w:rPr>
              <w:t xml:space="preserve">trước </w:t>
            </w:r>
            <w:r>
              <w:rPr>
                <w:b/>
                <w:bCs/>
                <w:i/>
                <w:lang w:val="pt-BR"/>
              </w:rPr>
              <w:t xml:space="preserve">tài </w:t>
            </w:r>
            <w:r>
              <w:rPr>
                <w:b/>
                <w:bCs/>
                <w:i/>
                <w:lang w:val="pt-BR"/>
              </w:rPr>
              <w:t xml:space="preserve">sản </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3790" cy="256856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66455" name=""/>
                              <pic:cNvPicPr>
                                <a:picLocks noChangeAspect="1"/>
                              </pic:cNvPicPr>
                              <pic:nvPr/>
                            </pic:nvPicPr>
                            <pic:blipFill rotWithShape="1">
                              <a:blip r:embed="rId23"/>
                              <a:stretch/>
                            </pic:blipFill>
                            <pic:spPr bwMode="auto">
                              <a:xfrm flipH="0" flipV="0">
                                <a:off x="0" y="0"/>
                                <a:ext cx="2673790" cy="25685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53pt;height:202.2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5362" cy="249021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001710" name=""/>
                              <pic:cNvPicPr>
                                <a:picLocks noChangeAspect="1"/>
                              </pic:cNvPicPr>
                              <pic:nvPr/>
                            </pic:nvPicPr>
                            <pic:blipFill rotWithShape="1">
                              <a:blip r:embed="rId24"/>
                              <a:stretch/>
                            </pic:blipFill>
                            <pic:spPr bwMode="auto">
                              <a:xfrm flipH="0" flipV="0">
                                <a:off x="0" y="0"/>
                                <a:ext cx="2585361" cy="2490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3.57pt;height:196.0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66"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7884" cy="243838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27185" name=""/>
                              <pic:cNvPicPr>
                                <a:picLocks noChangeAspect="1"/>
                              </pic:cNvPicPr>
                              <pic:nvPr/>
                            </pic:nvPicPr>
                            <pic:blipFill rotWithShape="1">
                              <a:blip r:embed="rId25"/>
                              <a:stretch/>
                            </pic:blipFill>
                            <pic:spPr bwMode="auto">
                              <a:xfrm flipH="0" flipV="0">
                                <a:off x="0" y="0"/>
                                <a:ext cx="2517883" cy="2438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8.26pt;height:192.00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66"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29503" cy="248498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31039" name=""/>
                              <pic:cNvPicPr>
                                <a:picLocks noChangeAspect="1"/>
                              </pic:cNvPicPr>
                              <pic:nvPr/>
                            </pic:nvPicPr>
                            <pic:blipFill rotWithShape="1">
                              <a:blip r:embed="rId26"/>
                              <a:stretch/>
                            </pic:blipFill>
                            <pic:spPr bwMode="auto">
                              <a:xfrm flipH="0" flipV="0">
                                <a:off x="0" y="0"/>
                                <a:ext cx="2529503" cy="24849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17pt;height:195.67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275/2026/0908/VFI-BC.69.A</w:t>
      </w:r>
      <w:r>
        <w:rPr>
          <w:i/>
          <w:lang w:val="pt-BR"/>
        </w:rPr>
        <w:t xml:space="preserve"> </w:t>
      </w:r>
      <w:r>
        <w:rPr>
          <w:i/>
          <w:lang w:val="pt-BR"/>
        </w:rPr>
        <w:t xml:space="preserve">16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https://web.facebook.com/groups/batdongsanhochiminh59/posts/2103771403825392/?_rdc=1&amp;_rdr#</w:t>
            </w:r>
            <w:r>
              <w:rPr>
                <w:color w:val="000000" w:themeColor="text1"/>
                <w:sz w:val="22"/>
                <w:szCs w:val="22"/>
              </w:rPr>
              <w:br/>
              <w:t xml:space="preserve">0919 218 468</w:t>
            </w:r>
            <w:r>
              <w:rPr>
                <w:sz w:val="22"/>
                <w:szCs w:val="22"/>
              </w:rPr>
              <w:t xml:space="preserve"> </w:t>
            </w:r>
            <w:r>
              <w:rPr>
                <w:sz w:val="22"/>
                <w:szCs w:val="22"/>
              </w:rPr>
              <w:br/>
              <w:t xml:space="preserve">(Bảo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3.492.000.000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Miếu Bình Đông, Phường Bình Hưng Hòa A, Quận Bình Tân,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65633" cy="200359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267444965" name="" descr=""/>
                              <pic:cNvPicPr/>
                              <pic:nvPr/>
                            </pic:nvPicPr>
                            <pic:blipFill rotWithShape="1">
                              <a:blip r:embed="rId27"/>
                              <a:stretch/>
                            </pic:blipFill>
                            <pic:spPr bwMode="auto">
                              <a:xfrm flipH="0" flipV="0">
                                <a:off x="0" y="0"/>
                                <a:ext cx="2865633" cy="200359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5.64pt;height:157.7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https://www.facebook.com/groups/1187114355128372/posts/2411778539328608/</w:t>
            </w:r>
            <w:r>
              <w:rPr>
                <w:color w:val="000000" w:themeColor="text1"/>
                <w:sz w:val="22"/>
                <w:szCs w:val="22"/>
              </w:rPr>
              <w:br/>
              <w:t xml:space="preserve">0933.671.345</w:t>
            </w:r>
            <w:r>
              <w:rPr>
                <w:sz w:val="22"/>
                <w:szCs w:val="22"/>
              </w:rPr>
              <w:t xml:space="preserve"> </w:t>
            </w:r>
            <w:r>
              <w:rPr>
                <w:sz w:val="22"/>
                <w:szCs w:val="22"/>
              </w:rPr>
              <w:br/>
              <w:t xml:space="preserve">(Ben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3.015.000.000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(29.45m²)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Miếu Bình Đông, Phường Bình Hưng Hòa A, Quận Bình Tân,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29.45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01832" cy="2403440"/>
                      <wp:effectExtent l="0" t="0" r="0" b="0"/>
                      <wp:docPr id="14" name=""/>
                      <wp:cNvGraphicFramePr/>
                      <a:graphic xmlns:a="http://schemas.openxmlformats.org/drawingml/2006/main">
                        <a:graphicData uri="http://schemas.openxmlformats.org/drawingml/2006/picture">
                          <pic:pic xmlns:pic="http://schemas.openxmlformats.org/drawingml/2006/picture">
                            <pic:nvPicPr>
                              <pic:cNvPr id="368608825" name="" descr=""/>
                              <pic:cNvPicPr/>
                              <pic:nvPr/>
                            </pic:nvPicPr>
                            <pic:blipFill rotWithShape="1">
                              <a:blip r:embed="rId28"/>
                              <a:stretch/>
                            </pic:blipFill>
                            <pic:spPr bwMode="auto">
                              <a:xfrm flipH="0" flipV="0">
                                <a:off x="0" y="0"/>
                                <a:ext cx="2601831" cy="24034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4.87pt;height:189.25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2656"/>
        <w:gridCol w:w="633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0919 218 468</w:t>
            </w:r>
            <w:r>
              <w:rPr>
                <w:sz w:val="22"/>
                <w:szCs w:val="22"/>
              </w:rPr>
              <w:t xml:space="preserve"> </w:t>
            </w:r>
            <w:r>
              <w:rPr>
                <w:sz w:val="22"/>
                <w:szCs w:val="22"/>
              </w:rPr>
              <w:br/>
              <w:t xml:space="preserve">(Bảo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3.850.000.000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3.080.000.000</w:t>
            </w:r>
            <w:r>
              <w:rPr>
                <w:sz w:val="22"/>
                <w:szCs w:val="22"/>
              </w:rPr>
            </w:r>
            <w:r>
              <w:rPr>
                <w:sz w:val="22"/>
                <w:szCs w:val="22"/>
              </w:rPr>
            </w:r>
          </w:p>
        </w:tc>
      </w:tr>
      <w:tr>
        <w:trPr>
          <w:trHeight w:val="22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(27.4m²)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Lê Văn Quới, Phường Bình Hưng Hòa, Quận Bình Tân,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27.4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65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33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00282" cy="2423583"/>
                      <wp:effectExtent l="0" t="0" r="0" b="0"/>
                      <wp:docPr id="15" name=""/>
                      <wp:cNvGraphicFramePr/>
                      <a:graphic xmlns:a="http://schemas.openxmlformats.org/drawingml/2006/main">
                        <a:graphicData uri="http://schemas.openxmlformats.org/drawingml/2006/picture">
                          <pic:pic xmlns:pic="http://schemas.openxmlformats.org/drawingml/2006/picture">
                            <pic:nvPicPr>
                              <pic:cNvPr id="1772659892" name="" descr=""/>
                              <pic:cNvPicPr/>
                              <pic:nvPr/>
                            </pic:nvPicPr>
                            <pic:blipFill rotWithShape="1">
                              <a:blip r:embed="rId29"/>
                              <a:stretch/>
                            </pic:blipFill>
                            <pic:spPr bwMode="auto">
                              <a:xfrm flipH="0" flipV="0">
                                <a:off x="0" y="0"/>
                                <a:ext cx="2900282" cy="24235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8.37pt;height:190.8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763"/>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rPr>
      </w:r>
      <w:r>
        <w:rPr>
          <w:b/>
          <w:bCs/>
          <w:iCs/>
          <w:highlight w:val="none"/>
        </w:rPr>
      </w:r>
    </w:p>
    <w:p>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037512"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00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jc w:val="center"/>
        <w:rPr>
          <w:highlight w:val="none"/>
        </w:rPr>
      </w:pPr>
      <w:r>
        <w:rPr>
          <w:iCs/>
          <w:highlight w:val="none"/>
          <w:lang w:val="pt-BR" w:bidi="pt-BR"/>
        </w:rPr>
      </w:r>
      <w:r>
        <mc:AlternateContent>
          <mc:Choice Requires="wpg">
            <w:drawing>
              <wp:inline xmlns:wp="http://schemas.openxmlformats.org/drawingml/2006/wordprocessingDrawing" distT="0" distB="0" distL="0" distR="0">
                <wp:extent cx="8270910" cy="620318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1657" name=""/>
                        <pic:cNvPicPr>
                          <a:picLocks noChangeAspect="1"/>
                        </pic:cNvPicPr>
                        <pic:nvPr/>
                      </pic:nvPicPr>
                      <pic:blipFill rotWithShape="1">
                        <a:blip r:embed="rId31"/>
                        <a:stretch/>
                      </pic:blipFill>
                      <pic:spPr bwMode="auto">
                        <a:xfrm rot="16199969" flipH="0" flipV="0">
                          <a:off x="0" y="0"/>
                          <a:ext cx="8270909" cy="6203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651.25pt;height:488.44pt;mso-wrap-distance-left:0.00pt;mso-wrap-distance-top:0.00pt;mso-wrap-distance-right:0.00pt;mso-wrap-distance-bottom:0.00pt;rotation:269;z-index:1;" stroked="false">
                <v:imagedata r:id="rId31"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7519493" cy="563962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892264" name=""/>
                        <pic:cNvPicPr>
                          <a:picLocks noChangeAspect="1"/>
                        </pic:cNvPicPr>
                        <pic:nvPr/>
                      </pic:nvPicPr>
                      <pic:blipFill rotWithShape="1">
                        <a:blip r:embed="rId32"/>
                        <a:stretch/>
                      </pic:blipFill>
                      <pic:spPr bwMode="auto">
                        <a:xfrm rot="16199969" flipH="0" flipV="0">
                          <a:off x="0" y="0"/>
                          <a:ext cx="7519493" cy="56396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92.09pt;height:444.06pt;mso-wrap-distance-left:0.00pt;mso-wrap-distance-top:0.00pt;mso-wrap-distance-right:0.00pt;mso-wrap-distance-bottom:0.00pt;rotation:269;z-index:1;" stroked="false">
                <v:imagedata r:id="rId32"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lang w:val="pt-BR" w:bidi="pt-BR"/>
        </w:rPr>
      </w:r>
      <w:r>
        <mc:AlternateContent>
          <mc:Choice Requires="wpg">
            <w:drawing>
              <wp:inline xmlns:wp="http://schemas.openxmlformats.org/drawingml/2006/wordprocessingDrawing" distT="0" distB="0" distL="0" distR="0">
                <wp:extent cx="7794660" cy="584599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09564" name=""/>
                        <pic:cNvPicPr>
                          <a:picLocks noChangeAspect="1"/>
                        </pic:cNvPicPr>
                        <pic:nvPr/>
                      </pic:nvPicPr>
                      <pic:blipFill rotWithShape="1">
                        <a:blip r:embed="rId33"/>
                        <a:stretch/>
                      </pic:blipFill>
                      <pic:spPr bwMode="auto">
                        <a:xfrm rot="5399976" flipH="0" flipV="0">
                          <a:off x="0" y="0"/>
                          <a:ext cx="7794659" cy="58459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13.75pt;height:460.31pt;mso-wrap-distance-left:0.00pt;mso-wrap-distance-top:0.00pt;mso-wrap-distance-right:0.00pt;mso-wrap-distance-bottom:0.00pt;rotation:89;z-index:1;" stroked="false">
                <v:imagedata r:id="rId33" o:title=""/>
                <o:lock v:ext="edit" rotation="t"/>
              </v:shape>
            </w:pict>
          </mc:Fallback>
        </mc:AlternateContent>
      </w:r>
      <w:r>
        <w:rPr>
          <w:highlight w:val="none"/>
        </w:rPr>
      </w:r>
      <w:r>
        <w:rPr>
          <w:highlight w:val="none"/>
        </w:rPr>
      </w:r>
    </w:p>
    <w:p>
      <w:pPr>
        <w:pBdr/>
        <w:spacing w:after="200" w:line="276" w:lineRule="auto"/>
        <w:ind/>
        <w:jc w:val="center"/>
        <w:rPr>
          <w:lang w:val="pt-BR"/>
        </w:rPr>
      </w:pPr>
      <w:r>
        <w:rPr>
          <w:lang w:val="pt-BR"/>
        </w:rPr>
      </w:r>
      <w:r>
        <w:rPr>
          <w:lang w:val="pt-BR"/>
        </w:rPr>
      </w:r>
      <w:r>
        <w:rPr>
          <w:lang w:val="pt-BR"/>
        </w:rPr>
      </w:r>
    </w:p>
    <w:p>
      <w:pPr>
        <w:pBdr/>
        <w:spacing w:after="200" w:line="276" w:lineRule="auto"/>
        <w:ind/>
        <w:jc w:val="center"/>
        <w:rPr>
          <w:lang w:val="pt-BR"/>
        </w:rPr>
      </w:pPr>
      <w:r>
        <w:rPr>
          <w:highlight w:val="none"/>
          <w:lang w:val="pt-BR" w:bidi="pt-BR"/>
        </w:rPr>
        <mc:AlternateContent>
          <mc:Choice Requires="wpg">
            <w:drawing>
              <wp:inline xmlns:wp="http://schemas.openxmlformats.org/drawingml/2006/wordprocessingDrawing" distT="0" distB="0" distL="0" distR="0">
                <wp:extent cx="6048375" cy="980689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29909" name=""/>
                        <pic:cNvPicPr>
                          <a:picLocks noChangeAspect="1"/>
                        </pic:cNvPicPr>
                        <pic:nvPr/>
                      </pic:nvPicPr>
                      <pic:blipFill rotWithShape="1">
                        <a:blip r:embed="rId34"/>
                        <a:stretch/>
                      </pic:blipFill>
                      <pic:spPr bwMode="auto">
                        <a:xfrm>
                          <a:off x="0" y="0"/>
                          <a:ext cx="6048374" cy="98068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772.20pt;mso-wrap-distance-left:0.00pt;mso-wrap-distance-top:0.00pt;mso-wrap-distance-right:0.00pt;mso-wrap-distance-bottom:0.00pt;z-index:1;" stroked="false">
                <v:imagedata r:id="rId34"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86E71C0"/>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2E28211"/>
    <w:lvl w:ilvl="0">
      <w:isLgl w:val="false"/>
      <w:lvlJc w:val="left"/>
      <w:lvlText w:val="-"/>
      <w:numFmt w:val="bullet"/>
      <w:pPr>
        <w:pBdr/>
        <w:spacing/>
        <w:ind w:hanging="360" w:left="993"/>
      </w:pPr>
      <w:rPr>
        <w:rFonts w:ascii="Times New Roman" w:hAnsi="Times New Roman" w:eastAsia="Times New Roman" w:cs="Times New Roman"/>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9">
    <w:nsid w:val="58566CC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1AE0E1F5"/>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75779C86"/>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thitruongtaichinhtiente.vn/thi-truong-bat-dong-san-tp-ho-chi-minh-co-cau-phan-khuc-can-ho-thay-doi-da-dang-hon-82228.html)" TargetMode="External"/><Relationship Id="rId18" Type="http://schemas.openxmlformats.org/officeDocument/2006/relationships/hyperlink" Target="https://thongtinquyhoach.hochiminhcity.gov.vn/" TargetMode="External"/><Relationship Id="rId19" Type="http://schemas.openxmlformats.org/officeDocument/2006/relationships/image" Target="media/image3.png"/><Relationship Id="rId20" Type="http://schemas.openxmlformats.org/officeDocument/2006/relationships/image" Target="media/image4.pn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jp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jp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jpg"/><Relationship Id="rId34"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2026-06-24T03:23:51Z</dcterms:modified>
</cp:coreProperties>
</file>