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szCs w:val="28"/>
          <w:lang w:val="vi-VN"/>
        </w:rPr>
      </w:pPr>
      <w:r>
        <w:rPr>
          <w:b/>
          <w:sz w:val="28"/>
          <w:lang w:val="vi-VN"/>
        </w:rPr>
      </w:r>
      <w:r>
        <w:rPr>
          <w:b/>
          <w:sz w:val="28"/>
          <w:lang w:val="vi-VN"/>
        </w:rPr>
      </w:r>
      <w:r>
        <w:rPr>
          <w:b/>
          <w:sz w:val="28"/>
          <w:lang w:val="vi-VN"/>
        </w:rPr>
      </w:r>
    </w:p>
    <w:p>
      <w:pPr>
        <w:pBdr/>
        <w:spacing/>
        <w:ind w:right="-1"/>
        <w:jc w:val="center"/>
        <w:rPr>
          <w:b/>
          <w:bCs/>
          <w:sz w:val="28"/>
          <w:szCs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77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77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275/2026/0907/VFI-CT.53.A</w:t>
                            </w:r>
                            <w:r>
                              <w:rPr>
                                <w:b/>
                              </w:rPr>
                            </w:r>
                            <w:r>
                              <w:rPr>
                                <w:b/>
                              </w:rPr>
                            </w:r>
                          </w:p>
                          <w:p>
                            <w:pPr>
                              <w:pBdr>
                                <w:top w:val="none" w:color="000000" w:sz="4" w:space="0"/>
                                <w:left w:val="none" w:color="000000" w:sz="4" w:space="0"/>
                                <w:bottom w:val="none" w:color="000000" w:sz="4" w:space="0"/>
                                <w:right w:val="none" w:color="000000" w:sz="4" w:space="0"/>
                              </w:pBdr>
                              <w:tabs>
                                <w:tab w:val="left" w:leader="none" w:pos="709"/>
                                <w:tab w:val="left" w:leader="none" w:pos="3002"/>
                              </w:tabs>
                              <w:spacing w:after="120" w:before="240" w:line="276" w:lineRule="auto"/>
                              <w:ind w:right="0" w:firstLine="0" w:left="0"/>
                              <w:jc w:val="cente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CÔNG TY TNHH ĐẦU TƯ VÀ XÂY DỰNG TUẤN DŨNG</w:t>
                            </w:r>
                            <w:r>
                              <w:rPr>
                                <w:rFonts w:ascii="Times New Roman" w:hAnsi="Times New Roman" w:eastAsia="Times New Roman" w:cs="Times New Roman"/>
                                <w:sz w:val="24"/>
                              </w:rPr>
                            </w: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 Quyền sử dụng đất tại thửa đất số: 19, tờ bản đồ số: 87 ( Bản đồ địa chính tỷ lệ 1/1000) có địa chỉ: Khu Soi Cả, xã Sơn Hùng, huyện Thanh Sơn, tỉnh Phú Thọ (Nay là xã Thanh Sơn, tỉnh Phú Thọ) theo Giấy chứng nhận quyền sử dụng dất, quyền sở hữu nhà ở và t</w:t>
                            </w:r>
                            <w:r>
                              <w:rPr>
                                <w:rFonts w:ascii="Times New Roman" w:hAnsi="Times New Roman" w:eastAsia="Times New Roman" w:cs="Times New Roman"/>
                                <w:color w:val="000000"/>
                                <w:sz w:val="24"/>
                              </w:rPr>
                              <w:t xml:space="preserve">ài sản khác gắn liền với đất số: CL 991067, số vào sổ cấp GCN: CT 07016 do Sở Tài nguyên và Môi trường Tỉnh Phú Thọ cấp ngày 30/06/2020 cho Công ty Trách nhiệm hữu hạn Thương mại và Dịch vụ Lân Huế.</w:t>
                              <w:tab/>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2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275/2026/0907/VFI-CT.53.A</w:t>
                      </w:r>
                      <w:r>
                        <w:rPr>
                          <w:b/>
                        </w:rPr>
                      </w:r>
                      <w:r>
                        <w:rPr>
                          <w:b/>
                        </w:rPr>
                      </w:r>
                    </w:p>
                    <w:p>
                      <w:pPr>
                        <w:pBdr>
                          <w:top w:val="none" w:color="000000" w:sz="4" w:space="0"/>
                          <w:left w:val="none" w:color="000000" w:sz="4" w:space="0"/>
                          <w:bottom w:val="none" w:color="000000" w:sz="4" w:space="0"/>
                          <w:right w:val="none" w:color="000000" w:sz="4" w:space="0"/>
                        </w:pBdr>
                        <w:tabs>
                          <w:tab w:val="left" w:leader="none" w:pos="709"/>
                          <w:tab w:val="left" w:leader="none" w:pos="3002"/>
                        </w:tabs>
                        <w:spacing w:after="120" w:before="240" w:line="276" w:lineRule="auto"/>
                        <w:ind w:right="0" w:firstLine="0" w:left="0"/>
                        <w:jc w:val="cente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CÔNG TY TNHH ĐẦU TƯ VÀ XÂY DỰNG TUẤN DŨNG</w:t>
                      </w:r>
                      <w:r>
                        <w:rPr>
                          <w:rFonts w:ascii="Times New Roman" w:hAnsi="Times New Roman" w:eastAsia="Times New Roman" w:cs="Times New Roman"/>
                          <w:sz w:val="24"/>
                        </w:rPr>
                      </w: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 Quyền sử dụng đất tại thửa đất số: 19, tờ bản đồ số: 87 ( Bản đồ địa chính tỷ lệ 1/1000) có địa chỉ: Khu Soi Cả, xã Sơn Hùng, huyện Thanh Sơn, tỉnh Phú Thọ (Nay là xã Thanh Sơn, tỉnh Phú Thọ) theo Giấy chứng nhận quyền sử dụng dất, quyền sở hữu nhà ở và t</w:t>
                      </w:r>
                      <w:r>
                        <w:rPr>
                          <w:rFonts w:ascii="Times New Roman" w:hAnsi="Times New Roman" w:eastAsia="Times New Roman" w:cs="Times New Roman"/>
                          <w:color w:val="000000"/>
                          <w:sz w:val="24"/>
                        </w:rPr>
                        <w:t xml:space="preserve">ài sản khác gắn liền với đất số: CL 991067, số vào sổ cấp GCN: CT 07016 do Sở Tài nguyên và Môi trường Tỉnh Phú Thọ cấp ngày 30/06/2020 cho Công ty Trách nhiệm hữu hạn Thương mại và Dịch vụ Lân Huế.</w:t>
                        <w:tab/>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Style w:val="1039"/>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shd w:val="clear" w:color="ffffff" w:fill="ffffff"/>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rPr/>
            </w:pPr>
            <w:r>
              <w:rPr>
                <w:rFonts w:ascii="Times New Roman" w:hAnsi="Times New Roman" w:eastAsia="Times New Roman" w:cs="Times New Roman"/>
                <w:b/>
                <w:color w:val="000000"/>
                <w:sz w:val="24"/>
                <w:u w:val="single"/>
              </w:rPr>
              <w:t xml:space="preserve">NỘI DUNG</w:t>
            </w:r>
            <w:r/>
          </w:p>
        </w:tc>
        <w:tc>
          <w:tcPr>
            <w:shd w:val="clear" w:color="ffffff" w:fill="ffffff"/>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right"/>
              <w:rPr/>
            </w:pPr>
            <w:r>
              <w:rPr>
                <w:rFonts w:ascii="Times New Roman" w:hAnsi="Times New Roman" w:eastAsia="Times New Roman" w:cs="Times New Roman"/>
                <w:b/>
                <w:color w:val="000000"/>
                <w:sz w:val="24"/>
                <w:u w:val="single"/>
              </w:rPr>
              <w:t xml:space="preserve">TRANG</w:t>
            </w:r>
            <w:r/>
          </w:p>
        </w:tc>
      </w:tr>
      <w:tr>
        <w:trPr/>
        <w:tc>
          <w:tcPr>
            <w:shd w:val="clear" w:color="ffffff" w:fill="ffffff"/>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rPr/>
            </w:pPr>
            <w:r>
              <w:rPr>
                <w:rFonts w:ascii="Times New Roman" w:hAnsi="Times New Roman" w:eastAsia="Times New Roman" w:cs="Times New Roman"/>
                <w:b/>
                <w:color w:val="000000"/>
                <w:sz w:val="24"/>
              </w:rPr>
              <w:t xml:space="preserve"> </w:t>
            </w:r>
            <w:r/>
          </w:p>
        </w:tc>
        <w:tc>
          <w:tcPr>
            <w:shd w:val="clear" w:color="ffffff" w:fill="ffffff"/>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right"/>
              <w:rPr/>
            </w:pPr>
            <w:r>
              <w:rPr>
                <w:rFonts w:ascii="Times New Roman" w:hAnsi="Times New Roman" w:eastAsia="Times New Roman" w:cs="Times New Roman"/>
                <w:b/>
                <w:color w:val="000000"/>
                <w:sz w:val="24"/>
              </w:rPr>
              <w:t xml:space="preserve"> </w:t>
            </w:r>
            <w:r/>
          </w:p>
        </w:tc>
      </w:tr>
      <w:tr>
        <w:trPr/>
        <w:tc>
          <w:tcPr>
            <w:shd w:val="clear" w:color="ffffff" w:fill="ffffff"/>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rPr/>
            </w:pPr>
            <w:r>
              <w:rPr>
                <w:rFonts w:ascii="Times New Roman" w:hAnsi="Times New Roman" w:eastAsia="Times New Roman" w:cs="Times New Roman"/>
                <w:b/>
                <w:color w:val="000000"/>
                <w:sz w:val="24"/>
              </w:rPr>
              <w:t xml:space="preserve">Chứng thư thẩm định giá</w:t>
            </w:r>
            <w:r/>
          </w:p>
        </w:tc>
        <w:tc>
          <w:tcPr>
            <w:shd w:val="clear" w:color="ffffff" w:fill="ffffff"/>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right"/>
              <w:rPr/>
            </w:pPr>
            <w:r>
              <w:rPr>
                <w:rFonts w:ascii="Times New Roman" w:hAnsi="Times New Roman" w:eastAsia="Times New Roman" w:cs="Times New Roman"/>
                <w:b/>
                <w:color w:val="000000"/>
                <w:sz w:val="24"/>
              </w:rPr>
              <w:t xml:space="preserve">1-3</w:t>
            </w:r>
            <w:r/>
          </w:p>
        </w:tc>
      </w:tr>
      <w:tr>
        <w:trPr/>
        <w:tc>
          <w:tcPr>
            <w:shd w:val="clear" w:color="ffffff" w:fill="ffffff"/>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rPr/>
            </w:pPr>
            <w:r>
              <w:rPr>
                <w:rFonts w:ascii="Times New Roman" w:hAnsi="Times New Roman" w:eastAsia="Times New Roman" w:cs="Times New Roman"/>
                <w:b/>
                <w:color w:val="000000"/>
                <w:sz w:val="24"/>
              </w:rPr>
              <w:t xml:space="preserve">Báo cáo thẩm định giá</w:t>
            </w:r>
            <w:r/>
          </w:p>
        </w:tc>
        <w:tc>
          <w:tcPr>
            <w:shd w:val="clear" w:color="ffffff" w:fill="ffffff"/>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right"/>
              <w:rPr/>
            </w:pPr>
            <w:r>
              <w:rPr>
                <w:rFonts w:ascii="Times New Roman" w:hAnsi="Times New Roman" w:eastAsia="Times New Roman" w:cs="Times New Roman"/>
                <w:b/>
                <w:color w:val="000000"/>
                <w:sz w:val="24"/>
              </w:rPr>
              <w:t xml:space="preserve">4-19</w:t>
            </w:r>
            <w:r/>
          </w:p>
        </w:tc>
      </w:tr>
      <w:tr>
        <w:trPr/>
        <w:tc>
          <w:tcPr>
            <w:shd w:val="clear" w:color="ffffff" w:fill="ffffff"/>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rPr/>
            </w:pPr>
            <w:r>
              <w:rPr>
                <w:rFonts w:ascii="Times New Roman" w:hAnsi="Times New Roman" w:eastAsia="Times New Roman" w:cs="Times New Roman"/>
                <w:b/>
                <w:color w:val="000000"/>
                <w:sz w:val="24"/>
              </w:rPr>
              <w:t xml:space="preserve">Các phụ lục chi tiết kèm theo</w:t>
            </w:r>
            <w:r/>
          </w:p>
        </w:tc>
        <w:tc>
          <w:tcPr>
            <w:shd w:val="clear" w:color="ffffff" w:fill="ffffff"/>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rPr/>
            </w:pPr>
            <w:r>
              <w:rPr>
                <w:rFonts w:ascii="Times New Roman" w:hAnsi="Times New Roman" w:eastAsia="Times New Roman" w:cs="Times New Roman"/>
                <w:color w:val="000000"/>
                <w:sz w:val="24"/>
              </w:rPr>
              <w:t xml:space="preserve">            20-29</w:t>
            </w:r>
            <w:r/>
          </w:p>
        </w:tc>
      </w:tr>
      <w:tr>
        <w:trPr/>
        <w:tc>
          <w:tcPr>
            <w:shd w:val="clear" w:color="ffffff" w:fill="ffffff"/>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rPr/>
            </w:pPr>
            <w:r>
              <w:rPr>
                <w:rFonts w:ascii="Times New Roman" w:hAnsi="Times New Roman" w:eastAsia="Times New Roman" w:cs="Times New Roman"/>
                <w:color w:val="000000"/>
                <w:sz w:val="24"/>
              </w:rPr>
              <w:t xml:space="preserve">Phụ lục 1: Phụ lục hình ảnh hiện trạng tài sản</w:t>
            </w:r>
            <w:r/>
          </w:p>
        </w:tc>
        <w:tc>
          <w:tcPr>
            <w:shd w:val="clear" w:color="ffffff" w:fill="ffffff"/>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right"/>
              <w:rPr/>
            </w:pPr>
            <w:r>
              <w:rPr>
                <w:rFonts w:ascii="Times New Roman" w:hAnsi="Times New Roman" w:eastAsia="Times New Roman" w:cs="Times New Roman"/>
                <w:color w:val="000000"/>
                <w:sz w:val="24"/>
              </w:rPr>
              <w:t xml:space="preserve"> </w:t>
            </w:r>
            <w:r/>
          </w:p>
        </w:tc>
      </w:tr>
      <w:tr>
        <w:trPr/>
        <w:tc>
          <w:tcPr>
            <w:shd w:val="clear" w:color="ffffff" w:fill="ffffff"/>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rPr/>
            </w:pPr>
            <w:r>
              <w:rPr>
                <w:rFonts w:ascii="Times New Roman" w:hAnsi="Times New Roman" w:eastAsia="Times New Roman" w:cs="Times New Roman"/>
                <w:color w:val="000000"/>
                <w:sz w:val="24"/>
              </w:rPr>
              <w:t xml:space="preserve">Phụ lục 2: Phụ lục hình ảnh các tài sản so sánh</w:t>
            </w:r>
            <w:r/>
          </w:p>
        </w:tc>
        <w:tc>
          <w:tcPr>
            <w:shd w:val="clear" w:color="ffffff" w:fill="ffffff"/>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right"/>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right"/>
              <w:rPr/>
            </w:pPr>
            <w:r>
              <w:rPr>
                <w:rFonts w:ascii="Times New Roman" w:hAnsi="Times New Roman" w:eastAsia="Times New Roman" w:cs="Times New Roman"/>
                <w:color w:val="000000"/>
                <w:sz w:val="24"/>
              </w:rPr>
              <w:t xml:space="preserve"> </w:t>
            </w: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583"/>
        <w:gridCol w:w="11976"/>
      </w:tblGrid>
      <w:tr>
        <w:trPr>
          <w:trHeight w:val="1152"/>
        </w:trPr>
        <w:tc>
          <w:tcPr>
            <w:gridSpan w:val="2"/>
            <w:tcBorders/>
            <w:tcW w:w="243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97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275/2026/0907/VFI-CT.53.A</w:t>
            </w:r>
            <w:r>
              <w:rPr>
                <w:color w:val="000000" w:themeColor="text1"/>
                <w:sz w:val="24"/>
                <w:szCs w:val="24"/>
              </w:rPr>
            </w:r>
            <w:r>
              <w:rPr>
                <w:color w:val="000000" w:themeColor="text1"/>
                <w:sz w:val="24"/>
                <w:szCs w:val="24"/>
              </w:rPr>
            </w:r>
          </w:p>
          <w:p>
            <w:pPr>
              <w:pStyle w:val="1034"/>
              <w:pBdr/>
              <w:spacing w:after="60"/>
              <w:ind w:right="-56"/>
              <w:jc w:val="center"/>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6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w:hAnsi="Times New Roman" w:eastAsia="Times New Roman" w:cs="Times New Roman"/>
          <w:b/>
          <w:color w:val="000000"/>
          <w:sz w:val="24"/>
        </w:rPr>
        <w:t xml:space="preserve">CÔNG TY TNHH ĐẦU TƯ VÀ XÂY DỰNG TUẤN DŨNG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275/2026/0926/VFI-HĐTĐ.53.A</w:t>
      </w:r>
      <w:r>
        <w:rPr>
          <w:spacing w:val="-4"/>
          <w:lang w:val="vi-VN"/>
        </w:rPr>
        <w:t xml:space="preserve"> ký ngày </w:t>
      </w:r>
      <w:r>
        <w:rPr>
          <w:color w:val="000000" w:themeColor="text1"/>
          <w:spacing w:val="-4"/>
        </w:rPr>
        <w:t xml:space="preserve">15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2"/>
          <w:sz w:val="24"/>
        </w:rPr>
        <w:t xml:space="preserve">Công Ty TNHH Đầu Tư Và Xây Dựng Tuấn Dũng </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275/2026/0926/VFI-BC.53.A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b/>
                <w:color w:val="000000"/>
                <w:sz w:val="24"/>
              </w:rPr>
              <w:t xml:space="preserve">CÔNG TY TNHH ĐẦU TƯ VÀ XÂY DỰNG TUẤN DŨNG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b/>
                <w:color w:val="000000"/>
                <w:sz w:val="24"/>
                <w:highlight w:val="white"/>
              </w:rPr>
              <w:t xml:space="preserve">0108090390</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b/>
                <w:color w:val="000000"/>
                <w:sz w:val="24"/>
                <w:highlight w:val="white"/>
              </w:rPr>
              <w:t xml:space="preserve">Ông Nguyễn Viết Bách                 Chức vụ: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Địa chỉ trụ sở</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pPr>
            <w:r>
              <w:rPr>
                <w:rFonts w:ascii="Times New Roman" w:hAnsi="Times New Roman" w:eastAsia="Times New Roman" w:cs="Times New Roman"/>
                <w:color w:val="000000"/>
                <w:sz w:val="24"/>
              </w:rPr>
              <w:t xml:space="preserve">Số 295, phố Quang Trung, phường Sơn Tây,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after="120" w:before="160" w:line="276" w:lineRule="auto"/>
        <w:ind w:right="0" w:firstLine="0" w:left="0"/>
        <w:jc w:val="both"/>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19, tờ bản đồ số: 87 (Bản đồ địa chính tỷ lệ 1/1000) có địa chỉ: Khu Soi Cả, xã Sơn Hùng, huyện Thanh Sơn, tỉnh Phú Thọ (Nay là xã Thanh Sơn, tỉnh Phú Thọ) theo Giấy chứng nhận quyền sử dụng dất, quyền sở hữu nhà ở và tài</w:t>
      </w:r>
      <w:r>
        <w:rPr>
          <w:rFonts w:ascii="Times New Roman" w:hAnsi="Times New Roman" w:eastAsia="Times New Roman" w:cs="Times New Roman"/>
          <w:color w:val="000000"/>
          <w:sz w:val="24"/>
        </w:rPr>
        <w:t xml:space="preserve"> sản khác gắn liền với đất số: CL 991067, số vào sổ cấp GCN: CT 07016 do Sở Tài nguyên và Môi trường Tỉnh Phú Thọ cấp ngày 30/06/2020 cho Công ty Trách nhiệm hữu hạn Thương mại và Dịch vụ Lân Huế.</w:t>
      </w:r>
      <w:r>
        <w:rPr>
          <w:rFonts w:ascii="Times New Roman" w:hAnsi="Times New Roman" w:eastAsia="Times New Roman" w:cs="Times New Roman"/>
          <w:sz w:val="24"/>
        </w:rPr>
      </w: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293"/>
        <w:gridCol w:w="284"/>
        <w:gridCol w:w="1984"/>
        <w:gridCol w:w="1866"/>
        <w:gridCol w:w="2386"/>
        <w:gridCol w:w="60"/>
      </w:tblGrid>
      <w:tr>
        <w:trPr>
          <w:gridAfter w:val="1"/>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Đơn giá (đồng/m²)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Thành tiền (đồng) </w:t>
            </w:r>
            <w:r/>
          </w:p>
        </w:tc>
      </w:tr>
      <w:tr>
        <w:trPr>
          <w:gridAfter w:val="1"/>
          <w:trHeight w:val="148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19, tờ bản đồ số: 87 ( Bản đồ địa chính tỷ lệ 1/1000) có địa chỉ: Khu Soi Cả, xã Sơn Hùng, huyện Thanh Sơn, tỉnh Phú Thọ (Nay là xã Thanh Sơn, tỉnh Phú Thọ) theo Giấy chứng nhận quyền sử dụng dất, quyền sở hữu nhà ở và tà</w:t>
            </w:r>
            <w:r>
              <w:rPr>
                <w:rFonts w:ascii="Times New Roman" w:hAnsi="Times New Roman" w:eastAsia="Times New Roman" w:cs="Times New Roman"/>
                <w:b/>
                <w:color w:val="000000"/>
                <w:sz w:val="24"/>
              </w:rPr>
              <w:t xml:space="preserve">i sản khác gắn liền với đất  số: CL 991067, số vào sổ cấp GCN: CT 07016 do Sở Tài nguyên và Môi trường Tỉnh Phú Thọ cấp ngày 30/06/2020 cho Công ty Trách nhiệm hữu hạn Thương mại và Dịch vụ Lân Huế.</w:t>
              <w:tab/>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gridAfter w:val="1"/>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5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thương mại dịch vụ</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6086,7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3.800.000</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23.129.460.000 </w:t>
            </w:r>
            <w:r/>
          </w:p>
        </w:tc>
      </w:tr>
      <w:tr>
        <w:trPr>
          <w:gridAfter w:val="1"/>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spacing w:after="0" w:before="0" w:line="240" w:lineRule="auto"/>
              <w:ind/>
              <w:rPr/>
            </w:pP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23.129.460.000</w:t>
            </w:r>
            <w:r/>
          </w:p>
        </w:tc>
      </w:tr>
      <w:tr>
        <w:trPr>
          <w:gridAfter w:val="1"/>
          <w:trHeight w:val="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spacing w:after="0" w:before="0" w:line="240" w:lineRule="auto"/>
              <w:ind/>
              <w:rPr/>
            </w:pP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23.129.000.000</w:t>
            </w:r>
            <w:r/>
          </w:p>
        </w:tc>
      </w:tr>
      <w:tr>
        <w:trPr>
          <w:trHeight w:val="309"/>
        </w:trPr>
        <w:tc>
          <w:tcPr>
            <w:gridSpan w:val="7"/>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Bàng chữ: Hai mươi ba tỷ, một trăm hai mươi chín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724"/>
        <w:gridCol w:w="11838"/>
      </w:tblGrid>
      <w:tr>
        <w:trPr>
          <w:trHeight w:val="1843"/>
        </w:trPr>
        <w:tc>
          <w:tcPr>
            <w:gridSpan w:val="2"/>
            <w:tcBorders/>
            <w:tcW w:w="258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83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275/2026/0907/VFI-CT.53.A</w:t>
            </w:r>
            <w:r>
              <w:rPr>
                <w:color w:val="000000" w:themeColor="text1"/>
                <w:sz w:val="24"/>
                <w:szCs w:val="24"/>
              </w:rPr>
            </w:r>
            <w:r>
              <w:rPr>
                <w:color w:val="000000" w:themeColor="text1"/>
                <w:sz w:val="24"/>
                <w:szCs w:val="24"/>
              </w:rPr>
            </w:r>
          </w:p>
          <w:p>
            <w:pPr>
              <w:pStyle w:val="1034"/>
              <w:pBdr/>
              <w:spacing w:after="60"/>
              <w:ind w:right="-56"/>
              <w:jc w:val="center"/>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724"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1838"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275/2026/0907/VFI-CT.53.A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ĐẦU TƯ VÀ XÂY DỰNG TUẤN DŨNG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highlight w:val="white"/>
              </w:rPr>
              <w:t xml:space="preserve">0108090390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highlight w:val="white"/>
              </w:rPr>
              <w:t xml:space="preserve">Ông Nguyễn Viết Bách                 Chức vụ: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295, phố Quang Trung, phường Sơn Tây,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line="300" w:lineRule="auto"/>
              <w:ind w:right="0" w:firstLine="0" w:left="0"/>
              <w:jc w:val="both"/>
              <w:rPr/>
            </w:pPr>
            <w:r>
              <w:rPr>
                <w:rFonts w:ascii="Times New Roman" w:hAnsi="Times New Roman" w:eastAsia="Times New Roman" w:cs="Times New Roman"/>
                <w:color w:val="000000"/>
                <w:sz w:val="24"/>
              </w:rPr>
              <w:t xml:space="preserve">Quyền sử dụng đất tại thửa đất số: 19, tờ bản đồ số: 87 (Bản đồ địa chính tỷ lệ 1/1000) có địa chỉ: Khu Soi Cả, xã Sơn Hùng, huyện Thanh Sơn, tỉnh Phú Thọ (Nay là xã Thanh Sơn, tỉnh Phú Thọ) theo Giấy chứng nhận quyền sử dụng dất, quyền sở hữu nhà ở và tài</w:t>
            </w:r>
            <w:r>
              <w:rPr>
                <w:rFonts w:ascii="Times New Roman" w:hAnsi="Times New Roman" w:eastAsia="Times New Roman" w:cs="Times New Roman"/>
                <w:color w:val="000000"/>
                <w:sz w:val="24"/>
              </w:rPr>
              <w:t xml:space="preserve"> sản khác gắn liền với đất số: CL 991067, số vào sổ cấp GCN: CT 07016 do Sở Tài nguyên và Môi trường Tỉnh Phú Thọ cấp ngày 30/06/2020 cho Công ty Trách nhiệm hữu hạn Thương mại và Dịch vụ Lân Huế.</w:t>
              <w:tab/>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Sơn,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21.217583333333, 105.17725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15/06/2016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dất, quyền sở hữu nhà ở và tài sản khác gắn liền với đất số: CL 991067, số vào sổ cấp GCN: CT 07016 do Sở Tài nguyên và Môi trường Tỉnh Phú Thọ cấp ngày 30/06/2020 cho Công ty Trách nhiệm hữu hạn Thương mại và Dịch vụ Lân Huế.</w:t>
      </w:r>
      <w:r>
        <w:rPr>
          <w:rFonts w:ascii="Times New Roman" w:hAnsi="Times New Roman" w:eastAsia="Times New Roman" w:cs="Times New Roman"/>
          <w:color w:val="000000"/>
          <w:sz w:val="24"/>
        </w:rPr>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themeColor="text1"/>
          <w:spacing w:val="-2"/>
          <w:sz w:val="24"/>
        </w:rPr>
        <w:t xml:space="preserve">Hợp đồng thẩm định giá số </w:t>
      </w:r>
      <w:r>
        <w:rPr>
          <w:rFonts w:ascii="Times New Roman" w:hAnsi="Times New Roman" w:eastAsia="Times New Roman" w:cs="Times New Roman"/>
          <w:color w:val="000000" w:themeColor="text1"/>
          <w:sz w:val="24"/>
        </w:rPr>
        <w:t xml:space="preserve"> 275/2026/0926/VFI-HĐTĐ.53.A </w:t>
      </w:r>
      <w:r>
        <w:rPr>
          <w:rFonts w:ascii="Times New Roman" w:hAnsi="Times New Roman" w:eastAsia="Times New Roman" w:cs="Times New Roman"/>
          <w:color w:val="000000"/>
          <w:spacing w:val="-2"/>
          <w:sz w:val="24"/>
        </w:rPr>
        <w:t xml:space="preserve">ký ngày 15/6/2026 giữa Công Ty TNHH Đầu Tư Và Xây Dựng Tuấn Dũng với Công ty cổ phần Thẩm định và Đầu tư tài chính Hoa Sen</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sz w:val="24"/>
        </w:rPr>
      </w: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Sáp nhập Phú Thọ - Vĩnh Phúc - Hòa Bình thành một tỉnh mới trực thuộc Trung ương đánh dấu bước ngoặt quan trọng trong tái cấu trúc tổ chức hành chính vùng Tây Bắc. Tỉnh Phú Thọ mới có diện tích hơn 9.300km2 và dân số vượt mốc 4 triệu người, gấp gần 4,5 lần</w:t>
      </w:r>
      <w:r>
        <w:rPr>
          <w:rFonts w:ascii="Times New Roman" w:hAnsi="Times New Roman" w:eastAsia="Times New Roman" w:cs="Times New Roman"/>
          <w:color w:val="000000"/>
          <w:sz w:val="24"/>
        </w:rPr>
        <w:t xml:space="preserve"> tiêu chuẩn. Khu vực này sẽ được kỳ vọng trở thành "đại đô thị" vùng trung du và miền núi phía Bắc, đóng vai trò chiến lược tạo lực đẩy cho phát triển kinh tế, đô thị và hạ tầng toàn khu vực.</w:t>
      </w:r>
      <w:r/>
    </w:p>
    <w:p>
      <w:pPr>
        <w:pBdr>
          <w:top w:val="single" w:color="e5e5ea" w:sz="2" w:space="0"/>
          <w:left w:val="single" w:color="e5e5ea" w:sz="2" w:space="0"/>
          <w:bottom w:val="single" w:color="e5e5ea" w:sz="2" w:space="0"/>
          <w:right w:val="single" w:color="e5e5ea" w:sz="2" w:space="0"/>
        </w:pBdr>
        <w:spacing w:after="300"/>
        <w:ind w:right="0" w:firstLine="0" w:left="0"/>
        <w:rPr/>
      </w:pPr>
      <w:r>
        <w:rPr>
          <w:rFonts w:ascii="Times New Roman" w:hAnsi="Times New Roman" w:eastAsia="Times New Roman" w:cs="Times New Roman"/>
          <w:color w:val="000000"/>
          <w:sz w:val="24"/>
        </w:rPr>
        <w:t xml:space="preserve">Sau khi sáp nhập Phú Thọ - Vĩnh Phúc - Hòa Bình, TP. Việt Trì sẽ trở thành trung tâm hành chính - chính trị của tỉnh mới. Đây sẽ là hạt nhân cho quá trình điều hành, quản lý, kết nối giữa các khu vực, giữ vai trò đầu tàu trong phát triển kinh tế - xã hội t</w:t>
      </w:r>
      <w:r>
        <w:rPr>
          <w:rFonts w:ascii="Times New Roman" w:hAnsi="Times New Roman" w:eastAsia="Times New Roman" w:cs="Times New Roman"/>
          <w:color w:val="000000"/>
          <w:sz w:val="24"/>
        </w:rPr>
        <w:t xml:space="preserve">oàn vùng Tây Bắc.</w:t>
      </w:r>
      <w:r/>
    </w:p>
    <w:p>
      <w:pPr>
        <w:pBdr>
          <w:top w:val="single" w:color="e5e5ea" w:sz="2" w:space="0"/>
          <w:left w:val="single" w:color="e5e5ea" w:sz="2" w:space="0"/>
          <w:bottom w:val="single" w:color="e5e5ea" w:sz="2" w:space="0"/>
          <w:right w:val="single" w:color="e5e5ea" w:sz="2" w:space="0"/>
        </w:pBdr>
        <w:spacing w:after="300" w:before="300"/>
        <w:ind w:right="0" w:firstLine="0" w:left="0"/>
        <w:rPr/>
      </w:pPr>
      <w:r>
        <w:rPr>
          <w:rFonts w:ascii="Times New Roman" w:hAnsi="Times New Roman" w:eastAsia="Times New Roman" w:cs="Times New Roman"/>
          <w:color w:val="000000"/>
          <w:sz w:val="24"/>
        </w:rPr>
        <w:t xml:space="preserve">Quá trình sắp xếp gắn với cải cách hành chính, đi đôi với quy hoạch lại mạng lưới hạ tầng. Các trụ sở mới của chính quyền địa phương sẽ được đặt ở vị trí thuận lợi, đảm bảo giao thông kết nối liên vùng, phát triển cân đối giữa đô thị - nông thôn.</w:t>
      </w:r>
      <w:r/>
    </w:p>
    <w:p>
      <w:pPr>
        <w:pBdr>
          <w:top w:val="single" w:color="e5e5ea" w:sz="2" w:space="0"/>
          <w:left w:val="single" w:color="e5e5ea" w:sz="2" w:space="0"/>
          <w:bottom w:val="single" w:color="e5e5ea" w:sz="2" w:space="0"/>
          <w:right w:val="single" w:color="e5e5ea" w:sz="2" w:space="0"/>
        </w:pBdr>
        <w:spacing w:after="300" w:before="300"/>
        <w:ind w:right="0" w:firstLine="0" w:left="0"/>
        <w:rPr/>
      </w:pPr>
      <w:r>
        <w:rPr>
          <w:rFonts w:ascii="Times New Roman" w:hAnsi="Times New Roman" w:eastAsia="Times New Roman" w:cs="Times New Roman"/>
          <w:color w:val="000000"/>
          <w:sz w:val="24"/>
        </w:rPr>
        <w:t xml:space="preserve">Ngoài ra, quá trình tinh giản đơn vị hành chính sẽ giải phóng đáng kể nguồn quỹ đất công và tạo điều kiện thuận lợi để xây dựng các khu đô thị mới, khu công nghiệp tập trung. Tiềm năng du lịch - nghỉ dưỡng cũng được kỳ vọng cao nhất là tại các vùng có lợi </w:t>
      </w:r>
      <w:r>
        <w:rPr>
          <w:rFonts w:ascii="Times New Roman" w:hAnsi="Times New Roman" w:eastAsia="Times New Roman" w:cs="Times New Roman"/>
          <w:color w:val="000000"/>
          <w:sz w:val="24"/>
        </w:rPr>
        <w:t xml:space="preserve">thế cảnh quan như Thanh Thủy, Tam Nông, Đoan Hùng…</w:t>
      </w:r>
      <w:r/>
    </w:p>
    <w:p>
      <w:pPr>
        <w:pBdr>
          <w:top w:val="single" w:color="e5e5ea" w:sz="2" w:space="0"/>
          <w:left w:val="single" w:color="e5e5ea" w:sz="2" w:space="0"/>
          <w:bottom w:val="single" w:color="e5e5ea" w:sz="2" w:space="0"/>
          <w:right w:val="single" w:color="e5e5ea" w:sz="2" w:space="0"/>
        </w:pBdr>
        <w:spacing w:after="300"/>
        <w:ind w:right="0" w:firstLine="0" w:left="0"/>
        <w:rPr/>
      </w:pPr>
      <w:r>
        <w:rPr>
          <w:rFonts w:ascii="Times New Roman" w:hAnsi="Times New Roman" w:eastAsia="Times New Roman" w:cs="Times New Roman"/>
          <w:color w:val="000000"/>
          <w:sz w:val="24"/>
        </w:rPr>
        <w:t xml:space="preserve">Sự kiện Sáp nhập Phú Thọ - Vĩnh Phúc - Hòa Bình được đánh giá là cú hích mạnh mẽ với thị trường bất động sản khu vực. Nhiều nhà đầu tư đã bắt đầu dồn lực vào các khu vực ven TP. Việt Trì, các huyện đang được sáp nhập mạnh như Tam Nông, Thanh Sơn... kỳ vọng</w:t>
      </w:r>
      <w:r>
        <w:rPr>
          <w:rFonts w:ascii="Times New Roman" w:hAnsi="Times New Roman" w:eastAsia="Times New Roman" w:cs="Times New Roman"/>
          <w:color w:val="000000"/>
          <w:sz w:val="24"/>
        </w:rPr>
        <w:t xml:space="preserve"> vào sự tăng trưởng về giá trị và tiềm năng sinh lời từ đất nền, nhà ở thương mại.</w:t>
      </w:r>
      <w:r/>
    </w:p>
    <w:p>
      <w:pPr>
        <w:pBdr>
          <w:top w:val="single" w:color="e5e5ea" w:sz="2" w:space="0"/>
          <w:left w:val="single" w:color="e5e5ea" w:sz="2" w:space="0"/>
          <w:bottom w:val="single" w:color="e5e5ea" w:sz="2" w:space="0"/>
          <w:right w:val="single" w:color="e5e5ea" w:sz="2" w:space="0"/>
        </w:pBdr>
        <w:spacing w:after="300" w:before="300"/>
        <w:ind w:right="0" w:firstLine="0" w:left="0"/>
        <w:rPr/>
      </w:pPr>
      <w:r>
        <w:rPr>
          <w:rFonts w:ascii="Times New Roman" w:hAnsi="Times New Roman" w:eastAsia="Times New Roman" w:cs="Times New Roman"/>
          <w:color w:val="000000"/>
          <w:sz w:val="24"/>
        </w:rPr>
        <w:t xml:space="preserve">Cải thiện và nâng cấp hạ tầng được tiến hành đồng bộ, định hướng phát triển đô thị vệ tinh và quỹ đất mở rộng. Các phân khúc như bất động sản nghỉ dưỡng, khu đô thị mới, đất nền vùng ven được dự báo sẽ bùng nổ từ 2025 - 2027.</w:t>
      </w:r>
      <w:r/>
    </w:p>
    <w:p>
      <w:pPr>
        <w:pBdr>
          <w:top w:val="single" w:color="e5e5ea" w:sz="2" w:space="0"/>
          <w:left w:val="single" w:color="e5e5ea" w:sz="2" w:space="0"/>
          <w:bottom w:val="single" w:color="e5e5ea" w:sz="2" w:space="0"/>
          <w:right w:val="single" w:color="e5e5ea" w:sz="2" w:space="0"/>
        </w:pBdr>
        <w:spacing w:after="300" w:before="300"/>
        <w:ind w:right="0" w:firstLine="0" w:left="0"/>
        <w:rPr/>
      </w:pPr>
      <w:r>
        <w:rPr>
          <w:rFonts w:ascii="Times New Roman" w:hAnsi="Times New Roman" w:eastAsia="Times New Roman" w:cs="Times New Roman"/>
          <w:color w:val="000000"/>
          <w:sz w:val="24"/>
        </w:rPr>
        <w:t xml:space="preserve">Việc sắp xếp cán bộ, công chức sau sáp nhập sẽ theo nguyên tắc không vượt quá tổng số hiện tại, phù hợp với vị trí việc làm. Nhà đầu tư cần lưu ý quá trình chuyển đổi, quy hoạch lại hạ tầng hành chính và dân cư sẽ dẫn tới thay đổi mặt bằng dân cư, cơ cấu t</w:t>
      </w:r>
      <w:r>
        <w:rPr>
          <w:rFonts w:ascii="Times New Roman" w:hAnsi="Times New Roman" w:eastAsia="Times New Roman" w:cs="Times New Roman"/>
          <w:color w:val="000000"/>
          <w:sz w:val="24"/>
        </w:rPr>
        <w:t xml:space="preserve">hị trường địa phương.</w:t>
      </w:r>
      <w:r/>
    </w:p>
    <w:p>
      <w:pPr>
        <w:pBdr>
          <w:top w:val="single" w:color="e5e5ea" w:sz="2" w:space="0"/>
          <w:left w:val="single" w:color="e5e5ea" w:sz="2" w:space="0"/>
          <w:bottom w:val="single" w:color="e5e5ea" w:sz="2" w:space="0"/>
          <w:right w:val="single" w:color="e5e5ea" w:sz="2" w:space="0"/>
        </w:pBdr>
        <w:spacing w:after="300" w:before="300"/>
        <w:ind w:right="0" w:firstLine="0" w:left="0"/>
        <w:rPr/>
      </w:pPr>
      <w:r>
        <w:rPr>
          <w:rFonts w:ascii="Times New Roman" w:hAnsi="Times New Roman" w:eastAsia="Times New Roman" w:cs="Times New Roman"/>
          <w:color w:val="000000"/>
          <w:sz w:val="24"/>
        </w:rPr>
        <w:t xml:space="preserve">Trong ngắn hạn, một số khu vực có thể gặp khó khăn về thủ tục và tính ổn định của quy hoạch. Tuy nhiên, trong dài hạn đây là cơ hội vàng để đón đầu một chu kỳ tăng trưởng mới tại một trong những cực tăng trưởng quan trọng bậc nhất vùng Trung du và miền núi</w:t>
      </w:r>
      <w:r>
        <w:rPr>
          <w:rFonts w:ascii="Times New Roman" w:hAnsi="Times New Roman" w:eastAsia="Times New Roman" w:cs="Times New Roman"/>
          <w:color w:val="000000"/>
          <w:sz w:val="24"/>
        </w:rPr>
        <w:t xml:space="preserve"> Bắc Bộ.</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Nguồn: https://onehousing.vn/blog/sap-nhap-phu-tho-vinh-phuc-hoa-binh-n17t)</w:t>
      </w:r>
      <w:r/>
    </w:p>
    <w:p>
      <w:pPr>
        <w:pBdr/>
        <w:tabs>
          <w:tab w:val="left" w:leader="none" w:pos="426"/>
        </w:tabs>
        <w:spacing w:after="120" w:before="120" w:line="276" w:lineRule="auto"/>
        <w:ind/>
        <w:rPr>
          <w:bCs/>
          <w:i/>
          <w:lang w:val="pt-BR"/>
        </w:rPr>
      </w:pPr>
      <w:r>
        <w:rPr>
          <w:lang w:val="pt-BR"/>
        </w:rPr>
      </w:r>
      <w:r>
        <w:rPr>
          <w:i/>
          <w:iCs/>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242"/>
        <w:gridCol w:w="1843"/>
        <w:gridCol w:w="2126"/>
        <w:gridCol w:w="2268"/>
        <w:gridCol w:w="2367"/>
      </w:tblGrid>
      <w:tr>
        <w:trPr>
          <w:trHeight w:val="151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19, tờ bản đồ số: 87 (Bản đồ địa chính tỷ lệ 1/1000) có địa chỉ: Khu Soi Cả, xã Sơn Hùng, huyện Thanh Sơn, tỉnh Phú Thọ (Nay là xã Thanh Sơn, tỉnh Phú Thọ) theo Giấy chứng nhận quyền sử dụng dất, quyền sở hữu nhà ở và tài</w:t>
            </w:r>
            <w:r>
              <w:rPr>
                <w:rFonts w:ascii="Times New Roman" w:hAnsi="Times New Roman" w:eastAsia="Times New Roman" w:cs="Times New Roman"/>
                <w:b/>
                <w:color w:val="000000"/>
                <w:sz w:val="24"/>
              </w:rPr>
              <w:t xml:space="preserve"> sản khác gắn liền với đất số: CL 991067, số vào sổ cấp GCN: CT 07016 do Sở Tài nguyên và Môi trường Tỉnh Phú Thọ cấp ngày 30/06/2020 cho Công ty Trách nhiệm hữu hạn Thương mại và Dịch vụ Lân Huế.</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87</w:t>
            </w:r>
            <w:r/>
          </w:p>
        </w:tc>
      </w:tr>
      <w:tr>
        <w:trPr>
          <w:trHeight w:val="960"/>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Soi Cả, xã Sơn Hùng, huyện Thanh Sơn, tỉnh Phú Thọ (Nay là xã Thanh Sơn, tỉnh Phú Thọ)</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6.086,7</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Riêng: 6086,7m2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Đến ngày 27 tháng 12 năm 2069</w:t>
            </w: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7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cho thuê đất trả tiền một lần.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01 mặt tiền + thoáng sau</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6m+ 5m vỉa hè</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6m+ 5m vỉa hè</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trong khu Soi Cả, xã Thanh Sơn, tỉnh Phú Thọ</w:t>
            </w:r>
            <w:r/>
          </w:p>
        </w:tc>
      </w:tr>
      <w:tr>
        <w:trPr>
          <w:trHeight w:val="1236"/>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7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 Tiếp giáp đường nhựa rộng khoảng 6m+ 5 m vỉa hè </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21.217618168740255, 105.17725488166585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324475" cy="26574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06119" name=""/>
                              <pic:cNvPicPr>
                                <a:picLocks noChangeAspect="1"/>
                              </pic:cNvPicPr>
                              <pic:nvPr/>
                            </pic:nvPicPr>
                            <pic:blipFill rotWithShape="1">
                              <a:blip r:embed="rId17"/>
                              <a:stretch/>
                            </pic:blipFill>
                            <pic:spPr bwMode="auto">
                              <a:xfrm>
                                <a:off x="0" y="0"/>
                                <a:ext cx="5324474" cy="2657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25pt;height:209.2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6086,7</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409,12</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53,98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7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7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kinh doanh </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768"/>
        </w:trPr>
        <w:tc>
          <w:tcPr>
            <w:tcBorders>
              <w:left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04"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gồm 5 nhà BTCT được xây dựng trên đất</w:t>
              <w:br/>
              <w:t xml:space="preserve"> + Các công trình chưa được chứng nhận trên GCN số CL 991067                                                          </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Công ty Cổ phần Thẩm định và Đầu tư Tài chính Hoa Sen thẩm định giá trị thị trường của tài sản căn cứ vào những giả định quan trọng sau đây:</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Báo cáo thẩm định giá này dựa vào các giả định đặc biệt tối quan trọng. Những giả định này bao gồm các thông tin do khách hàng cung cấp để sử dụng những thông số nhất định được trình bày và được nhấn mạnh trong báo cáo thẩm định giá. Công ty Cổ phần Thẩm đ</w:t>
      </w:r>
      <w:r>
        <w:rPr>
          <w:rFonts w:ascii="Times New Roman" w:hAnsi="Times New Roman" w:eastAsia="Times New Roman" w:cs="Times New Roman"/>
          <w:color w:val="000000"/>
          <w:sz w:val="24"/>
        </w:rPr>
        <w:t xml:space="preserve">ịnh và Đầu tư Tài chính Hoa Sen lưu ý rằng những chỉ tiêu này có thể phán ánh hoặc không phản ánh kỳ vọng thị trường hiện tại cho những dữ liệu đặc biệt chưa rõ ràng.</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thẩm định viên thu thập, cũng như các điều kiện và kỳ vọng tại thời điểm thẩm định giá phù hợp với các luật định, chính sách quản lý củ</w:t>
      </w:r>
      <w:r>
        <w:rPr>
          <w:rFonts w:ascii="Times New Roman" w:hAnsi="Times New Roman" w:eastAsia="Times New Roman" w:cs="Times New Roman"/>
          <w:color w:val="000000"/>
          <w:sz w:val="24"/>
        </w:rPr>
        <w:t xml:space="preserve">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w:t>
      </w:r>
      <w:r>
        <w:rPr>
          <w:rFonts w:ascii="Times New Roman" w:hAnsi="Times New Roman" w:eastAsia="Times New Roman" w:cs="Times New Roman"/>
          <w:color w:val="000000"/>
          <w:sz w:val="24"/>
        </w:rPr>
        <w:t xml:space="preserve">thẩm định giá này, Thẩm định viên không đảm bảo là các giả định làm cơ sở thẩm định giá là chính xác hoàn toàn.</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Chúng tôi giả định rằng thửa đất thẩm định giá không xảy ra tranh chấp với bất kỳ bên nào. Trường hợp sau ngày phát hành Chứng thư thẩm định giá, tài sản nêu trên xảy ra tranh chấp với một bên nào khác thì sẽ được tiến hành thẩm định ở một cuộc thẩm định g</w:t>
      </w:r>
      <w:r>
        <w:rPr>
          <w:rFonts w:ascii="Times New Roman" w:hAnsi="Times New Roman" w:eastAsia="Times New Roman" w:cs="Times New Roman"/>
          <w:color w:val="000000"/>
          <w:sz w:val="24"/>
        </w:rPr>
        <w:t xml:space="preserve">iá khác.</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bảo lưu quyền xem xét lại báo cáo định giá nếu các giả định trên được chứng minh là không chính xác.</w:t>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357"/>
        <w:jc w:val="both"/>
        <w:rPr/>
      </w:pPr>
      <w:r>
        <w:rPr>
          <w:rFonts w:ascii="Times New Roman" w:hAnsi="Times New Roman" w:eastAsia="Times New Roman" w:cs="Times New Roman"/>
          <w:color w:val="000000"/>
          <w:spacing w:val="-2"/>
          <w:sz w:val="24"/>
        </w:rPr>
        <w:t xml:space="preserve">Căn cứ vào mục đích thẩm định giá, đặc điểm của tài sản thẩm định giá và cơ sở giá trị thẩm định giá tài sản,</w:t>
      </w:r>
      <w:r>
        <w:rPr>
          <w:rFonts w:ascii="Times New Roman" w:hAnsi="Times New Roman" w:eastAsia="Times New Roman" w:cs="Times New Roman"/>
          <w:color w:val="000000"/>
          <w:sz w:val="24"/>
        </w:rPr>
        <w:t xml:space="preserve"> tại thời điểm và khu vực thẩm định giá, tổ thẩm định không thu thập được các tài sản so sánh có mục đích tương tự giống tài sản thẩm định là đất thương mại dịch vụ, Công ty Cổ phần Thẩm định và Đầu tư Tài chính Hoa Sen </w:t>
      </w:r>
      <w:r>
        <w:rPr>
          <w:rFonts w:ascii="Times New Roman" w:hAnsi="Times New Roman" w:eastAsia="Times New Roman" w:cs="Times New Roman"/>
          <w:color w:val="000000"/>
          <w:spacing w:val="-2"/>
          <w:sz w:val="24"/>
        </w:rPr>
        <w:t xml:space="preserve">lựa chọn phương pháp so sánh (cách tiếp cận từ thị trường) để xác định đơn giá với mục đích sử dụng đất là đất ở của tài sản thẩm định giá</w:t>
      </w:r>
      <w:r>
        <w:rPr>
          <w:rFonts w:ascii="Times New Roman" w:hAnsi="Times New Roman" w:eastAsia="Times New Roman" w:cs="Times New Roman"/>
          <w:color w:val="000000"/>
          <w:sz w:val="24"/>
        </w:rPr>
        <w:t xml:space="preserve"> và vận dụng Nghị quyết số: 85/2025/NQ-HĐND ngày 30 tháng 12 năm 2025 do Hội Đồng Nhân Dân tỉnh Phú Thọ ban hành Quyết định bảng giá đất lần đầu áp dụng từ ngày 01 tháng 01 năm 2026 trên địa bàn Tỉnh Phú Thọ và các văn bản liên quan để xác định giá trị quy</w:t>
      </w:r>
      <w:r>
        <w:rPr>
          <w:rFonts w:ascii="Times New Roman" w:hAnsi="Times New Roman" w:eastAsia="Times New Roman" w:cs="Times New Roman"/>
          <w:color w:val="000000"/>
          <w:sz w:val="24"/>
        </w:rPr>
        <w:t xml:space="preserve">ền sử dụng đất thương mại, dịch vụ của tài sản thẩm định.</w:t>
      </w: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Bdr>
          <w:top w:val="none" w:color="000000" w:sz="4" w:space="0"/>
          <w:left w:val="none" w:color="000000" w:sz="4" w:space="0"/>
          <w:bottom w:val="none" w:color="000000" w:sz="4" w:space="0"/>
          <w:right w:val="none" w:color="000000" w:sz="4" w:space="0"/>
        </w:pBdr>
        <w:spacing w:after="200" w:line="276" w:lineRule="auto"/>
        <w:ind w:right="0" w:firstLine="360" w:left="0"/>
        <w:jc w:val="both"/>
        <w:rPr/>
      </w:pPr>
      <w:r>
        <w:rPr>
          <w:rFonts w:ascii="Times New Roman" w:hAnsi="Times New Roman" w:eastAsia="Times New Roman" w:cs="Times New Roman"/>
          <w:color w:val="000000"/>
          <w:sz w:val="24"/>
        </w:rPr>
        <w:t xml:space="preserve">Theo khảo sát thực tế trên các thửa đất hiện trên đất đang có 5 nhà kết cấu BTCT đã được xây dựng, nhưng chúng bên công ty chúng tôi không nhận được bất kỳ hồ dơ pháp lý nào liên quan đến các công trình trên đất này ngoài hồ sơ pháp lý của thửa đất. Ngoài </w:t>
      </w:r>
      <w:r>
        <w:rPr>
          <w:rFonts w:ascii="Times New Roman" w:hAnsi="Times New Roman" w:eastAsia="Times New Roman" w:cs="Times New Roman"/>
          <w:color w:val="000000"/>
          <w:sz w:val="24"/>
        </w:rPr>
        <w:t xml:space="preserve">ra Công ty Cổ phần Thẩm định và Đầu tư Tài chình Hoa Sen không nhận được hồ sơ pháp lý nào khác liên quan đến quy hoạch của các thửa đất cũng như hồ sơ chứng minh lợi ích mà các thửa đất mang lại trong tương lai, do đó chúng tôi chỉ thực hiện ước tính giá </w:t>
      </w:r>
      <w:r>
        <w:rPr>
          <w:rFonts w:ascii="Times New Roman" w:hAnsi="Times New Roman" w:eastAsia="Times New Roman" w:cs="Times New Roman"/>
          <w:color w:val="000000"/>
          <w:sz w:val="24"/>
        </w:rPr>
        <w:t xml:space="preserve">trị quyền sử dụng đất theo phương pháp so sánh kết hợp vận dụng các văn bản pháp luật liên quan. </w:t>
      </w:r>
      <w:r/>
    </w:p>
    <w:p>
      <w:pPr>
        <w:pBdr>
          <w:top w:val="none" w:color="000000" w:sz="4" w:space="0"/>
          <w:left w:val="none" w:color="000000" w:sz="4" w:space="0"/>
          <w:bottom w:val="none" w:color="000000" w:sz="4" w:space="0"/>
          <w:right w:val="none" w:color="000000" w:sz="4" w:space="0"/>
        </w:pBdr>
        <w:spacing w:after="200" w:line="276" w:lineRule="auto"/>
        <w:ind w:right="0" w:firstLine="360" w:left="0"/>
        <w:jc w:val="both"/>
        <w:rPr/>
      </w:pPr>
      <w:r>
        <w:rPr>
          <w:rFonts w:ascii="Times New Roman" w:hAnsi="Times New Roman" w:eastAsia="Times New Roman" w:cs="Times New Roman"/>
          <w:color w:val="000000"/>
          <w:sz w:val="24"/>
        </w:rPr>
        <w:t xml:space="preserve">Thông qua khảo sát tài sản thẩm định giá là các lô đất thương mại dịch vụ có địa chỉ tại Khu Soi Cả, xã Sơn Hùng, tỉnh Phú Thọ xung quanh khu vực thẩm định giá không có các tài sản có tính tương đồng về diện tích, mục đích sử dụng, vị trí,... chào bán tại </w:t>
      </w:r>
      <w:r>
        <w:rPr>
          <w:rFonts w:ascii="Times New Roman" w:hAnsi="Times New Roman" w:eastAsia="Times New Roman" w:cs="Times New Roman"/>
          <w:color w:val="000000"/>
          <w:sz w:val="24"/>
        </w:rPr>
        <w:t xml:space="preserve">thời điểm thẩm định giá. Do đó, tổ thẩm định tham khảo 01 thửa đất là đất ở tại nông thôn, có kích thước 15x20m, có vị trí tương đồng tài sản thẩm định, hình dáng cân đối, thời hạn sử dụng đất là lâu dài... làm tài sản tham chiếu. Sau đó điều chỉnh các yếu</w:t>
      </w:r>
      <w:r>
        <w:rPr>
          <w:rFonts w:ascii="Times New Roman" w:hAnsi="Times New Roman" w:eastAsia="Times New Roman" w:cs="Times New Roman"/>
          <w:color w:val="000000"/>
          <w:sz w:val="24"/>
        </w:rPr>
        <w:t xml:space="preserve"> tố khác biệt về diện tích, kích thước, mục đích sử dụng đất, thời hạn sử dụng đất để xác định đơn giá của tài sản thẩm định. Tổ thẩm định tham khảo được một số thông tin rao bán các loại đất xung quanh khu vực và lựa chọn tài sản so sánh như sau:</w:t>
      </w:r>
      <w:r>
        <w:rPr>
          <w:rFonts w:ascii="Times New Roman" w:hAnsi="Times New Roman" w:eastAsia="Times New Roman" w:cs="Times New Roman"/>
          <w:sz w:val="24"/>
        </w:rPr>
      </w: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41"/>
        <w:gridCol w:w="1760"/>
        <w:gridCol w:w="1861"/>
        <w:gridCol w:w="1861"/>
        <w:gridCol w:w="1861"/>
        <w:gridCol w:w="186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4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 tham chiếu</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6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spacing w:after="0" w:before="0" w:line="240" w:lineRule="auto"/>
              <w:ind/>
              <w:rPr/>
            </w:pPr>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Dự án Thanh Sơn Riversise, xã Thanh Sơn, tỉnh Phú Thọ</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Dự án Thanh Sơn Riversise, xã Thanh Sơn, tỉnh Phú Thọ</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Dự án Thanh Sơn Riversise, xã Thanh Sơn, tỉnh Phú Thọ</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Dự án Thanh Sơn Riversise, xã Thanh Sơn, tỉnh Phú Thọ</w:t>
            </w:r>
            <w:r/>
          </w:p>
        </w:tc>
      </w:tr>
      <w:tr>
        <w:trPr>
          <w:trHeight w:val="831"/>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u w:val="single"/>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u w:val="single"/>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u w:val="single"/>
              </w:rPr>
              <w:t xml:space="preserve">Liên hệ trực tiếp</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Kenlly Nguyễn Tùng 09791496540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Kenlly Nguyễn Tùng 09791496540</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0963938961</w:t>
              <w:br/>
              <w:t xml:space="preserve"> (Sale Thủy)</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06/2025</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06/2025</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06/2025</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119"/>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1104"/>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khu Soi Cả, xã Thanh Sơn, tỉnh Phú Thọ</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khu Soi Cả, xã Thanh Sơn, tỉnh Phú Thọ</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khu Soi Cả, xã Thanh Sơn, tỉnh Phú Thọ</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khu Soi Cả, xã Thanh Sơn, tỉnh Phú Thọ</w:t>
            </w:r>
            <w:r/>
          </w:p>
        </w:tc>
      </w:tr>
      <w:tr>
        <w:trPr>
          <w:trHeight w:val="1209"/>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nội bộ khu đô thị. Đường nhựa lòng đường 6m, vỉa hè 5m</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nội bộ khu đô thị. Đường nhựa lòng đường 6m, vỉa hè 5m</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nội bộ khu đô thị. Đường nhựa lòng đường 6m, vỉa hè 5m</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nội bộ khu đô thị. Đường nhựa lòng đường 6m, vỉa hè 5m</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24,6</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 + thoáng sau</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5.842.500.000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7.055.900.000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3.917.000.000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5.258.250.000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6.350.310.000</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3.525.300.000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spacing w:after="0" w:before="0" w:line="240" w:lineRule="auto"/>
              <w:ind/>
              <w:rPr/>
            </w:pPr>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5.258.250.000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6.350.310.000</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3.525.300.000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18.450.000</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16.650.000</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18.360.938</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27"/>
        <w:gridCol w:w="1887"/>
        <w:gridCol w:w="847"/>
        <w:gridCol w:w="1619"/>
        <w:gridCol w:w="1620"/>
        <w:gridCol w:w="1620"/>
        <w:gridCol w:w="1620"/>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 tham chiếu</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5.258.250.000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6.350.310.000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3.525.300.000</w:t>
            </w:r>
            <w:r/>
          </w:p>
        </w:tc>
      </w:tr>
      <w:tr>
        <w:trPr>
          <w:trHeight w:val="55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18.360.938</w:t>
            </w:r>
            <w:r/>
          </w:p>
        </w:tc>
      </w:tr>
      <w:tr>
        <w:trPr>
          <w:trHeight w:val="525"/>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18.360.938 </w:t>
            </w:r>
            <w:r/>
          </w:p>
        </w:tc>
      </w:tr>
      <w:tr>
        <w:trPr>
          <w:trHeight w:val="27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nông thôn</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nông thôn</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nông thôn</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tại nông thôn</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18.360.938 </w:t>
            </w:r>
            <w:r/>
          </w:p>
        </w:tc>
      </w:tr>
      <w:tr>
        <w:trPr>
          <w:trHeight w:val="1369"/>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khu Soi Cả, xã Thanh Sơn, tỉnh Phú Thọ</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khu Soi Cả, xã Thanh Sơn, tỉnh Phú Thọ</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khu Soi Cả, xã Thanh Sơn, tỉnh Phú Thọ</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trong khu Soi Cả, xã Thanh Sơn, tỉnh Phú Thọ</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18.360.938 </w:t>
            </w:r>
            <w:r/>
          </w:p>
        </w:tc>
      </w:tr>
      <w:tr>
        <w:trPr>
          <w:trHeight w:val="828"/>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nội bộ khu đô thị. Đường nhựa lòng đường 6m, vỉa hè 5m</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nội bộ khu đô thị. Đường nhựa lòng đường 6m, vỉa hè 5m</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nội bộ khu đô thị. Đường nhựa lòng đường 6m, vỉa hè 5m</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nội bộ khu đô thị. Đường nhựa lòng đường 6m, vỉa hè 5m</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18.360.938 </w:t>
            </w:r>
            <w:r/>
          </w:p>
        </w:tc>
      </w:tr>
      <w:tr>
        <w:trPr>
          <w:trHeight w:val="27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285</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381,4</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192</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499.500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-550.828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17.149.500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17.810.109 </w:t>
            </w:r>
            <w:r/>
          </w:p>
        </w:tc>
      </w:tr>
      <w:tr>
        <w:trPr>
          <w:trHeight w:val="27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15,46</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-918.047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17.149.500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16.892.063 </w:t>
            </w:r>
            <w:r/>
          </w:p>
        </w:tc>
      </w:tr>
      <w:tr>
        <w:trPr>
          <w:trHeight w:val="55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 + thoáng sau</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-553.500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-499.500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-550.828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17.896.500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16.341.234 </w:t>
            </w:r>
            <w:r/>
          </w:p>
        </w:tc>
      </w:tr>
      <w:tr>
        <w:trPr>
          <w:trHeight w:val="55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17.896.500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16.341.234 </w:t>
            </w:r>
            <w:r/>
          </w:p>
        </w:tc>
      </w:tr>
      <w:tr>
        <w:trPr>
          <w:trHeight w:val="55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17.896.500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16.341.234 </w:t>
            </w:r>
            <w:r/>
          </w:p>
        </w:tc>
      </w:tr>
      <w:tr>
        <w:trPr>
          <w:trHeight w:val="27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17.896.500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16.341.234 </w:t>
            </w:r>
            <w:r/>
          </w:p>
        </w:tc>
      </w:tr>
      <w:tr>
        <w:trPr>
          <w:trHeight w:val="27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17.896.500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16.650.000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16.341.234 </w:t>
            </w:r>
            <w:r/>
          </w:p>
        </w:tc>
      </w:tr>
      <w:tr>
        <w:trPr>
          <w:trHeight w:val="27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647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16.962.578 </w:t>
            </w:r>
            <w:r/>
          </w:p>
        </w:tc>
      </w:tr>
      <w:tr>
        <w:trPr>
          <w:trHeight w:val="30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w:t>
            </w:r>
            <w:r/>
          </w:p>
        </w:tc>
      </w:tr>
      <w:tr>
        <w:trPr>
          <w:trHeight w:val="828"/>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553.500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999.000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2.019.703 </w:t>
            </w:r>
            <w:r/>
          </w:p>
        </w:tc>
      </w:tr>
      <w:tr>
        <w:trPr>
          <w:trHeight w:val="55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76"/>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- 3%</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- 3%</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- 5%</w:t>
            </w:r>
            <w:r/>
          </w:p>
        </w:tc>
      </w:tr>
      <w:tr>
        <w:trPr>
          <w:trHeight w:val="55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4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0" w:type="dxa"/>
              <w:top w:w="0" w:type="dxa"/>
              <w:right w:w="0" w:type="dxa"/>
              <w:bottom w:w="0" w:type="dxa"/>
            </w:tcMar>
            <w:tcW w:w="18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0" w:type="dxa"/>
              <w:top w:w="0" w:type="dxa"/>
              <w:right w:w="0" w:type="dxa"/>
              <w:bottom w:w="0" w:type="dxa"/>
            </w:tcMar>
            <w:tcW w:w="8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0" w:type="dxa"/>
              <w:top w:w="0" w:type="dxa"/>
              <w:right w:w="0" w:type="dxa"/>
              <w:bottom w:w="0" w:type="dxa"/>
            </w:tcMar>
            <w:tcW w:w="161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553.500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62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2.019.703 </w:t>
            </w:r>
            <w:r/>
          </w:p>
        </w:tc>
      </w:tr>
    </w:tbl>
    <w:p>
      <w:pPr>
        <w:pBdr/>
        <w:tabs>
          <w:tab w:val="left" w:leader="none" w:pos="720"/>
        </w:tabs>
        <w:spacing w:after="120" w:before="120" w:line="276" w:lineRule="auto"/>
        <w:ind w:firstLine="0" w:left="284"/>
        <w:jc w:val="both"/>
        <w:rPr>
          <w:b/>
          <w:bCs/>
          <w:lang w:val="nl-NL"/>
        </w:rPr>
      </w:pPr>
      <w:r>
        <w:rPr>
          <w:b/>
          <w:highlight w:val="none"/>
          <w:lang w:val="nl-NL" w:bidi="nl-NL"/>
        </w:rPr>
      </w:r>
      <w:r>
        <w:rPr>
          <w:b/>
          <w:highlight w:val="none"/>
          <w:lang w:val="nl-NL"/>
        </w:rPr>
      </w:r>
      <w:r>
        <w:rPr>
          <w:b/>
          <w:bCs/>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-3,7</w:t>
      </w:r>
      <w:r>
        <w:t xml:space="preserve">% đến</w:t>
      </w:r>
      <w:r>
        <w:t xml:space="preserve"> </w:t>
      </w:r>
      <w:r>
        <w:t xml:space="preserve"> </w:t>
      </w:r>
      <w:r>
        <w:t xml:space="preserve">5,5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17.896.500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5.965.500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16.650.000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5.550.000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16.341.234</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5.447.078</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16.962.578</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17.000.000</w:t>
            </w:r>
            <w:r/>
          </w:p>
        </w:tc>
      </w:tr>
    </w:tbl>
    <w:p>
      <w:pPr>
        <w:pBdr>
          <w:top w:val="none" w:color="000000" w:sz="4" w:space="0"/>
          <w:left w:val="none" w:color="000000" w:sz="4" w:space="0"/>
          <w:bottom w:val="none" w:color="000000" w:sz="4" w:space="0"/>
          <w:right w:val="none" w:color="000000" w:sz="4" w:space="0"/>
        </w:pBdr>
        <w:spacing w:after="120" w:before="120" w:line="300" w:lineRule="auto"/>
        <w:ind w:right="28" w:firstLine="0" w:left="0"/>
        <w:jc w:val="both"/>
        <w:rPr/>
      </w:pPr>
      <w:r>
        <w:rPr>
          <w:rFonts w:ascii="Times New Roman" w:hAnsi="Times New Roman" w:eastAsia="Times New Roman" w:cs="Times New Roman"/>
          <w:color w:val="000000"/>
          <w:sz w:val="24"/>
        </w:rPr>
        <w:t xml:space="preserve">Tổ thẩm định đánh giá chất lượng thông tin về các tài sản so sánh là tương đương nhau, khả năng giao dịch thành công của các mức giá chỉ dẫn là như nhau. Vì vậy, Thẩm định viên ước tính đơn giá thị trường của tài sản tham chiếu bằng giá bình quân sau điều </w:t>
      </w:r>
      <w:r>
        <w:rPr>
          <w:rFonts w:ascii="Times New Roman" w:hAnsi="Times New Roman" w:eastAsia="Times New Roman" w:cs="Times New Roman"/>
          <w:color w:val="000000"/>
          <w:sz w:val="24"/>
        </w:rPr>
        <w:t xml:space="preserve">chỉnh của cả 03 tài sản so sánh là: </w:t>
      </w:r>
      <w:r>
        <w:rPr>
          <w:rFonts w:ascii="Times New Roman" w:hAnsi="Times New Roman" w:eastAsia="Times New Roman" w:cs="Times New Roman"/>
          <w:b/>
          <w:color w:val="000000"/>
          <w:sz w:val="24"/>
        </w:rPr>
        <w:t xml:space="preserve">17.000.000</w:t>
      </w:r>
      <w:r>
        <w:rPr>
          <w:rFonts w:ascii="Times New Roman" w:hAnsi="Times New Roman" w:eastAsia="Times New Roman" w:cs="Times New Roman"/>
          <w:color w:val="000000"/>
          <w:sz w:val="24"/>
        </w:rPr>
        <w:t xml:space="preserve"> đồng/m² đối với đất ở diện tích 300 m², mặt tiền 15m.</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của tài sản thẩm định:</w:t>
      </w:r>
      <w:r/>
    </w:p>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b/>
          <w:color w:val="000000"/>
          <w:sz w:val="24"/>
        </w:rPr>
        <w:t xml:space="preserve">Ước tính đơn giá đất ở tại vị trí và cùng các thông số với tài sản thẩm định giá:</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46"/>
        <w:gridCol w:w="2835"/>
        <w:gridCol w:w="1453"/>
        <w:gridCol w:w="2658"/>
        <w:gridCol w:w="1454"/>
      </w:tblGrid>
      <w:tr>
        <w:trPr>
          <w:trHeight w:val="3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b/>
                <w:color w:val="000000"/>
                <w:sz w:val="22"/>
              </w:rPr>
              <w:t xml:space="preserve">Tiêu chí</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b/>
                <w:color w:val="000000"/>
                <w:sz w:val="22"/>
              </w:rPr>
              <w:t xml:space="preserve">TSTC</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5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b/>
                <w:color w:val="000000"/>
                <w:sz w:val="22"/>
              </w:rPr>
              <w:t xml:space="preserve">Điều chỉnh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both"/>
              <w:rPr/>
            </w:pPr>
            <w:r>
              <w:rPr>
                <w:rFonts w:ascii="Times New Roman" w:hAnsi="Times New Roman" w:eastAsia="Times New Roman" w:cs="Times New Roman"/>
                <w:color w:val="000000"/>
                <w:sz w:val="22"/>
              </w:rPr>
              <w:t xml:space="preserve">Diện tích (m2)</w:t>
            </w:r>
            <w:r/>
          </w:p>
        </w:tc>
        <w:tc>
          <w:tcPr>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300</w:t>
            </w:r>
            <w:r/>
          </w:p>
        </w:tc>
        <w:tc>
          <w:tcPr>
            <w:tcBorders>
              <w:bottom w:val="single" w:color="000000" w:sz="8" w:space="0"/>
              <w:right w:val="single" w:color="000000" w:sz="8" w:space="0"/>
            </w:tcBorders>
            <w:tcMar>
              <w:left w:w="108" w:type="dxa"/>
              <w:top w:w="0" w:type="dxa"/>
              <w:right w:w="108" w:type="dxa"/>
              <w:bottom w:w="0" w:type="dxa"/>
            </w:tcMar>
            <w:tcW w:w="265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6086,7</w:t>
            </w:r>
            <w:r/>
          </w:p>
        </w:tc>
        <w:tc>
          <w:tcPr>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-35%</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65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409,12</w:t>
            </w:r>
            <w:r/>
          </w:p>
        </w:tc>
        <w:tc>
          <w:tcPr>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20%</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both"/>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65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53,98</w:t>
            </w:r>
            <w:r/>
          </w:p>
        </w:tc>
        <w:tc>
          <w:tcPr>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-10%</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both"/>
              <w:rPr/>
            </w:pPr>
            <w:r>
              <w:rPr>
                <w:rFonts w:ascii="Times New Roman" w:hAnsi="Times New Roman" w:eastAsia="Times New Roman" w:cs="Times New Roman"/>
                <w:color w:val="000000"/>
                <w:sz w:val="22"/>
              </w:rPr>
              <w:t xml:space="preserve">Hình dáng</w:t>
            </w:r>
            <w:r/>
          </w:p>
        </w:tc>
        <w:tc>
          <w:tcPr>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65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Đa giác</w:t>
            </w:r>
            <w:r/>
          </w:p>
        </w:tc>
        <w:tc>
          <w:tcPr>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-3%</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both"/>
              <w:rPr/>
            </w:pPr>
            <w:r>
              <w:rPr>
                <w:rFonts w:ascii="Times New Roman" w:hAnsi="Times New Roman" w:eastAsia="Times New Roman" w:cs="Times New Roman"/>
                <w:color w:val="000000"/>
                <w:sz w:val="22"/>
              </w:rPr>
              <w:t xml:space="preserve">Cộng tỷ lệ điều chỉnh</w:t>
            </w:r>
            <w:r/>
          </w:p>
        </w:tc>
        <w:tc>
          <w:tcPr>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65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-28%</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both"/>
              <w:rPr/>
            </w:pPr>
            <w:r>
              <w:rPr>
                <w:rFonts w:ascii="Times New Roman" w:hAnsi="Times New Roman" w:eastAsia="Times New Roman" w:cs="Times New Roman"/>
                <w:color w:val="000000"/>
                <w:sz w:val="22"/>
              </w:rPr>
              <w:t xml:space="preserve">Đơn giá đất ở  của TSTC (đồng/m2)</w:t>
            </w:r>
            <w:r/>
          </w:p>
        </w:tc>
        <w:tc>
          <w:tcPr>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17.000.000</w:t>
            </w:r>
            <w:r/>
          </w:p>
        </w:tc>
        <w:tc>
          <w:tcPr>
            <w:tcBorders>
              <w:bottom w:val="single" w:color="000000" w:sz="8" w:space="0"/>
              <w:right w:val="single" w:color="000000" w:sz="8" w:space="0"/>
            </w:tcBorders>
            <w:tcMar>
              <w:left w:w="108" w:type="dxa"/>
              <w:top w:w="0" w:type="dxa"/>
              <w:right w:w="108" w:type="dxa"/>
              <w:bottom w:w="0" w:type="dxa"/>
            </w:tcMar>
            <w:tcW w:w="265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 </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6"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83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both"/>
              <w:rPr/>
            </w:pPr>
            <w:r>
              <w:rPr>
                <w:rFonts w:ascii="Times New Roman" w:hAnsi="Times New Roman" w:eastAsia="Times New Roman" w:cs="Times New Roman"/>
                <w:color w:val="000000"/>
                <w:sz w:val="22"/>
              </w:rPr>
              <w:t xml:space="preserve">Đơn giá với mục đích sử dụng đất là đất ở  của TSTĐ (đồng/m2)</w:t>
            </w:r>
            <w:r/>
          </w:p>
        </w:tc>
        <w:tc>
          <w:tcPr>
            <w:tcBorders>
              <w:bottom w:val="single" w:color="000000" w:sz="8" w:space="0"/>
              <w:right w:val="single" w:color="000000" w:sz="8" w:space="0"/>
            </w:tcBorders>
            <w:tcMar>
              <w:left w:w="108" w:type="dxa"/>
              <w:top w:w="0" w:type="dxa"/>
              <w:right w:w="108" w:type="dxa"/>
              <w:bottom w:w="0" w:type="dxa"/>
            </w:tcMar>
            <w:tcW w:w="145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65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 17.000.000 * (1-28%) = 12.240.000</w:t>
            </w:r>
            <w:r/>
          </w:p>
        </w:tc>
        <w:tc>
          <w:tcPr>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ind w:right="0" w:firstLine="0" w:left="0"/>
              <w:jc w:val="center"/>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b/>
          <w:color w:val="000000"/>
          <w:sz w:val="24"/>
        </w:rPr>
        <w:t xml:space="preserve">Ước tính đơn giá đất thương mại, dịch vụ của tài sản thẩm định giá:</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Times New Roman" w:hAnsi="Times New Roman" w:eastAsia="Times New Roman" w:cs="Times New Roman"/>
          <w:i/>
          <w:color w:val="000000"/>
          <w:sz w:val="24"/>
        </w:rPr>
        <w:t xml:space="preserve">Căn cứ vào </w:t>
      </w:r>
      <w:r>
        <w:rPr>
          <w:rFonts w:ascii="Times New Roman" w:hAnsi="Times New Roman" w:eastAsia="Times New Roman" w:cs="Times New Roman"/>
          <w:color w:val="000000"/>
          <w:sz w:val="24"/>
        </w:rPr>
        <w:t xml:space="preserve">Nghị quyết số: 85/2025/NQ-HĐND ngày 30 tháng 12 năm 2025 do Hội Đồng Nhân Dân tỉnh Phú Thọ ban hành Quyết định bảng giá đất lần đầu áp dụng từ ngày 01 tháng 01 năm 2026 trên địa bàn Tỉnh Phú Thọ.</w:t>
      </w:r>
      <w:r/>
    </w:p>
    <w:p>
      <w:pPr>
        <w:pBdr>
          <w:top w:val="none" w:color="000000" w:sz="4" w:space="0"/>
          <w:left w:val="none" w:color="000000" w:sz="4" w:space="0"/>
          <w:bottom w:val="none" w:color="000000" w:sz="4" w:space="0"/>
          <w:right w:val="none" w:color="000000" w:sz="4" w:space="0"/>
        </w:pBdr>
        <w:spacing w:before="120"/>
        <w:ind w:right="0" w:firstLine="0" w:left="0"/>
        <w:jc w:val="both"/>
        <w:rPr/>
      </w:pPr>
      <w:r>
        <w:rPr>
          <w:rFonts w:ascii="Times New Roman" w:hAnsi="Times New Roman" w:eastAsia="Times New Roman" w:cs="Times New Roman"/>
          <w:color w:val="000000"/>
          <w:sz w:val="24"/>
        </w:rPr>
        <w:t xml:space="preserve">Tại Phụ lục số 52: Bảng giá đất ở; đất thương mại, dịch vụ; đất cơ sở sản xuất phi nông nghiệp thuộc địa bàn xã Thanh Sơn</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413"/>
        <w:gridCol w:w="2268"/>
        <w:gridCol w:w="1843"/>
        <w:gridCol w:w="1944"/>
        <w:gridCol w:w="1883"/>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đường, phố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Đoạn đường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đất ở (Nghìn đồng/m2)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đất thương mại, dịch vụ (Nghìn đồng/m2)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Đơn giá đất TMDV/ Đơn giá đất ở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dân cư Soi Cả</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13,5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9.600</w:t>
            </w:r>
            <w:r/>
          </w:p>
        </w:tc>
        <w:tc>
          <w:tcPr>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4.800</w:t>
            </w:r>
            <w:r/>
          </w:p>
        </w:tc>
        <w:tc>
          <w:tcPr>
            <w:tcBorders>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r>
      <w:tr>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20,5 m; 27 m (Từ BT3 đến BT13 và DV3 đến BT5)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13.200</w:t>
            </w:r>
            <w:r/>
          </w:p>
        </w:tc>
        <w:tc>
          <w:tcPr>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6.600</w:t>
            </w:r>
            <w:r/>
          </w:p>
        </w:tc>
        <w:tc>
          <w:tcPr>
            <w:tcBorders>
              <w:bottom w:val="single" w:color="000000" w:sz="8" w:space="0"/>
              <w:right w:val="single" w:color="000000" w:sz="8" w:space="0"/>
            </w:tcBorders>
            <w:tcMar>
              <w:left w:w="108" w:type="dxa"/>
              <w:top w:w="0" w:type="dxa"/>
              <w:right w:w="108" w:type="dxa"/>
              <w:bottom w:w="0" w:type="dxa"/>
            </w:tcMar>
            <w:tcW w:w="18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r>
    </w:tbl>
    <w:p>
      <w:pPr>
        <w:pBdr>
          <w:top w:val="none" w:color="000000" w:sz="4" w:space="0"/>
          <w:left w:val="none" w:color="000000" w:sz="4" w:space="0"/>
          <w:bottom w:val="none" w:color="000000" w:sz="4" w:space="0"/>
          <w:right w:val="none" w:color="000000" w:sz="4" w:space="0"/>
        </w:pBdr>
        <w:spacing w:after="100" w:before="100" w:line="276" w:lineRule="auto"/>
        <w:ind w:right="29" w:firstLine="0" w:left="0"/>
        <w:jc w:val="both"/>
        <w:rPr/>
      </w:pPr>
      <w:r>
        <w:rPr>
          <w:rFonts w:ascii="Times New Roman" w:hAnsi="Times New Roman" w:eastAsia="Times New Roman" w:cs="Times New Roman"/>
          <w:i/>
          <w:color w:val="000000"/>
          <w:sz w:val="24"/>
        </w:rPr>
        <w:t xml:space="preserve">Theo đó, tổ thẩm định áp dụng tỷ lệ đơn giá đất thương mại dịch vụ / đơn giá đất ở là 50%.</w:t>
      </w:r>
      <w:r/>
    </w:p>
    <w:p>
      <w:pPr>
        <w:pBdr>
          <w:top w:val="none" w:color="000000" w:sz="4" w:space="0"/>
          <w:left w:val="none" w:color="000000" w:sz="4" w:space="0"/>
          <w:bottom w:val="none" w:color="000000" w:sz="4" w:space="0"/>
          <w:right w:val="none" w:color="000000" w:sz="4" w:space="0"/>
        </w:pBdr>
        <w:spacing w:after="100" w:before="100" w:line="276" w:lineRule="auto"/>
        <w:ind w:right="29" w:firstLine="0" w:left="0"/>
        <w:jc w:val="both"/>
        <w:rPr/>
      </w:pPr>
      <w:r>
        <w:rPr>
          <w:rFonts w:ascii="Times New Roman" w:hAnsi="Times New Roman" w:eastAsia="Times New Roman" w:cs="Times New Roman"/>
          <w:b/>
          <w:i/>
          <w:color w:val="000000"/>
          <w:sz w:val="24"/>
        </w:rPr>
        <w:t xml:space="preserve">Xác định đơn giá đất thương mại, dịch vụ có thời hạn:</w:t>
      </w:r>
      <w:r/>
    </w:p>
    <w:tbl>
      <w:tblPr>
        <w:tblStyle w:val="103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3605"/>
        <w:gridCol w:w="3118"/>
        <w:gridCol w:w="2694"/>
      </w:tblGrid>
      <w:tr>
        <w:trPr>
          <w:trHeight w:val="42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spacing w:after="0" w:before="0" w:line="240" w:lineRule="auto"/>
              <w:ind/>
              <w:rPr/>
            </w:pP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Đơn giá với mục đích sử dụng đất là đất ở  của TSTĐ</w:t>
            </w:r>
            <w:r/>
          </w:p>
        </w:tc>
        <w:tc>
          <w:tcPr>
            <w:tcBorders>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12.240.000</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Đồng/m²</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Tỷ lệ Đơn giá đất TMDV/ Đơn giá đất ở</w:t>
            </w:r>
            <w:r/>
          </w:p>
        </w:tc>
        <w:tc>
          <w:tcPr>
            <w:tcBorders>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Đơn giá đất TMDV</w:t>
            </w:r>
            <w:r/>
          </w:p>
        </w:tc>
        <w:tc>
          <w:tcPr>
            <w:tcBorders>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6.120.000</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Đồng/m²</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Thời hạn SD đất TMDV</w:t>
            </w:r>
            <w:r/>
          </w:p>
        </w:tc>
        <w:tc>
          <w:tcPr>
            <w:tcBorders>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27/12/2069</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Theo GCN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Ngày định giá</w:t>
            </w:r>
            <w:r/>
          </w:p>
        </w:tc>
        <w:tc>
          <w:tcPr>
            <w:tcBorders>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19/06/2026</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năm còn lại của TSTĐ</w:t>
            </w:r>
            <w:r/>
          </w:p>
        </w:tc>
        <w:tc>
          <w:tcPr>
            <w:tcBorders>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43,55</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năm</w:t>
            </w:r>
            <w:r/>
          </w:p>
        </w:tc>
      </w:tr>
      <w:tr>
        <w:trPr>
          <w:trHeight w:val="339"/>
        </w:trPr>
        <w:tc>
          <w:tcPr>
            <w:tcBorders>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Thời hạn SD đất theo quy định tại Khoản 1 và khoản 3, điều 12, Nghị định Số: 71/2024/NĐ-CP ngày 27/06/2024 do Chính phủ ban hành nghị định quy định về giá đất.</w:t>
            </w:r>
            <w:r/>
          </w:p>
        </w:tc>
        <w:tc>
          <w:tcPr>
            <w:tcBorders>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năm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36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Giá đất của thời hạn 43,55 năm (Làm tròn)</w:t>
            </w:r>
            <w:r/>
          </w:p>
        </w:tc>
        <w:tc>
          <w:tcPr>
            <w:tcBorders>
              <w:bottom w:val="single" w:color="000000" w:sz="8" w:space="0"/>
              <w:right w:val="single" w:color="000000" w:sz="8" w:space="0"/>
            </w:tcBorders>
            <w:tcMar>
              <w:left w:w="108" w:type="dxa"/>
              <w:top w:w="0" w:type="dxa"/>
              <w:right w:w="108" w:type="dxa"/>
              <w:bottom w:w="0" w:type="dxa"/>
            </w:tcMar>
            <w:tcW w:w="311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3.800.000</w:t>
            </w:r>
            <w:r/>
          </w:p>
        </w:tc>
        <w:tc>
          <w:tcPr>
            <w:tcBorders>
              <w:bottom w:val="single" w:color="000000" w:sz="8" w:space="0"/>
              <w:right w:val="single" w:color="000000" w:sz="8" w:space="0"/>
            </w:tcBorders>
            <w:tcMar>
              <w:left w:w="108" w:type="dxa"/>
              <w:top w:w="0" w:type="dxa"/>
              <w:right w:w="108" w:type="dxa"/>
              <w:bottom w:w="0" w:type="dxa"/>
            </w:tcMar>
            <w:tcW w:w="26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Đồng/m²</w:t>
            </w:r>
            <w:r/>
          </w:p>
        </w:tc>
      </w:tr>
    </w:tbl>
    <w:p>
      <w:pPr>
        <w:pStyle w:val="1035"/>
        <w:pBdr/>
        <w:spacing w:after="120" w:before="120" w:line="276" w:lineRule="auto"/>
        <w:ind w:left="357"/>
        <w:jc w:val="both"/>
        <w:rPr>
          <w:b/>
          <w:lang w:val="pt-BR"/>
        </w:rPr>
      </w:pPr>
      <w:r>
        <w:rPr>
          <w:b/>
          <w:lang w:val="pt-BR"/>
        </w:rPr>
      </w:r>
      <w:r>
        <w:rPr>
          <w:b/>
          <w:lang w:val="pt-BR"/>
        </w:rPr>
      </w:r>
      <w:r>
        <w:rPr>
          <w:b/>
          <w:lang w:val="pt-BR"/>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7"/>
        <w:gridCol w:w="2293"/>
        <w:gridCol w:w="284"/>
        <w:gridCol w:w="1984"/>
        <w:gridCol w:w="1866"/>
        <w:gridCol w:w="2386"/>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Đơn giá (đồng/m²)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Thành tiền (đồng) </w:t>
            </w:r>
            <w:r/>
          </w:p>
        </w:tc>
      </w:tr>
      <w:tr>
        <w:trPr>
          <w:trHeight w:val="148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19, tờ bản đồ số: 87 ( Bản đồ địa chính tỷ lệ 1/1000) có địa chỉ: Khu Soi Cả, xã Sơn Hùng, huyện Thanh Sơn, tỉnh Phú Thọ (Nay là xã Thanh Sơn, tỉnh Phú Thọ) theo Giấy chứng nhận quyền sử dụng dất, quyền sở hữu nhà ở và tà</w:t>
            </w:r>
            <w:r>
              <w:rPr>
                <w:rFonts w:ascii="Times New Roman" w:hAnsi="Times New Roman" w:eastAsia="Times New Roman" w:cs="Times New Roman"/>
                <w:b/>
                <w:color w:val="000000"/>
                <w:sz w:val="24"/>
              </w:rPr>
              <w:t xml:space="preserve">i sản khác gắn liền với đất  số: CL 991067, số vào sổ cấp GCN: CT 07016 do Sở Tài nguyên và Môi trường Tỉnh Phú Thọ cấp ngày 30/06/2020 cho Công ty Trách nhiệm hữu hạn Thương mại và Dịch vụ Lân Huế.</w:t>
              <w:tab/>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5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thương mại dịch vụ</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6086,7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3.800.000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23.129.460.000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23.129.460.000</w:t>
            </w:r>
            <w:r/>
          </w:p>
        </w:tc>
      </w:tr>
      <w:tr>
        <w:trPr>
          <w:trHeight w:val="5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23.129.000.000</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3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Bàng chữ: Hai mươi ba tỷ, một trăm hai mươi chín triệu đồng chẵn./.</w:t>
            </w:r>
            <w:r/>
          </w:p>
        </w:tc>
      </w:tr>
    </w:tbl>
    <w:p>
      <w:pPr>
        <w:pStyle w:val="1035"/>
        <w:pBdr/>
        <w:tabs>
          <w:tab w:val="left" w:leader="none" w:pos="993"/>
        </w:tabs>
        <w:spacing w:after="120" w:before="120" w:line="276" w:lineRule="auto"/>
        <w:ind w:left="0"/>
        <w:jc w:val="both"/>
        <w:rPr/>
      </w:pPr>
      <w:r>
        <w:rPr>
          <w:highlight w:val="none"/>
        </w:rPr>
      </w:r>
      <w:r>
        <w:rPr>
          <w:highlight w:val="none"/>
        </w:rPr>
      </w:r>
      <w:r/>
    </w:p>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w:t>
      </w:r>
      <w:r>
        <w:rPr>
          <w:rFonts w:ascii="Times New Roman" w:hAnsi="Times New Roman" w:eastAsia="Times New Roman" w:cs="Times New Roman"/>
          <w:color w:val="000000"/>
          <w:spacing w:val="-2"/>
          <w:sz w:val="24"/>
        </w:rPr>
        <w:t xml:space="preserve">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w:t>
      </w:r>
      <w:r>
        <w:rPr>
          <w:rFonts w:ascii="Times New Roman" w:hAnsi="Times New Roman" w:eastAsia="Times New Roman" w:cs="Times New Roman"/>
          <w:color w:val="000000"/>
          <w:spacing w:val="-2"/>
          <w:sz w:val="24"/>
        </w:rPr>
        <w:t xml:space="preserve">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w:t>
      </w:r>
      <w:r>
        <w:rPr>
          <w:rFonts w:ascii="Times New Roman" w:hAnsi="Times New Roman" w:eastAsia="Times New Roman" w:cs="Times New Roman"/>
          <w:color w:val="000000"/>
          <w:spacing w:val="-2"/>
          <w:sz w:val="24"/>
        </w:rPr>
        <w:t xml:space="preserve">g sử dụng bản báo cáo nên thận trọng trong việc làm rõ các tài liệu pháp lý có liên quan đến vấn đề này trước khi đưa ra các quyết định về tài sản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 trường. Kết quả thẩm định</w:t>
      </w:r>
      <w:r>
        <w:rPr>
          <w:rFonts w:ascii="Times New Roman" w:hAnsi="Times New Roman" w:eastAsia="Times New Roman" w:cs="Times New Roman"/>
          <w:color w:val="000000"/>
          <w:sz w:val="24"/>
        </w:rPr>
        <w:t xml:space="preserve"> giá có thể thay đổi khi các TSSS được giao dịch thành công. Khách hàng và các bên thứ ba khi sử dụng kết quả thẩm định giá cần lưu ý khi sử dụng Chứng thư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rPr>
        <w:t xml:space="preserve">kết quả…. và chấp nhận sử dụng tất cả nội dung được trình bày trong chứng thư này.</w:t>
      </w: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275/2026/0907/VFI-CT.53.A</w:t>
      </w:r>
      <w:r>
        <w:rPr>
          <w:color w:val="ff0000"/>
          <w:lang w:val="vi-VN"/>
        </w:rPr>
        <w:t xml:space="preserve"> </w:t>
      </w:r>
      <w:r>
        <w:rPr>
          <w:color w:val="000000" w:themeColor="text1"/>
        </w:rPr>
        <w:t xml:space="preserve">ngày 19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lang w:val="vi-VN"/>
        </w:rPr>
      </w:r>
    </w:p>
    <w:p>
      <w:pPr>
        <w:pStyle w:val="103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275/2026/0926/VFI-BC.53.A</w:t>
      </w:r>
      <w:r>
        <w:rPr>
          <w:i/>
          <w:lang w:val="pt-BR"/>
        </w:rPr>
        <w:t xml:space="preserve"> </w:t>
      </w:r>
      <w:r>
        <w:rPr>
          <w:i/>
          <w:lang w:val="pt-BR"/>
        </w:rPr>
        <w:t xml:space="preserve">ngày 19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Đưởng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4150" cy="20383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93791" name=""/>
                              <pic:cNvPicPr>
                                <a:picLocks noChangeAspect="1"/>
                              </pic:cNvPicPr>
                              <pic:nvPr/>
                            </pic:nvPicPr>
                            <pic:blipFill rotWithShape="1">
                              <a:blip r:embed="rId18"/>
                              <a:stretch/>
                            </pic:blipFill>
                            <pic:spPr bwMode="auto">
                              <a:xfrm>
                                <a:off x="0" y="0"/>
                                <a:ext cx="2724149" cy="2038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4.50pt;height:160.5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7475" cy="19907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48493" name=""/>
                              <pic:cNvPicPr>
                                <a:picLocks noChangeAspect="1"/>
                              </pic:cNvPicPr>
                              <pic:nvPr/>
                            </pic:nvPicPr>
                            <pic:blipFill rotWithShape="1">
                              <a:blip r:embed="rId19"/>
                              <a:stretch/>
                            </pic:blipFill>
                            <pic:spPr bwMode="auto">
                              <a:xfrm>
                                <a:off x="0" y="0"/>
                                <a:ext cx="2657474" cy="1990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9.25pt;height:156.7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0825" cy="20955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41142" name=""/>
                              <pic:cNvPicPr>
                                <a:picLocks noChangeAspect="1"/>
                              </pic:cNvPicPr>
                              <pic:nvPr/>
                            </pic:nvPicPr>
                            <pic:blipFill rotWithShape="1">
                              <a:blip r:embed="rId20"/>
                              <a:stretch/>
                            </pic:blipFill>
                            <pic:spPr bwMode="auto">
                              <a:xfrm>
                                <a:off x="0" y="0"/>
                                <a:ext cx="2790824" cy="2095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9.75pt;height:165.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4625" cy="20383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9113" name=""/>
                              <pic:cNvPicPr>
                                <a:picLocks noChangeAspect="1"/>
                              </pic:cNvPicPr>
                              <pic:nvPr/>
                            </pic:nvPicPr>
                            <pic:blipFill rotWithShape="1">
                              <a:blip r:embed="rId21"/>
                              <a:stretch/>
                            </pic:blipFill>
                            <pic:spPr bwMode="auto">
                              <a:xfrm>
                                <a:off x="0" y="0"/>
                                <a:ext cx="2714625" cy="2038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75pt;height:160.5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95575" cy="20288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76889" name=""/>
                              <pic:cNvPicPr>
                                <a:picLocks noChangeAspect="1"/>
                              </pic:cNvPicPr>
                              <pic:nvPr/>
                            </pic:nvPicPr>
                            <pic:blipFill rotWithShape="1">
                              <a:blip r:embed="rId22"/>
                              <a:stretch/>
                            </pic:blipFill>
                            <pic:spPr bwMode="auto">
                              <a:xfrm>
                                <a:off x="0" y="0"/>
                                <a:ext cx="2695574" cy="20288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25pt;height:159.7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86025" cy="18669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57031" name=""/>
                              <pic:cNvPicPr>
                                <a:picLocks noChangeAspect="1"/>
                              </pic:cNvPicPr>
                              <pic:nvPr/>
                            </pic:nvPicPr>
                            <pic:blipFill rotWithShape="1">
                              <a:blip r:embed="rId23"/>
                              <a:stretch/>
                            </pic:blipFill>
                            <pic:spPr bwMode="auto">
                              <a:xfrm>
                                <a:off x="0" y="0"/>
                                <a:ext cx="2486025" cy="1866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75pt;height:147.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275/2026/0926/VFI-BC.53.A</w:t>
      </w:r>
      <w:r>
        <w:rPr>
          <w:i/>
          <w:lang w:val="pt-BR"/>
        </w:rPr>
        <w:t xml:space="preserve"> </w:t>
      </w:r>
      <w:r>
        <w:rPr>
          <w:i/>
          <w:lang w:val="pt-BR"/>
        </w:rPr>
        <w:t xml:space="preserve">ngày19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20"/>
        <w:gridCol w:w="3140"/>
        <w:gridCol w:w="5479"/>
      </w:tblGrid>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2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14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47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Kenlly Nguyễn Tùng 09791496540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5.842.500.000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5.258.250.000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khu Soi Cả, xã Thanh Sơn, tỉnh Phú Thọ</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nội bộ khu đô thị. Đường nhựa lòng đường 6m, vỉa hè 5m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lỗi phong thủy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407"/>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314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333500" cy="20764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116028" name=""/>
                              <pic:cNvPicPr>
                                <a:picLocks noChangeAspect="1"/>
                              </pic:cNvPicPr>
                              <pic:nvPr/>
                            </pic:nvPicPr>
                            <pic:blipFill rotWithShape="1">
                              <a:blip r:embed="rId24"/>
                              <a:stretch/>
                            </pic:blipFill>
                            <pic:spPr bwMode="auto">
                              <a:xfrm>
                                <a:off x="0" y="0"/>
                                <a:ext cx="1333499" cy="2076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05.00pt;height:163.50pt;mso-wrap-distance-left:0.00pt;mso-wrap-distance-top:0.00pt;mso-wrap-distance-right:0.00pt;mso-wrap-distance-bottom:0.00pt;z-index:1;" stroked="false">
                      <v:imagedata r:id="rId24"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5479"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09650" cy="21812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07283" name=""/>
                              <pic:cNvPicPr>
                                <a:picLocks noChangeAspect="1"/>
                              </pic:cNvPicPr>
                              <pic:nvPr/>
                            </pic:nvPicPr>
                            <pic:blipFill rotWithShape="1">
                              <a:blip r:embed="rId25"/>
                              <a:stretch/>
                            </pic:blipFill>
                            <pic:spPr bwMode="auto">
                              <a:xfrm>
                                <a:off x="0" y="0"/>
                                <a:ext cx="1009649"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79.50pt;height:171.75pt;mso-wrap-distance-left:0.00pt;mso-wrap-distance-top:0.00pt;mso-wrap-distance-right:0.00pt;mso-wrap-distance-bottom:0.00pt;z-index:1;" stroked="false">
                      <v:imagedata r:id="rId25" o:title=""/>
                      <o:lock v:ext="edit" rotation="t"/>
                    </v:shape>
                  </w:pict>
                </mc:Fallback>
              </mc:AlternateConten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619"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495425" cy="2571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28766" name=""/>
                              <pic:cNvPicPr>
                                <a:picLocks noChangeAspect="1"/>
                              </pic:cNvPicPr>
                              <pic:nvPr/>
                            </pic:nvPicPr>
                            <pic:blipFill rotWithShape="1">
                              <a:blip r:embed="rId26"/>
                              <a:stretch/>
                            </pic:blipFill>
                            <pic:spPr bwMode="auto">
                              <a:xfrm>
                                <a:off x="0" y="0"/>
                                <a:ext cx="1495424" cy="2571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7.75pt;height:202.50pt;mso-wrap-distance-left:0.00pt;mso-wrap-distance-top:0.00pt;mso-wrap-distance-right:0.00pt;mso-wrap-distance-bottom:0.00pt;z-index:1;" stroked="false">
                      <v:imagedata r:id="rId26" o:title=""/>
                      <o:lock v:ext="edit" rotation="t"/>
                    </v:shape>
                  </w:pict>
                </mc:Fallback>
              </mc:AlternateContent>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Pr>
                <w:rFonts w:ascii="Times New Roman" w:hAnsi="Times New Roman" w:eastAsia="Times New Roman" w:cs="Times New Roman"/>
                <w:b/>
                <w:color w:val="000000"/>
                <w:sz w:val="24"/>
              </w:rP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36"/>
        <w:gridCol w:w="4055"/>
        <w:gridCol w:w="4895"/>
      </w:tblGrid>
      <w:tr>
        <w:trPr>
          <w:trHeight w:val="276"/>
        </w:trPr>
        <w:tc>
          <w:tcPr>
            <w:gridSpan w:val="3"/>
            <w:tcBorders/>
            <w:tcMar>
              <w:left w:w="108" w:type="dxa"/>
              <w:top w:w="0" w:type="dxa"/>
              <w:right w:w="108" w:type="dxa"/>
              <w:bottom w:w="0" w:type="dxa"/>
            </w:tcMar>
            <w:tcW w:w="9386"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cMar>
              <w:left w:w="108" w:type="dxa"/>
              <w:top w:w="0" w:type="dxa"/>
              <w:right w:w="108" w:type="dxa"/>
              <w:bottom w:w="0" w:type="dxa"/>
            </w:tcMar>
            <w:tcW w:w="436"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4055"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4895" w:type="dxa"/>
            <w:vAlign w:val="bottom"/>
            <w:textDirection w:val="lrTb"/>
            <w:noWrap/>
          </w:tcPr>
          <w:p>
            <w:pPr>
              <w:pBdr/>
              <w:spacing w:after="0" w:before="0" w:line="240" w:lineRule="auto"/>
              <w:ind/>
              <w:rPr/>
            </w:pPr>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3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05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89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TSSS2</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Kenlly Nguyễn Tùng 09791496540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7.055.900.000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6.350.310.000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Lâu dài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khu Soi Cả, xã Thanh Sơn, tỉnh Phú Thọ</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nội bộ khu đô thị. Đường nhựa lòng đường 6m, vỉa hè 5m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381,4</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15,46</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lỗi phong thủy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5"/>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5"/>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333500" cy="207645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8370" name=""/>
                              <pic:cNvPicPr>
                                <a:picLocks noChangeAspect="1"/>
                              </pic:cNvPicPr>
                              <pic:nvPr/>
                            </pic:nvPicPr>
                            <pic:blipFill rotWithShape="1">
                              <a:blip r:embed="rId27"/>
                              <a:stretch/>
                            </pic:blipFill>
                            <pic:spPr bwMode="auto">
                              <a:xfrm>
                                <a:off x="0" y="0"/>
                                <a:ext cx="1333499" cy="2076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5.00pt;height:163.50pt;mso-wrap-distance-left:0.00pt;mso-wrap-distance-top:0.00pt;mso-wrap-distance-right:0.00pt;mso-wrap-distance-bottom:0.00pt;z-index:1;" stroked="false">
                      <v:imagedata r:id="rId27"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09650" cy="21812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22658" name=""/>
                              <pic:cNvPicPr>
                                <a:picLocks noChangeAspect="1"/>
                              </pic:cNvPicPr>
                              <pic:nvPr/>
                            </pic:nvPicPr>
                            <pic:blipFill rotWithShape="1">
                              <a:blip r:embed="rId28"/>
                              <a:stretch/>
                            </pic:blipFill>
                            <pic:spPr bwMode="auto">
                              <a:xfrm>
                                <a:off x="0" y="0"/>
                                <a:ext cx="1009649"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79.50pt;height:171.75pt;mso-wrap-distance-left:0.00pt;mso-wrap-distance-top:0.00pt;mso-wrap-distance-right:0.00pt;mso-wrap-distance-bottom:0.00pt;z-index:1;" stroked="false">
                      <v:imagedata r:id="rId28" o:title=""/>
                      <o:lock v:ext="edit" rotation="t"/>
                    </v:shape>
                  </w:pict>
                </mc:Fallback>
              </mc:AlternateContent>
            </w:r>
            <w:r/>
          </w:p>
        </w:tc>
      </w:tr>
      <w:tr>
        <w:trPr>
          <w:trHeight w:val="205"/>
        </w:trPr>
        <w:tc>
          <w:tcPr>
            <w:tcBorders>
              <w:left w:val="single" w:color="000000" w:sz="8" w:space="0"/>
              <w:bottom w:val="single" w:color="000000" w:sz="8" w:space="0"/>
              <w:right w:val="single" w:color="000000" w:sz="8" w:space="0"/>
            </w:tcBorders>
            <w:tcMar>
              <w:left w:w="108" w:type="dxa"/>
              <w:top w:w="0" w:type="dxa"/>
              <w:right w:w="108" w:type="dxa"/>
              <w:bottom w:w="0" w:type="dxa"/>
            </w:tcMar>
            <w:tcW w:w="43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055"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495425" cy="25717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05277" name=""/>
                              <pic:cNvPicPr>
                                <a:picLocks noChangeAspect="1"/>
                              </pic:cNvPicPr>
                              <pic:nvPr/>
                            </pic:nvPicPr>
                            <pic:blipFill rotWithShape="1">
                              <a:blip r:embed="rId29"/>
                              <a:stretch/>
                            </pic:blipFill>
                            <pic:spPr bwMode="auto">
                              <a:xfrm>
                                <a:off x="0" y="0"/>
                                <a:ext cx="1495424" cy="2571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7.75pt;height:202.50pt;mso-wrap-distance-left:0.00pt;mso-wrap-distance-top:0.00pt;mso-wrap-distance-right:0.00pt;mso-wrap-distance-bottom:0.00pt;z-index:1;" stroked="false">
                      <v:imagedata r:id="rId29"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rFonts w:ascii="Times New Roman" w:hAnsi="Times New Roman" w:eastAsia="Times New Roman" w:cs="Times New Roman"/>
                <w:b/>
                <w:color w:val="000000"/>
                <w:sz w:val="24"/>
              </w:rP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9"/>
        <w:gridCol w:w="2911"/>
        <w:gridCol w:w="5594"/>
      </w:tblGrid>
      <w:tr>
        <w:trPr>
          <w:trHeight w:val="276"/>
        </w:trPr>
        <w:tc>
          <w:tcPr>
            <w:gridSpan w:val="3"/>
            <w:tcBorders/>
            <w:tcMar>
              <w:left w:w="108" w:type="dxa"/>
              <w:top w:w="0" w:type="dxa"/>
              <w:right w:w="108" w:type="dxa"/>
              <w:bottom w:w="0" w:type="dxa"/>
            </w:tcMar>
            <w:tcW w:w="9244"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cMar>
              <w:left w:w="108" w:type="dxa"/>
              <w:top w:w="0" w:type="dxa"/>
              <w:right w:w="108" w:type="dxa"/>
              <w:bottom w:w="0" w:type="dxa"/>
            </w:tcMar>
            <w:tcW w:w="739" w:type="dxa"/>
            <w:vAlign w:val="bottom"/>
            <w:textDirection w:val="lrTb"/>
            <w:noWrap/>
          </w:tcPr>
          <w:p>
            <w:pPr>
              <w:pBdr/>
              <w:spacing w:after="0" w:before="0" w:line="240" w:lineRule="auto"/>
              <w:ind/>
              <w:rPr/>
            </w:pPr>
            <w:r/>
            <w:r/>
          </w:p>
        </w:tc>
        <w:tc>
          <w:tcPr>
            <w:tcBorders/>
            <w:tcMar>
              <w:left w:w="108" w:type="dxa"/>
              <w:top w:w="0" w:type="dxa"/>
              <w:right w:w="108" w:type="dxa"/>
              <w:bottom w:w="0" w:type="dxa"/>
            </w:tcMar>
            <w:tcW w:w="2911" w:type="dxa"/>
            <w:vAlign w:val="bottom"/>
            <w:textDirection w:val="lrTb"/>
            <w:noWrap w:val="false"/>
          </w:tcPr>
          <w:p>
            <w:pPr>
              <w:pBdr/>
              <w:spacing w:after="0" w:before="0" w:line="240" w:lineRule="auto"/>
              <w:ind/>
              <w:rPr/>
            </w:pPr>
            <w:r/>
            <w:r/>
          </w:p>
        </w:tc>
        <w:tc>
          <w:tcPr>
            <w:tcBorders/>
            <w:tcMar>
              <w:left w:w="108" w:type="dxa"/>
              <w:top w:w="0" w:type="dxa"/>
              <w:right w:w="108" w:type="dxa"/>
              <w:bottom w:w="0" w:type="dxa"/>
            </w:tcMar>
            <w:tcW w:w="5594" w:type="dxa"/>
            <w:vAlign w:val="bottom"/>
            <w:textDirection w:val="lrTb"/>
            <w:noWrap/>
          </w:tcPr>
          <w:p>
            <w:pPr>
              <w:pBdr/>
              <w:spacing w:after="0" w:before="0" w:line="240" w:lineRule="auto"/>
              <w:ind/>
              <w:rPr/>
            </w:pPr>
            <w:r/>
            <w:r/>
          </w:p>
        </w:tc>
      </w:tr>
      <w:tr>
        <w:trPr>
          <w:trHeight w:val="2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91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59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SDT: 0963938961</w:t>
              <w:br/>
              <w:t xml:space="preserve"> (Sale Thủy)</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3.917.000.000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3.525.300.000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06/2025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trong khu Soi Cả, xã Thanh Sơn, tỉnh Phú Thọ</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nội bộ khu đô thị. Đường nhựa lòng đường 6m, vỉa hè 5m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192</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lỗi phong thủy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28700" cy="22860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16672" name=""/>
                              <pic:cNvPicPr>
                                <a:picLocks noChangeAspect="1"/>
                              </pic:cNvPicPr>
                              <pic:nvPr/>
                            </pic:nvPicPr>
                            <pic:blipFill rotWithShape="1">
                              <a:blip r:embed="rId30"/>
                              <a:stretch/>
                            </pic:blipFill>
                            <pic:spPr bwMode="auto">
                              <a:xfrm>
                                <a:off x="0" y="0"/>
                                <a:ext cx="1028700" cy="228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1.00pt;height:180.00pt;mso-wrap-distance-left:0.00pt;mso-wrap-distance-top:0.00pt;mso-wrap-distance-right:0.00pt;mso-wrap-distance-bottom:0.00pt;z-index:1;" stroked="false">
                      <v:imagedata r:id="rId30"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962025" cy="21431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79137" name=""/>
                              <pic:cNvPicPr>
                                <a:picLocks noChangeAspect="1"/>
                              </pic:cNvPicPr>
                              <pic:nvPr/>
                            </pic:nvPicPr>
                            <pic:blipFill rotWithShape="1">
                              <a:blip r:embed="rId31"/>
                              <a:stretch/>
                            </pic:blipFill>
                            <pic:spPr bwMode="auto">
                              <a:xfrm>
                                <a:off x="0" y="0"/>
                                <a:ext cx="962024"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5.75pt;height:168.75pt;mso-wrap-distance-left:0.00pt;mso-wrap-distance-top:0.00pt;mso-wrap-distance-right:0.00pt;mso-wrap-distance-bottom:0.00pt;z-index:1;" stroked="false">
                      <v:imagedata r:id="rId31" o:title=""/>
                      <o:lock v:ext="edit" rotation="t"/>
                    </v:shape>
                  </w:pict>
                </mc:Fallback>
              </mc:AlternateConten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91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885825" cy="19716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1695" name=""/>
                              <pic:cNvPicPr>
                                <a:picLocks noChangeAspect="1"/>
                              </pic:cNvPicPr>
                              <pic:nvPr/>
                            </pic:nvPicPr>
                            <pic:blipFill rotWithShape="1">
                              <a:blip r:embed="rId32"/>
                              <a:stretch/>
                            </pic:blipFill>
                            <pic:spPr bwMode="auto">
                              <a:xfrm>
                                <a:off x="0" y="0"/>
                                <a:ext cx="885825" cy="1971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9.75pt;height:155.25pt;mso-wrap-distance-left:0.00pt;mso-wrap-distance-top:0.00pt;mso-wrap-distance-right:0.00pt;mso-wrap-distance-bottom:0.00pt;z-index:1;" stroked="false">
                      <v:imagedata r:id="rId32"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559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19175" cy="22669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55230" name=""/>
                              <pic:cNvPicPr>
                                <a:picLocks noChangeAspect="1"/>
                              </pic:cNvPicPr>
                              <pic:nvPr/>
                            </pic:nvPicPr>
                            <pic:blipFill rotWithShape="1">
                              <a:blip r:embed="rId33"/>
                              <a:stretch/>
                            </pic:blipFill>
                            <pic:spPr bwMode="auto">
                              <a:xfrm>
                                <a:off x="0" y="0"/>
                                <a:ext cx="1019174" cy="2266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80.25pt;height:178.50pt;mso-wrap-distance-left:0.00pt;mso-wrap-distance-top:0.00pt;mso-wrap-distance-right:0.00pt;mso-wrap-distance-bottom:0.00pt;z-index:1;" stroked="false">
                      <v:imagedata r:id="rId33" o:title=""/>
                      <o:lock v:ext="edit" rotation="t"/>
                    </v:shape>
                  </w:pict>
                </mc:Fallback>
              </mc:AlternateContent>
            </w: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Pr>
                <w:rFonts w:ascii="Times New Roman" w:hAnsi="Times New Roman" w:eastAsia="Times New Roman" w:cs="Times New Roman"/>
                <w:b/>
                <w:color w:val="000000"/>
                <w:sz w:val="24"/>
              </w:rPr>
              <w:t xml:space="preserve">Trần Thị Thanh Tâm</w:t>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rPr>
      </w:r>
      <w:r>
        <w:rPr>
          <w:b/>
          <w:bCs/>
          <w:iCs/>
          <w:highlight w:val="none"/>
          <w:lang w:val="pt-BR"/>
        </w:rPr>
      </w:r>
    </w:p>
    <w:p>
      <w:pPr>
        <w:pBdr/>
        <w:spacing w:after="200" w:line="276" w:lineRule="auto"/>
        <w:ind/>
        <w:jc w:val="center"/>
        <w:rPr>
          <w:b/>
          <w:bCs/>
        </w:rPr>
      </w:pPr>
      <w:r>
        <w:rPr>
          <w:highlight w:val="none"/>
        </w:rPr>
      </w:r>
      <w:r>
        <w:rPr>
          <w:highlight w:val="none"/>
        </w:rPr>
      </w:r>
      <w:r>
        <w:rPr>
          <w:b/>
          <w:bCs/>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048375" cy="808901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67341" name=""/>
                        <pic:cNvPicPr>
                          <a:picLocks noChangeAspect="1"/>
                        </pic:cNvPicPr>
                        <pic:nvPr/>
                      </pic:nvPicPr>
                      <pic:blipFill rotWithShape="1">
                        <a:blip r:embed="rId34"/>
                        <a:stretch/>
                      </pic:blipFill>
                      <pic:spPr bwMode="auto">
                        <a:xfrm>
                          <a:off x="0" y="0"/>
                          <a:ext cx="6048374" cy="80890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6.93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048375" cy="813895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55092" name=""/>
                        <pic:cNvPicPr>
                          <a:picLocks noChangeAspect="1"/>
                        </pic:cNvPicPr>
                        <pic:nvPr/>
                      </pic:nvPicPr>
                      <pic:blipFill rotWithShape="1">
                        <a:blip r:embed="rId35"/>
                        <a:stretch/>
                      </pic:blipFill>
                      <pic:spPr bwMode="auto">
                        <a:xfrm>
                          <a:off x="0" y="0"/>
                          <a:ext cx="6048374" cy="8138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40.86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18908"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85505F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96E79A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49146CCE"/>
    <w:lvl w:ilvl="0">
      <w:isLgl w:val="false"/>
      <w:lvlJc w:val="left"/>
      <w:lvlText w:val="%1."/>
      <w:numFmt w:val="decimal"/>
      <w:pPr>
        <w:pBdr/>
        <w:spacing/>
        <w:ind w:hanging="360" w:left="720"/>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2E7E08F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43BFF44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281</cp:revision>
  <dcterms:created xsi:type="dcterms:W3CDTF">2025-09-15T09:58:00Z</dcterms:created>
  <dcterms:modified xsi:type="dcterms:W3CDTF">2026-06-24T08:04:58Z</dcterms:modified>
</cp:coreProperties>
</file>