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color w:val="000000" w:themeColor="text1"/>
          <w:sz w:val="28"/>
          <w:szCs w:val="28"/>
          <w:highlight w:val="none"/>
        </w:rPr>
      </w:pPr>
      <w:r>
        <w:rPr>
          <w:b/>
          <w:bCs/>
          <w:color w:val="000000" w:themeColor="text1"/>
          <w:sz w:val="28"/>
          <w:szCs w:val="28"/>
          <w:highlight w:val="none"/>
        </w:rPr>
      </w:r>
      <w:r>
        <w:rPr>
          <w:b/>
          <w:bCs/>
          <w:color w:val="000000" w:themeColor="text1"/>
          <w:sz w:val="28"/>
          <w:szCs w:val="28"/>
          <w:highlight w:val="none"/>
        </w:rPr>
      </w:r>
      <w:r>
        <w:rPr>
          <w:b/>
          <w:bCs/>
          <w:color w:val="000000" w:themeColor="text1"/>
          <w:sz w:val="28"/>
          <w:szCs w:val="28"/>
          <w:highlight w:val="none"/>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20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20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275/2026/0945/VFI-CT.65.A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SẢN XUẤ</w:t>
                            </w:r>
                            <w:r>
                              <w:rPr>
                                <w:rFonts w:ascii="Times New Roman Bold" w:hAnsi="Times New Roman Bold"/>
                                <w:b/>
                                <w:color w:val="000000" w:themeColor="text1"/>
                                <w:lang w:val="pt-BR"/>
                              </w:rPr>
                              <w:t xml:space="preserve">T BAO BÌ NHỰA MINH KHÔI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color w:val="000000"/>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275/2026/0945/VFI-CT.65.A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SẢN XUẤ</w:t>
                      </w:r>
                      <w:r>
                        <w:rPr>
                          <w:rFonts w:ascii="Times New Roman Bold" w:hAnsi="Times New Roman Bold"/>
                          <w:b/>
                          <w:color w:val="000000" w:themeColor="text1"/>
                          <w:lang w:val="pt-BR"/>
                        </w:rPr>
                        <w:t xml:space="preserve">T BAO BÌ NHỰA MINH KHÔI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color w:val="000000"/>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4-22</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23-25</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26-30</w:t>
            </w:r>
            <w:r>
              <w:rPr>
                <w:b/>
                <w:bCs/>
                <w:color w:val="000000" w:themeColor="text1"/>
              </w:rPr>
            </w:r>
            <w:r>
              <w:rPr>
                <w:b/>
                <w:bCs/>
                <w:color w:val="000000" w:themeColor="text1"/>
              </w:rPr>
            </w:r>
          </w:p>
        </w:tc>
      </w:tr>
    </w:tbl>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8"/>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763" w:type="dxa"/>
        <w:tblBorders/>
        <w:tblLayout w:type="fixed"/>
        <w:tblLook w:val="04A0" w:firstRow="1" w:lastRow="0" w:firstColumn="1" w:lastColumn="0" w:noHBand="0" w:noVBand="1"/>
      </w:tblPr>
      <w:tblGrid>
        <w:gridCol w:w="29"/>
        <w:gridCol w:w="1701"/>
        <w:gridCol w:w="3402"/>
        <w:gridCol w:w="4632"/>
      </w:tblGrid>
      <w:tr>
        <w:trPr>
          <w:trHeight w:val="1842"/>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03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9"/>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34"/>
        </w:trPr>
        <w:tc>
          <w:tcPr>
            <w:gridSpan w:val="2"/>
            <w:shd w:val="clear" w:color="auto" w:fill="auto"/>
            <w:tcBorders/>
            <w:tcMar>
              <w:left w:w="108" w:type="dxa"/>
              <w:top w:w="0" w:type="dxa"/>
              <w:right w:w="108" w:type="dxa"/>
              <w:bottom w:w="0" w:type="dxa"/>
            </w:tcMar>
            <w:tcW w:w="5102"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275/2026/0945/VFI-CT.65.A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632" w:type="dxa"/>
            <w:textDirection w:val="lrTb"/>
            <w:noWrap w:val="false"/>
          </w:tcPr>
          <w:p>
            <w:pPr>
              <w:pStyle w:val="1028"/>
              <w:pBdr/>
              <w:spacing w:after="60"/>
              <w:ind w:right="-56"/>
              <w:jc w:val="right"/>
              <w:rPr>
                <w:color w:val="000000" w:themeColor="text1"/>
                <w:sz w:val="24"/>
                <w:szCs w:val="24"/>
              </w:rPr>
            </w:pPr>
            <w:r>
              <w:rPr>
                <w:rStyle w:val="1027"/>
                <w:rFonts w:ascii="Times New Roman" w:hAnsi="Times New Roman"/>
                <w:i/>
                <w:color w:val="000000" w:themeColor="text1"/>
              </w:rPr>
              <w:t xml:space="preserve">TP. Hà Nội</w:t>
            </w:r>
            <w:r>
              <w:rPr>
                <w:rStyle w:val="1027"/>
                <w:rFonts w:ascii="Times New Roman" w:hAnsi="Times New Roman"/>
                <w:i/>
                <w:color w:val="000000" w:themeColor="text1"/>
                <w:lang w:val="vi-VN"/>
              </w:rPr>
              <w:t xml:space="preserve">, </w:t>
            </w:r>
            <w:r>
              <w:rPr>
                <w:rStyle w:val="1027"/>
                <w:rFonts w:ascii="Times New Roman" w:hAnsi="Times New Roman"/>
                <w:i/>
                <w:color w:val="000000" w:themeColor="text1"/>
                <w:lang w:val="vi-VN"/>
              </w:rPr>
              <w:t xml:space="preserve">ngày 24 tháng 6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000000" w:themeColor="text1"/>
          <w:sz w:val="30"/>
          <w:szCs w:val="30"/>
        </w:rPr>
      </w:pPr>
      <w:r>
        <w:rPr>
          <w:rStyle w:val="1027"/>
          <w:rFonts w:ascii="Times New Roman" w:hAnsi="Times New Roman"/>
          <w:b/>
          <w:bCs/>
          <w:color w:val="000000" w:themeColor="text1"/>
          <w:sz w:val="30"/>
          <w:szCs w:val="30"/>
          <w:lang w:val="vi-VN"/>
        </w:rPr>
        <w:t xml:space="preserve">CHỨNG THƯ THẨM ĐỊNH GIÁ</w:t>
      </w:r>
      <w:r>
        <w:rPr>
          <w:rStyle w:val="1027"/>
          <w:rFonts w:ascii="Times New Roman" w:hAnsi="Times New Roman"/>
          <w:b/>
          <w:bCs/>
          <w:color w:val="000000" w:themeColor="text1"/>
          <w:sz w:val="30"/>
          <w:szCs w:val="30"/>
        </w:rPr>
      </w:r>
      <w:r>
        <w:rPr>
          <w:rStyle w:val="1027"/>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TNHH SẢN XUẤT BAO BÌ NHỰA MINH KHÔI</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275/2026/0945/VFI-HĐTĐ.65.A</w:t>
      </w:r>
      <w:r>
        <w:rPr>
          <w:color w:val="000000" w:themeColor="text1"/>
          <w:spacing w:val="-4"/>
          <w:lang w:val="vi-VN"/>
        </w:rPr>
        <w:t xml:space="preserve"> ký ngày </w:t>
      </w:r>
      <w:r>
        <w:rPr>
          <w:color w:val="000000" w:themeColor="text1"/>
          <w:spacing w:val="-4"/>
        </w:rPr>
        <w:t xml:space="preserve">20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TY TNHH SẢN XUẤT BAO BÌ NHỰA MINH KHÔI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275/2026/0945/VFI-BC.65.A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24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Tên khách hàng</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b/>
                <w:color w:val="000000" w:themeColor="text1"/>
                <w:sz w:val="24"/>
              </w:rPr>
              <w:t xml:space="preserve">CÔNG TY TNHH SẢN XUẤT BAO BÌ NHỰA MINH KHÔI</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Mã số thuế</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0901109147</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Đia chỉ</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Thôn Du Tràng, xã Nghĩa Trụ, Hưng Yên</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b/>
                <w:color w:val="000000" w:themeColor="text1"/>
                <w:sz w:val="24"/>
              </w:rPr>
              <w:t xml:space="preserve">Ông Nguyễn Nhật Trường</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Chức vụ</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b/>
                <w:color w:val="000000" w:themeColor="text1"/>
                <w:sz w:val="24"/>
              </w:rPr>
              <w:t xml:space="preserve">Giám đốc</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color w:val="000000" w:themeColor="text1"/>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color w:val="000000" w:themeColor="text1"/>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120,4</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289.400.000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34.843.760.000</w:t>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3 tầng</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234,73</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7.968.240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76%</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1.421.492.581</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36.265.252.581</w:t>
            </w:r>
            <w:r>
              <w:rPr>
                <w:b/>
                <w:bCs/>
                <w:color w:val="000000" w:themeColor="text1"/>
              </w:rPr>
            </w:r>
            <w:r>
              <w:rPr>
                <w:b/>
                <w:bCs/>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36.265.000.000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Ba mươi sáu tỷ hai trăm sáu mươi lăm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35" w:type="dxa"/>
        <w:tblBorders/>
        <w:tblLayout w:type="fixed"/>
        <w:tblLook w:val="04A0" w:firstRow="1" w:lastRow="0" w:firstColumn="1" w:lastColumn="0" w:noHBand="0" w:noVBand="1"/>
      </w:tblPr>
      <w:tblGrid>
        <w:gridCol w:w="170"/>
        <w:gridCol w:w="1417"/>
        <w:gridCol w:w="3118"/>
        <w:gridCol w:w="5229"/>
      </w:tblGrid>
      <w:tr>
        <w:trPr>
          <w:trHeight w:val="1701"/>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47"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9"/>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81"/>
        </w:trPr>
        <w:tc>
          <w:tcPr>
            <w:gridSpan w:val="2"/>
            <w:shd w:val="clear" w:color="auto" w:fill="auto"/>
            <w:tcBorders/>
            <w:tcMar>
              <w:left w:w="108" w:type="dxa"/>
              <w:top w:w="0" w:type="dxa"/>
              <w:right w:w="108" w:type="dxa"/>
              <w:bottom w:w="0" w:type="dxa"/>
            </w:tcMar>
            <w:tcW w:w="4535"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275/2026/0945/VFI-BC.65.A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29" w:type="dxa"/>
            <w:textDirection w:val="lrTb"/>
            <w:noWrap w:val="false"/>
          </w:tcPr>
          <w:p>
            <w:pPr>
              <w:pStyle w:val="1028"/>
              <w:pBdr/>
              <w:spacing w:after="60"/>
              <w:ind w:right="-56"/>
              <w:jc w:val="right"/>
              <w:rPr>
                <w:color w:val="000000" w:themeColor="text1"/>
                <w:sz w:val="24"/>
                <w:szCs w:val="24"/>
              </w:rPr>
            </w:pPr>
            <w:r>
              <w:rPr>
                <w:rStyle w:val="1027"/>
                <w:rFonts w:ascii="Times New Roman" w:hAnsi="Times New Roman"/>
                <w:i/>
                <w:color w:val="000000" w:themeColor="text1"/>
              </w:rPr>
              <w:t xml:space="preserve">TP. Hà Nội</w:t>
            </w:r>
            <w:r>
              <w:rPr>
                <w:rStyle w:val="1027"/>
                <w:rFonts w:ascii="Times New Roman" w:hAnsi="Times New Roman"/>
                <w:i/>
                <w:color w:val="000000" w:themeColor="text1"/>
                <w:lang w:val="vi-VN"/>
              </w:rPr>
              <w:t xml:space="preserve">, </w:t>
            </w:r>
            <w:r>
              <w:rPr>
                <w:rStyle w:val="1027"/>
                <w:rFonts w:ascii="Times New Roman" w:hAnsi="Times New Roman"/>
                <w:i/>
                <w:color w:val="000000" w:themeColor="text1"/>
                <w:lang w:val="vi-VN"/>
              </w:rPr>
              <w:t xml:space="preserve">ngày 24 tháng 6 năm 2026</w:t>
            </w:r>
            <w:r>
              <w:rPr>
                <w:color w:val="000000" w:themeColor="text1"/>
                <w:sz w:val="24"/>
                <w:szCs w:val="24"/>
              </w:rPr>
            </w:r>
            <w:r>
              <w:rPr>
                <w:color w:val="000000" w:themeColor="text1"/>
                <w:sz w:val="24"/>
                <w:szCs w:val="24"/>
              </w:rPr>
            </w:r>
          </w:p>
        </w:tc>
      </w:tr>
    </w:tbl>
    <w:p>
      <w:pPr>
        <w:pStyle w:val="1028"/>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8"/>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275/2026/0945/VFI-CT.65.A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8"/>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9"/>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Tên khách hàng</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b/>
                <w:color w:val="000000" w:themeColor="text1"/>
                <w:sz w:val="24"/>
              </w:rPr>
              <w:t xml:space="preserve">CÔNG TY TNHH SẢN XUẤT BAO BÌ NHỰA MINH KHÔI</w:t>
            </w:r>
            <w:r>
              <w:rPr>
                <w:color w:val="000000" w:themeColor="text1"/>
              </w:rPr>
            </w:r>
            <w:r>
              <w:rPr>
                <w:color w:val="000000" w:themeColor="text1"/>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Mã số thuế</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0901109147</w:t>
            </w:r>
            <w:r>
              <w:rPr>
                <w:color w:val="000000" w:themeColor="text1"/>
              </w:rPr>
            </w:r>
            <w:r>
              <w:rPr>
                <w:color w:val="000000" w:themeColor="text1"/>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Đia chỉ</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Thôn Du Tràng, xã Nghĩa Trụ, Hưng Yên</w:t>
            </w:r>
            <w:r>
              <w:rPr>
                <w:color w:val="000000" w:themeColor="text1"/>
              </w:rPr>
            </w:r>
            <w:r>
              <w:rPr>
                <w:color w:val="000000" w:themeColor="text1"/>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b/>
                <w:color w:val="000000" w:themeColor="text1"/>
                <w:sz w:val="24"/>
              </w:rPr>
              <w:t xml:space="preserve">Ông Nguyễn Nhật Trường</w:t>
            </w:r>
            <w:r>
              <w:rPr>
                <w:color w:val="000000" w:themeColor="text1"/>
              </w:rPr>
            </w:r>
            <w:r>
              <w:rPr>
                <w:color w:val="000000" w:themeColor="text1"/>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color w:val="000000" w:themeColor="text1"/>
                <w:sz w:val="24"/>
              </w:rPr>
              <w:t xml:space="preserve">Chức vụ</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color w:val="000000" w:themeColor="text1"/>
              </w:rPr>
            </w:pPr>
            <w:r>
              <w:rPr>
                <w:rFonts w:ascii="Times New Roman" w:hAnsi="Times New Roman" w:eastAsia="Times New Roman" w:cs="Times New Roman"/>
                <w:b/>
                <w:color w:val="000000" w:themeColor="text1"/>
                <w:sz w:val="24"/>
              </w:rPr>
              <w:t xml:space="preserve">Giám đốc</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bCs/>
                <w:color w:val="000000" w:themeColor="text1"/>
                <w:lang w:val="pt-BR"/>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bCs/>
                <w:color w:val="000000" w:themeColor="text1"/>
                <w:lang w:val="pt-BR"/>
              </w:rPr>
              <w:t xml:space="preserve">Ô 102 Lô D - Khu Nhà vườn - Khu Đô thị mới Việt Hưng - Phường Giang Biên - Quận Long Biên - TP Hà Nội (Nay là phường Việt Hưng, Thành p</w:t>
            </w:r>
            <w:r>
              <w:rPr>
                <w:bCs/>
                <w:color w:val="000000" w:themeColor="text1"/>
                <w:lang w:val="pt-BR"/>
              </w:rPr>
              <w:t xml:space="preserve">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9"/>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(21.062305555556, 105.91072222222)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20/06/2026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9"/>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9"/>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9"/>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9"/>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9"/>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9"/>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9"/>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9"/>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9"/>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9"/>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9"/>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275/2026/0945/VFI-HĐTĐ.65.A ngày 20/06/2026 giữa CÔNG TY TNHH SẢN XUẤT BAO BÌ NHỰA MINH KHÔI với Công ty Cổ phần Thẩm định và Đầu tư Tài chính Hoa Sen.</w:t>
      </w:r>
      <w:r>
        <w:rPr>
          <w:b/>
          <w:color w:val="000000" w:themeColor="text1"/>
        </w:rPr>
      </w:r>
      <w:r>
        <w:rPr>
          <w:b/>
          <w:color w:val="000000" w:themeColor="text1"/>
        </w:rPr>
      </w:r>
    </w:p>
    <w:p>
      <w:pPr>
        <w:pStyle w:val="1029"/>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Hạ tầng – "xương sống" mở không gian phát triển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chuyển từ "tăng nóng" sang tăng trưởng ch</w:t>
      </w:r>
      <w:r>
        <w:rPr>
          <w:color w:val="000000" w:themeColor="text1"/>
          <w:shd w:val="clear" w:color="auto" w:fill="ffffff"/>
        </w:rPr>
        <w:t xml:space="preserve">ọn lọc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Nguồn cung lớn, thị trườn</w:t>
      </w:r>
      <w:r>
        <w:rPr>
          <w:color w:val="000000" w:themeColor="text1"/>
          <w:shd w:val="clear" w:color="auto" w:fill="ffffff"/>
        </w:rPr>
        <w:t xml:space="preserve">g phân hóa rõ nét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Chính sách và pháp lý – điểm tựa cho chu kỳ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Triển vọng 2026: tăng trưởng bền vững trên nền tảng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(Nguồn tham khảo: https://thanglong.chinhphu.vn/buc-tranh-thi-truong-bat-dong-san-ha-noi-nam-2026-ha-tang-dan-dat-thi-truong-buoc-vao-chu-ky-tang-truong-moi-103260101181315972.htm)</w:t>
      </w:r>
      <w:r>
        <w:rPr>
          <w:bCs/>
          <w:i/>
          <w:color w:val="000000" w:themeColor="text1"/>
        </w:rPr>
      </w:r>
      <w:r>
        <w:rPr>
          <w:bCs/>
          <w:i/>
          <w:color w:val="000000" w:themeColor="text1"/>
        </w:rPr>
      </w:r>
    </w:p>
    <w:p>
      <w:pPr>
        <w:pStyle w:val="1029"/>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b/>
                <w:bCs/>
                <w:color w:val="000000" w:themeColor="text1"/>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D102-NV</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TRÍCH ĐO</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Phường Giang Biên, Quận Long Biên,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120,4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303"/>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Nhà nước giao đất có thu tiền sử dụng đất</w:t>
            </w:r>
            <w:r>
              <w:rPr>
                <w:color w:val="000000" w:themeColor="text1"/>
              </w:rPr>
            </w:r>
            <w:r>
              <w:rPr>
                <w:color w:val="000000" w:themeColor="text1"/>
              </w:rPr>
            </w:r>
          </w:p>
        </w:tc>
      </w:tr>
      <w:tr>
        <w:trPr>
          <w:trHeight w:val="604"/>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thu thập được thông tin quy hoạch liên quan đến thửa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Khoảng 12m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Khoảng 12m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đường Bùi Thiện Ngộ, khu đô thị mới Việt Hưng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Tây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(21.062305555556, 105.91072222222)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mc:AlternateContent>
                <mc:Choice Requires="wpg">
                  <w:drawing>
                    <wp:inline xmlns:wp="http://schemas.openxmlformats.org/drawingml/2006/wordprocessingDrawing" distT="0" distB="0" distL="0" distR="0">
                      <wp:extent cx="5332751" cy="293605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06613" name=""/>
                              <pic:cNvPicPr>
                                <a:picLocks noChangeAspect="1"/>
                              </pic:cNvPicPr>
                              <pic:nvPr/>
                            </pic:nvPicPr>
                            <pic:blipFill rotWithShape="1">
                              <a:blip r:embed="rId17"/>
                              <a:stretch/>
                            </pic:blipFill>
                            <pic:spPr bwMode="auto">
                              <a:xfrm flipH="0" flipV="0">
                                <a:off x="0" y="0"/>
                                <a:ext cx="5332750" cy="2936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90pt;height:231.19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120,4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20,07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Cao</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color w:val="000000" w:themeColor="text1"/>
              </w:rPr>
              <w:t xml:space="preserve">Tại thời điểm khảo sát dưới sự hướng dẫn của Khách hàng, CTXD gắn liền với đất là 01 nhà 03 tầng , hoàn thiện năm 2014, diện tích xây dựng 75,55m², diện tích sàn 234,73m². CTXD đã được chứng nhận trên giấy chứng nhận quyền sử dụng đất.</w:t>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9"/>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9"/>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9"/>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9"/>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9"/>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9"/>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9"/>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9"/>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29"/>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29"/>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9"/>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9"/>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29"/>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9"/>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9"/>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29"/>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r>
      <w:tr>
        <w:trPr>
          <w:trHeight w:val="29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https://alonhadat.com.vn/9-ty-co-dat-phan-lo-tai-dinh-cu-giang-bien-via-he-oto-tranh-cuc-hiem-17015519.html</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https://batdongsan.com.vn/ban-nha-biet-thu-lien-ke-duong-bui-thien-ngo-phuong-viet-hung-2-khu-do-thi-viet-hung/ban-tang-toan-bo-noi-that-nhap-khau-tien-ty-gia-39-9-ty-kinh-doanh-pr43494177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https://alonhadat.com.vn/-biet-thu-xanh-viet-hung-mat-pho-tang-thang-may-gia--18411643.html</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0839.181.289</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Hùng Anh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0973909258</w:t>
            </w:r>
            <w:r>
              <w:rPr>
                <w:color w:val="000000" w:themeColor="text1"/>
                <w:sz w:val="22"/>
                <w:szCs w:val="22"/>
              </w:rPr>
              <w:br/>
            </w:r>
            <w:r>
              <w:rPr>
                <w:color w:val="000000" w:themeColor="text1"/>
                <w:sz w:val="22"/>
                <w:szCs w:val="22"/>
              </w:rPr>
              <w:t xml:space="preserve">(</w:t>
            </w:r>
            <w:r>
              <w:rPr>
                <w:color w:val="000000" w:themeColor="text1"/>
                <w:sz w:val="22"/>
                <w:szCs w:val="22"/>
              </w:rPr>
              <w:t xml:space="preserve">Chi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0912447886</w:t>
            </w:r>
            <w:r>
              <w:rPr>
                <w:color w:val="000000" w:themeColor="text1"/>
                <w:sz w:val="22"/>
                <w:szCs w:val="22"/>
              </w:rPr>
              <w:br/>
            </w:r>
            <w:r>
              <w:rPr>
                <w:color w:val="000000" w:themeColor="text1"/>
                <w:sz w:val="22"/>
                <w:szCs w:val="22"/>
              </w:rPr>
              <w:t xml:space="preserve">(</w:t>
            </w:r>
            <w:r>
              <w:rPr>
                <w:color w:val="000000" w:themeColor="text1"/>
                <w:sz w:val="22"/>
                <w:szCs w:val="22"/>
              </w:rPr>
              <w:t xml:space="preserve">Thịnh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color w:val="000000" w:themeColor="text1"/>
                <w:sz w:val="22"/>
                <w:szCs w:val="22"/>
              </w:rPr>
              <w:t xml:space="preserve">, tiếp giáp đường Bùi Thiện Ngộ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color w:val="000000" w:themeColor="text1"/>
                <w:sz w:val="22"/>
                <w:szCs w:val="22"/>
              </w:rPr>
              <w:t xml:space="preserve">, tiếp giáp đường</w:t>
            </w:r>
            <w:r>
              <w:rPr>
                <w:color w:val="000000" w:themeColor="text1"/>
                <w:sz w:val="22"/>
                <w:szCs w:val="22"/>
              </w:rPr>
              <w:t xml:space="preserve"> Phạm Khắc Quảng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color w:val="000000" w:themeColor="text1"/>
                <w:sz w:val="22"/>
                <w:szCs w:val="22"/>
              </w:rPr>
              <w:t xml:space="preserve">, tiếp giáp đường Bùi Thiện Ngộ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Giang Biên, Quận Long Biên, Thành phố Hà Nội </w:t>
            </w:r>
            <w:r>
              <w:rPr>
                <w:rFonts w:ascii="Times New Roman" w:hAnsi="Times New Roman" w:eastAsia="Times New Roman" w:cs="Times New Roman"/>
                <w:i/>
                <w:color w:val="000000" w:themeColor="text1"/>
                <w:sz w:val="22"/>
                <w:szCs w:val="22"/>
              </w:rPr>
              <w:t xml:space="preserve">(Nay là phường Việt Hưng, Thành phố Hà Nội)</w:t>
            </w:r>
            <w:r>
              <w:rPr>
                <w:color w:val="000000" w:themeColor="text1"/>
                <w:sz w:val="22"/>
                <w:szCs w:val="22"/>
              </w:rPr>
              <w:t xml:space="preserve">, tiếp giáp đường Bùi Thiện Ngộ</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12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Thóp hậu</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themeColor="text1"/>
                <w:sz w:val="22"/>
                <w:szCs w:val="22"/>
              </w:rPr>
            </w:pPr>
            <w:r>
              <w:rPr>
                <w:color w:val="000000" w:themeColor="text1"/>
                <w:sz w:val="22"/>
                <w:szCs w:val="22"/>
              </w:rPr>
              <w:t xml:space="preserve">Tài sản trên đất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t xml:space="preserve">Đất trống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44.900.000.000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9.900.000.000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37.800.000.000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38.165.000.000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2.614.953.600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3.922.430.400</w:t>
            </w:r>
            <w:r>
              <w:rPr>
                <w:color w:val="000000" w:themeColor="text1"/>
                <w:sz w:val="22"/>
                <w:szCs w:val="22"/>
              </w:rPr>
            </w:r>
            <w:r>
              <w:rPr>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425/QĐ-BXD ngày 30/03/2026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7.263.760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7.263.760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9.900.000.000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35.185.046.400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34.242.569.600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9"/>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9.900.000.000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35.185.046.400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34.242.569.600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247.500.000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C.3</w:t>
            </w:r>
            <w:r>
              <w:rPr>
                <w:color w:val="000000" w:themeColor="text1"/>
                <w:sz w:val="22"/>
                <w:szCs w:val="22"/>
                <w:highlight w:val="white"/>
              </w:rPr>
            </w:r>
            <w:r>
              <w:rPr>
                <w:color w:val="000000" w:themeColor="text1"/>
                <w:sz w:val="22"/>
                <w:szCs w:val="22"/>
                <w:highlight w:val="white"/>
              </w:rPr>
            </w:r>
          </w:p>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Vị </w:t>
            </w:r>
            <w:r>
              <w:rPr>
                <w:b/>
                <w:bCs/>
                <w:color w:val="000000" w:themeColor="text1"/>
                <w:sz w:val="22"/>
                <w:szCs w:val="22"/>
                <w:highlight w:val="white"/>
              </w:rPr>
              <w:t xml:space="preserve">trí</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Tài sản tại: Phường Giang Biên, Quận Long Biên, Thành phố Hà Nội </w:t>
            </w:r>
            <w:r>
              <w:rPr>
                <w:rFonts w:ascii="Times New Roman" w:hAnsi="Times New Roman" w:eastAsia="Times New Roman" w:cs="Times New Roman"/>
                <w:i/>
                <w:color w:val="000000" w:themeColor="text1"/>
                <w:sz w:val="22"/>
                <w:highlight w:val="white"/>
              </w:rPr>
              <w:t xml:space="preserve">(Nay là phường Việt Hưng, Thành phố Hà Nội)</w:t>
            </w:r>
            <w:r>
              <w:rPr>
                <w:rFonts w:ascii="Times New Roman" w:hAnsi="Times New Roman" w:eastAsia="Times New Roman" w:cs="Times New Roman"/>
                <w:color w:val="000000" w:themeColor="text1"/>
                <w:sz w:val="22"/>
                <w:highlight w:val="white"/>
              </w:rPr>
              <w:t xml:space="preserve">, tiếp giáp đường Bùi Thiện Ngộ</w:t>
            </w:r>
            <w:r>
              <w:rPr>
                <w:color w:val="000000" w:themeColor="text1"/>
                <w:highlight w:val="white"/>
              </w:rPr>
            </w:r>
            <w:r>
              <w:rPr>
                <w:color w:val="000000" w:themeColor="text1"/>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Tài sản tại: Phường Giang Biên, Quận Long Biên, Thành phố Hà Nội </w:t>
            </w:r>
            <w:r>
              <w:rPr>
                <w:rFonts w:ascii="Times New Roman" w:hAnsi="Times New Roman" w:eastAsia="Times New Roman" w:cs="Times New Roman"/>
                <w:i/>
                <w:color w:val="000000" w:themeColor="text1"/>
                <w:sz w:val="22"/>
                <w:highlight w:val="white"/>
              </w:rPr>
              <w:t xml:space="preserve">(Nay là phường Việt Hưng, Thành phố Hà Nội)</w:t>
            </w:r>
            <w:r>
              <w:rPr>
                <w:rFonts w:ascii="Times New Roman" w:hAnsi="Times New Roman" w:eastAsia="Times New Roman" w:cs="Times New Roman"/>
                <w:color w:val="000000" w:themeColor="text1"/>
                <w:sz w:val="22"/>
                <w:highlight w:val="white"/>
              </w:rPr>
              <w:t xml:space="preserve">, tiếp giáp đường Phạm Khắc Quảng</w:t>
            </w:r>
            <w:r>
              <w:rPr>
                <w:color w:val="000000" w:themeColor="text1"/>
                <w:highlight w:val="white"/>
              </w:rPr>
            </w:r>
            <w:r>
              <w:rPr>
                <w:color w:val="000000" w:themeColor="text1"/>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Tài sản tại: Phường Giang Biên, Quận Long Biên, Thành phố Hà Nội </w:t>
            </w:r>
            <w:r>
              <w:rPr>
                <w:rFonts w:ascii="Times New Roman" w:hAnsi="Times New Roman" w:eastAsia="Times New Roman" w:cs="Times New Roman"/>
                <w:i/>
                <w:color w:val="000000" w:themeColor="text1"/>
                <w:sz w:val="22"/>
                <w:highlight w:val="white"/>
              </w:rPr>
              <w:t xml:space="preserve">(Nay là phường Việt Hưng, Thành phố Hà Nội)</w:t>
            </w:r>
            <w:r>
              <w:rPr>
                <w:rFonts w:ascii="Times New Roman" w:hAnsi="Times New Roman" w:eastAsia="Times New Roman" w:cs="Times New Roman"/>
                <w:color w:val="000000" w:themeColor="text1"/>
                <w:sz w:val="22"/>
                <w:highlight w:val="white"/>
              </w:rPr>
              <w:t xml:space="preserve">, tiếp giáp đường Bùi Thiện Ngộ</w:t>
            </w:r>
            <w:r>
              <w:rPr>
                <w:color w:val="000000" w:themeColor="text1"/>
                <w:highlight w:val="white"/>
              </w:rPr>
            </w:r>
            <w:r>
              <w:rPr>
                <w:color w:val="000000" w:themeColor="text1"/>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Tài sản tại: Phường Giang Biên, Quận Long Biên, Thành phố Hà Nội </w:t>
            </w:r>
            <w:r>
              <w:rPr>
                <w:rFonts w:ascii="Times New Roman" w:hAnsi="Times New Roman" w:eastAsia="Times New Roman" w:cs="Times New Roman"/>
                <w:i/>
                <w:color w:val="000000" w:themeColor="text1"/>
                <w:sz w:val="22"/>
                <w:highlight w:val="white"/>
              </w:rPr>
              <w:t xml:space="preserve">(Nay là phường Việt Hưng, Thành phố Hà Nội)</w:t>
            </w:r>
            <w:r>
              <w:rPr>
                <w:rFonts w:ascii="Times New Roman" w:hAnsi="Times New Roman" w:eastAsia="Times New Roman" w:cs="Times New Roman"/>
                <w:color w:val="000000" w:themeColor="text1"/>
                <w:sz w:val="22"/>
                <w:highlight w:val="white"/>
              </w:rPr>
              <w:t xml:space="preserve">, tiếp giáp đường Bùi Thiện Ngộ</w:t>
            </w:r>
            <w:r>
              <w:rPr>
                <w:color w:val="000000" w:themeColor="text1"/>
                <w:highlight w:val="white"/>
              </w:rPr>
            </w:r>
            <w:r>
              <w:rPr>
                <w:color w:val="000000" w:themeColor="text1"/>
                <w:highlight w:val="white"/>
              </w:rPr>
            </w:r>
          </w:p>
        </w:tc>
      </w:tr>
      <w:tr>
        <w:trPr>
          <w:trHeight w:val="20"/>
        </w:trPr>
        <w:tc>
          <w:tcPr>
            <w:shd w:val="clear" w:color="000000" w:fill="ffffff"/>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themeColor="text1"/>
                <w:sz w:val="22"/>
                <w:highlight w:val="yellow"/>
              </w:rPr>
            </w:pP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themeColor="text1"/>
                <w:sz w:val="22"/>
                <w:highlight w:val="yellow"/>
              </w:rPr>
            </w:pPr>
            <w:r>
              <w:rPr>
                <w:rFonts w:ascii="Times New Roman" w:hAnsi="Times New Roman" w:eastAsia="Times New Roman" w:cs="Times New Roman"/>
                <w:color w:val="000000" w:themeColor="text1"/>
                <w:sz w:val="22"/>
                <w:highlight w:val="none"/>
              </w:rPr>
              <w:t xml:space="preserve">10%</w:t>
            </w: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themeColor="text1"/>
                <w:sz w:val="22"/>
                <w:highlight w:val="yellow"/>
              </w:rPr>
            </w:pP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24.750.000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themeColor="text1"/>
                <w:sz w:val="22"/>
                <w:highlight w:val="yellow"/>
              </w:rPr>
            </w:pP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r>
              <w:rPr>
                <w:rFonts w:ascii="Times New Roman" w:hAnsi="Times New Roman" w:eastAsia="Times New Roman" w:cs="Times New Roman"/>
                <w:color w:val="000000" w:themeColor="text1"/>
                <w:sz w:val="22"/>
                <w:highlight w:val="yellow"/>
              </w:rP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272.250.000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12.375.000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284.625.000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120,4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259.875.000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19.800.000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279.675.000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279.675.000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293.208.720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285.354.747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Thóp hậu</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9.987.416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279.675.000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289.708.720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295.342.163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279.675.000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293.208.720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295.342.163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289.408.628</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81.675.000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9.987.416</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32.175.000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9.987.416</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 1,31</w:t>
      </w:r>
      <w:r>
        <w:rPr>
          <w:color w:val="000000" w:themeColor="text1"/>
        </w:rPr>
        <w:t xml:space="preserve">% đến </w:t>
      </w:r>
      <w:r>
        <w:rPr>
          <w:color w:val="000000" w:themeColor="text1"/>
        </w:rPr>
        <w:t xml:space="preserve">3,36%,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279.675.000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93.243.645</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293.208.720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97.726.466</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295.342.163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98.437.543</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289.407.654</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289.400.000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289.400.000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9"/>
        <w:numPr>
          <w:ilvl w:val="0"/>
          <w:numId w:val="26"/>
        </w:numPr>
        <w:pBdr/>
        <w:spacing w:after="120" w:before="120" w:line="276" w:lineRule="auto"/>
        <w:ind w:hanging="357" w:left="357"/>
        <w:jc w:val="both"/>
        <w:rPr>
          <w:b/>
          <w:bCs/>
          <w:color w:val="000000" w:themeColor="text1"/>
          <w:highlight w:val="white"/>
        </w:rPr>
      </w:pPr>
      <w:r>
        <w:rPr>
          <w:b/>
          <w:bCs/>
          <w:color w:val="000000" w:themeColor="text1"/>
          <w:highlight w:val="white"/>
        </w:rPr>
        <w:t xml:space="preserve">Xác định giá</w:t>
      </w:r>
      <w:r>
        <w:rPr>
          <w:b/>
          <w:bCs/>
          <w:color w:val="000000" w:themeColor="text1"/>
          <w:highlight w:val="white"/>
        </w:rPr>
        <w:t xml:space="preserve"> trị tài sản gắn liền với đất</w:t>
      </w:r>
      <w:r>
        <w:rPr>
          <w:b/>
          <w:bCs/>
          <w:color w:val="000000" w:themeColor="text1"/>
          <w:highlight w:val="white"/>
        </w:rPr>
      </w:r>
      <w:r>
        <w:rPr>
          <w:b/>
          <w:bCs/>
          <w:color w:val="000000" w:themeColor="text1"/>
          <w:highlight w:val="white"/>
        </w:rPr>
      </w:r>
    </w:p>
    <w:p>
      <w:pPr>
        <w:pStyle w:val="1029"/>
        <w:numPr>
          <w:ilvl w:val="0"/>
          <w:numId w:val="39"/>
        </w:numPr>
        <w:pBdr/>
        <w:spacing w:after="120" w:before="120" w:line="276" w:lineRule="auto"/>
        <w:ind w:hanging="284" w:left="284"/>
        <w:jc w:val="both"/>
        <w:rPr>
          <w:b/>
          <w:bCs/>
          <w:color w:val="000000" w:themeColor="text1"/>
        </w:rPr>
      </w:pPr>
      <w:r>
        <w:rPr>
          <w:b/>
          <w:bCs/>
          <w:color w:val="000000" w:themeColor="text1"/>
        </w:rPr>
        <w:t xml:space="preserve">Xác định đơn giá xây mới của công trình xây dựng trên đất:</w:t>
      </w:r>
      <w:r>
        <w:rPr>
          <w:b/>
          <w:bCs/>
          <w:color w:val="000000" w:themeColor="text1"/>
        </w:rPr>
      </w:r>
      <w:r>
        <w:rPr>
          <w:b/>
          <w:bCs/>
          <w:color w:val="000000" w:themeColor="text1"/>
        </w:rPr>
      </w:r>
    </w:p>
    <w:p>
      <w:pPr>
        <w:pStyle w:val="1029"/>
        <w:pBdr/>
        <w:tabs>
          <w:tab w:val="left" w:leader="none" w:pos="567"/>
        </w:tabs>
        <w:spacing w:after="120" w:before="120" w:line="276" w:lineRule="auto"/>
        <w:ind w:firstLine="284" w:left="0"/>
        <w:jc w:val="both"/>
        <w:rPr>
          <w:bCs/>
          <w:color w:val="000000" w:themeColor="text1"/>
          <w:spacing w:val="-4"/>
        </w:rPr>
      </w:pPr>
      <w:r>
        <w:rPr>
          <w:color w:val="000000" w:themeColor="text1"/>
          <w:lang w:val="nl-NL"/>
        </w:rPr>
        <w:t xml:space="preserve">Qua tham khảo thị trường về đơn giá xây dựng mới đối với công trình </w:t>
      </w:r>
      <w:r>
        <w:rPr>
          <w:color w:val="000000" w:themeColor="text1"/>
          <w:lang w:val="nl-NL"/>
        </w:rPr>
        <w:t xml:space="preserve">Nhà </w:t>
      </w:r>
      <w:r>
        <w:rPr>
          <w:color w:val="000000" w:themeColor="text1"/>
          <w:lang w:val="nl-NL"/>
        </w:rPr>
        <w:t xml:space="preserve">03</w:t>
      </w:r>
      <w:r>
        <w:rPr>
          <w:color w:val="000000" w:themeColor="text1"/>
          <w:lang w:val="nl-NL"/>
        </w:rPr>
        <w:t xml:space="preserve"> tầng</w:t>
      </w:r>
      <w:r>
        <w:rPr>
          <w:color w:val="000000" w:themeColor="text1"/>
          <w:lang w:val="nl-NL"/>
        </w:rPr>
        <w:t xml:space="preserve">, cân nhắc và xem xét với mức độ hoàn thiện của công trình xây dựng hiện có</w:t>
      </w:r>
      <w:r>
        <w:rPr>
          <w:color w:val="000000" w:themeColor="text1"/>
          <w:lang w:val="nl-NL"/>
        </w:rPr>
        <w:t xml:space="preserve">,</w:t>
      </w:r>
      <w:r>
        <w:rPr>
          <w:color w:val="000000" w:themeColor="text1"/>
          <w:lang w:val="nl-NL"/>
        </w:rPr>
        <w:t xml:space="preserve"> </w:t>
      </w:r>
      <w:r>
        <w:rPr>
          <w:color w:val="000000" w:themeColor="text1"/>
          <w:lang w:val="nl-NL"/>
        </w:rPr>
        <w:t xml:space="preserve">Tổ thẩm định nhận thấy đơn giá vận dụng theo Quyết định số 425/QĐ-BXD ngày 30/03/2026 của Bộ Xây dựng về việc Công bố suất vốn đầu tư xây dựng công trình và giá xây dựng tổng hợp bộ phận kết cấu công trình năm 2025 là khá phù hợp với thị trường, theo đó</w:t>
      </w:r>
      <w:r>
        <w:rPr>
          <w:bCs/>
          <w:color w:val="000000" w:themeColor="text1"/>
          <w:spacing w:val="-4"/>
          <w:lang w:val="pt-BR"/>
        </w:rPr>
        <w:t xml:space="preserve">:</w:t>
      </w:r>
      <w:r>
        <w:rPr>
          <w:bCs/>
          <w:color w:val="000000" w:themeColor="text1"/>
          <w:spacing w:val="-4"/>
        </w:rPr>
      </w:r>
      <w:r>
        <w:rPr>
          <w:bCs/>
          <w:color w:val="000000" w:themeColor="text1"/>
          <w:spacing w:val="-4"/>
        </w:rPr>
      </w:r>
    </w:p>
    <w:p>
      <w:pPr>
        <w:pBdr/>
        <w:spacing w:after="120" w:before="120" w:line="276" w:lineRule="auto"/>
        <w:ind w:firstLine="284"/>
        <w:jc w:val="both"/>
        <w:rPr>
          <w:rFonts w:eastAsiaTheme="majorEastAsia"/>
          <w:i/>
          <w:iCs/>
          <w:color w:val="000000" w:themeColor="text1"/>
        </w:rPr>
      </w:pPr>
      <w:r>
        <w:rPr>
          <w:i/>
          <w:iCs/>
          <w:color w:val="000000" w:themeColor="text1"/>
          <w:spacing w:val="3"/>
          <w:shd w:val="clear" w:color="auto" w:fill="ffffff"/>
          <w:lang w:val="vi-VN"/>
        </w:rPr>
        <w:t xml:space="preserve">“</w:t>
      </w:r>
      <w:r>
        <w:rPr>
          <w:i/>
          <w:iCs/>
          <w:color w:val="000000" w:themeColor="text1"/>
          <w:spacing w:val="3"/>
          <w:shd w:val="clear" w:color="auto" w:fill="ffffff"/>
        </w:rPr>
        <w:t xml:space="preserve">Suất vốn đầu tư</w:t>
      </w:r>
      <w:r>
        <w:rPr>
          <w:i/>
          <w:iCs/>
          <w:color w:val="000000" w:themeColor="text1"/>
          <w:spacing w:val="3"/>
          <w:shd w:val="clear" w:color="auto" w:fill="ffffff"/>
        </w:rPr>
        <w:t xml:space="preserve"> </w:t>
      </w:r>
      <w:r>
        <w:rPr>
          <w:i/>
          <w:iCs/>
          <w:color w:val="000000" w:themeColor="text1"/>
          <w:spacing w:val="3"/>
          <w:shd w:val="clear" w:color="auto" w:fill="ffffff"/>
        </w:rPr>
        <w:t xml:space="preserve">Nhà từ 2 đến 3 tầng, kết cấu khung chịu lực BTCT; tường bao xây gạch; sàn, mái BTCT đổ tại chỗ không có tầng hầm</w:t>
      </w:r>
      <w:r>
        <w:rPr>
          <w:i/>
          <w:iCs/>
          <w:color w:val="000000" w:themeColor="text1"/>
          <w:spacing w:val="3"/>
          <w:shd w:val="clear" w:color="auto" w:fill="ffffff"/>
        </w:rPr>
        <w:t xml:space="preserve"> có</w:t>
      </w:r>
      <w:r>
        <w:rPr>
          <w:i/>
          <w:iCs/>
          <w:color w:val="000000" w:themeColor="text1"/>
          <w:spacing w:val="3"/>
          <w:shd w:val="clear" w:color="auto" w:fill="ffffff"/>
          <w:lang w:val="vi-VN"/>
        </w:rPr>
        <w:t xml:space="preserve"> đơn giá đã bao gồm VAT là</w:t>
      </w:r>
      <w:r>
        <w:rPr>
          <w:i/>
          <w:iCs/>
          <w:color w:val="000000" w:themeColor="text1"/>
          <w:spacing w:val="3"/>
          <w:shd w:val="clear" w:color="auto" w:fill="ffffff"/>
        </w:rPr>
        <w:t xml:space="preserve">:</w:t>
      </w:r>
      <w:r>
        <w:rPr>
          <w:i/>
          <w:iCs/>
          <w:color w:val="000000" w:themeColor="text1"/>
          <w:spacing w:val="3"/>
          <w:shd w:val="clear" w:color="auto" w:fill="ffffff"/>
        </w:rPr>
        <w:t xml:space="preserve"> </w:t>
      </w:r>
      <w:r>
        <w:rPr>
          <w:rStyle w:val="1020"/>
          <w:rFonts w:eastAsiaTheme="majorEastAsia"/>
          <w:b w:val="0"/>
          <w:bCs w:val="0"/>
          <w:i/>
          <w:iCs/>
          <w:color w:val="000000" w:themeColor="text1"/>
          <w:lang w:val="pt-BR"/>
        </w:rPr>
        <w:t xml:space="preserve">8.370</w:t>
      </w:r>
      <w:r>
        <w:rPr>
          <w:rStyle w:val="1020"/>
          <w:rFonts w:eastAsiaTheme="majorEastAsia"/>
          <w:b w:val="0"/>
          <w:bCs w:val="0"/>
          <w:i/>
          <w:iCs/>
          <w:color w:val="000000" w:themeColor="text1"/>
          <w:lang w:val="pt-BR"/>
        </w:rPr>
        <w:t xml:space="preserve">.</w:t>
      </w:r>
      <w:r>
        <w:rPr>
          <w:rStyle w:val="1020"/>
          <w:rFonts w:eastAsiaTheme="majorEastAsia"/>
          <w:b w:val="0"/>
          <w:bCs w:val="0"/>
          <w:i/>
          <w:iCs/>
          <w:color w:val="000000" w:themeColor="text1"/>
          <w:lang w:val="pt-BR"/>
        </w:rPr>
        <w:t xml:space="preserve">000 </w:t>
      </w:r>
      <w:r>
        <w:rPr>
          <w:i/>
          <w:iCs/>
          <w:color w:val="000000" w:themeColor="text1"/>
          <w:spacing w:val="3"/>
          <w:shd w:val="clear" w:color="auto" w:fill="ffffff"/>
          <w:lang w:val="vi-VN"/>
        </w:rPr>
        <w:t xml:space="preserve">đồng/m²</w:t>
      </w:r>
      <w:r>
        <w:rPr>
          <w:i/>
          <w:iCs/>
          <w:color w:val="000000" w:themeColor="text1"/>
          <w:spacing w:val="3"/>
          <w:shd w:val="clear" w:color="auto" w:fill="ffffff"/>
        </w:rPr>
        <w:t xml:space="preserve">.</w:t>
      </w:r>
      <w:r>
        <w:rPr>
          <w:rFonts w:eastAsiaTheme="majorEastAsia"/>
          <w:i/>
          <w:iCs/>
          <w:color w:val="000000" w:themeColor="text1"/>
        </w:rPr>
      </w:r>
      <w:r>
        <w:rPr>
          <w:rFonts w:eastAsiaTheme="majorEastAsia"/>
          <w:i/>
          <w:iCs/>
          <w:color w:val="000000" w:themeColor="text1"/>
        </w:rPr>
      </w:r>
    </w:p>
    <w:p>
      <w:pPr>
        <w:pBdr/>
        <w:tabs>
          <w:tab w:val="left" w:leader="none" w:pos="567"/>
        </w:tabs>
        <w:spacing w:after="120" w:before="120" w:line="276" w:lineRule="auto"/>
        <w:ind w:firstLine="284"/>
        <w:jc w:val="both"/>
        <w:rPr>
          <w:i/>
          <w:iCs/>
          <w:color w:val="000000" w:themeColor="text1"/>
          <w:shd w:val="clear" w:color="auto" w:fill="ffffff"/>
        </w:rPr>
      </w:pPr>
      <w:r>
        <w:rPr>
          <w:i/>
          <w:iCs/>
          <w:color w:val="000000" w:themeColor="text1"/>
          <w:shd w:val="clear" w:color="auto" w:fill="ffffff"/>
        </w:rPr>
        <w:t xml:space="preserve">H</w:t>
      </w:r>
      <w:r>
        <w:rPr>
          <w:i/>
          <w:iCs/>
          <w:color w:val="000000" w:themeColor="text1"/>
          <w:shd w:val="clear" w:color="auto" w:fill="ffffff"/>
          <w:lang w:val="vi-VN"/>
        </w:rPr>
        <w:t xml:space="preserve">ệ số điều chỉnh vùng cho </w:t>
      </w:r>
      <w:r>
        <w:rPr>
          <w:i/>
          <w:iCs/>
          <w:color w:val="000000" w:themeColor="text1"/>
          <w:shd w:val="clear" w:color="auto" w:fill="ffffff"/>
        </w:rPr>
        <w:t xml:space="preserve">Suất vốn đầu tư</w:t>
      </w:r>
      <w:r>
        <w:rPr>
          <w:i/>
          <w:iCs/>
          <w:color w:val="000000" w:themeColor="text1"/>
          <w:shd w:val="clear" w:color="auto" w:fill="ffffff"/>
          <w:lang w:val="vi-VN"/>
        </w:rPr>
        <w:t xml:space="preserve">: </w:t>
      </w:r>
      <w:r>
        <w:rPr>
          <w:i/>
          <w:iCs/>
          <w:color w:val="000000" w:themeColor="text1"/>
          <w:shd w:val="clear" w:color="auto" w:fill="ffffff"/>
        </w:rPr>
        <w:t xml:space="preserve">Thành phố Hà Nội</w:t>
      </w:r>
      <w:r>
        <w:rPr>
          <w:i/>
          <w:iCs/>
          <w:color w:val="000000" w:themeColor="text1"/>
          <w:shd w:val="clear" w:color="auto" w:fill="ffffff"/>
          <w:lang w:val="vi-VN"/>
        </w:rPr>
        <w:t xml:space="preserve"> thuộc vùng </w:t>
      </w:r>
      <w:r>
        <w:rPr>
          <w:i/>
          <w:iCs/>
          <w:color w:val="000000" w:themeColor="text1"/>
          <w:shd w:val="clear" w:color="auto" w:fill="ffffff"/>
        </w:rPr>
        <w:t xml:space="preserve">7</w:t>
      </w:r>
      <w:r>
        <w:rPr>
          <w:i/>
          <w:iCs/>
          <w:color w:val="000000" w:themeColor="text1"/>
          <w:shd w:val="clear" w:color="auto" w:fill="ffffff"/>
          <w:lang w:val="vi-VN"/>
        </w:rPr>
        <w:t xml:space="preserve"> có hệ số điều chỉnh là 0,</w:t>
      </w:r>
      <w:r>
        <w:rPr>
          <w:i/>
          <w:iCs/>
          <w:color w:val="000000" w:themeColor="text1"/>
          <w:shd w:val="clear" w:color="auto" w:fill="ffffff"/>
        </w:rPr>
        <w:t xml:space="preserve">9</w:t>
      </w:r>
      <w:r>
        <w:rPr>
          <w:i/>
          <w:iCs/>
          <w:color w:val="000000" w:themeColor="text1"/>
          <w:shd w:val="clear" w:color="auto" w:fill="ffffff"/>
        </w:rPr>
        <w:t xml:space="preserve">52</w:t>
      </w:r>
      <w:r>
        <w:rPr>
          <w:i/>
          <w:iCs/>
          <w:color w:val="000000" w:themeColor="text1"/>
          <w:shd w:val="clear" w:color="auto" w:fill="ffffff"/>
          <w:lang w:val="vi-VN"/>
        </w:rPr>
        <w:t xml:space="preserve">.</w:t>
      </w:r>
      <w:r>
        <w:rPr>
          <w:i/>
          <w:iCs/>
          <w:color w:val="000000" w:themeColor="text1"/>
          <w:shd w:val="clear" w:color="auto" w:fill="ffffff"/>
        </w:rPr>
        <w:t xml:space="preserve">”</w:t>
      </w:r>
      <w:r>
        <w:rPr>
          <w:i/>
          <w:iCs/>
          <w:color w:val="000000" w:themeColor="text1"/>
          <w:shd w:val="clear" w:color="auto" w:fill="ffffff"/>
        </w:rPr>
      </w:r>
      <w:r>
        <w:rPr>
          <w:i/>
          <w:iCs/>
          <w:color w:val="000000" w:themeColor="text1"/>
          <w:shd w:val="clear" w:color="auto" w:fill="ffffff"/>
        </w:rPr>
      </w:r>
    </w:p>
    <w:p>
      <w:pPr>
        <w:pBdr/>
        <w:spacing w:after="120" w:before="120" w:line="276" w:lineRule="auto"/>
        <w:ind w:firstLine="284"/>
        <w:jc w:val="both"/>
        <w:rPr>
          <w:b/>
          <w:bCs/>
          <w:i/>
          <w:iCs/>
          <w:color w:val="000000" w:themeColor="text1"/>
          <w:spacing w:val="3"/>
          <w:shd w:val="clear" w:color="auto" w:fill="ffffff"/>
        </w:rPr>
      </w:pPr>
      <w:r>
        <w:rPr>
          <w:i/>
          <w:iCs/>
          <w:color w:val="000000" w:themeColor="text1"/>
          <w:spacing w:val="3"/>
          <w:shd w:val="clear" w:color="auto" w:fill="ffffff"/>
          <w:lang w:val="vi-VN"/>
        </w:rPr>
        <w:t xml:space="preserve">Do đó, Tổ thẩm định xác định đơn giá xây mới của công trình </w:t>
      </w:r>
      <w:r>
        <w:rPr>
          <w:i/>
          <w:iCs/>
          <w:color w:val="000000" w:themeColor="text1"/>
          <w:spacing w:val="3"/>
          <w:shd w:val="clear" w:color="auto" w:fill="ffffff"/>
        </w:rPr>
        <w:t xml:space="preserve">xây dựng </w:t>
      </w:r>
      <w:r>
        <w:rPr>
          <w:i/>
          <w:iCs/>
          <w:color w:val="000000" w:themeColor="text1"/>
          <w:spacing w:val="3"/>
          <w:shd w:val="clear" w:color="auto" w:fill="ffffff"/>
          <w:lang w:val="vi-VN"/>
        </w:rPr>
        <w:t xml:space="preserve">là: (</w:t>
      </w:r>
      <w:r>
        <w:rPr>
          <w:i/>
          <w:iCs/>
          <w:color w:val="000000" w:themeColor="text1"/>
          <w:spacing w:val="3"/>
          <w:shd w:val="clear" w:color="auto" w:fill="ffffff"/>
        </w:rPr>
        <w:t xml:space="preserve">Suất vốn đầu tư</w:t>
      </w:r>
      <w:r>
        <w:rPr>
          <w:i/>
          <w:iCs/>
          <w:color w:val="000000" w:themeColor="text1"/>
          <w:spacing w:val="3"/>
          <w:shd w:val="clear" w:color="auto" w:fill="ffffff"/>
          <w:lang w:val="vi-VN"/>
        </w:rPr>
        <w:t xml:space="preserve">) x (Hệ số vùng)</w:t>
      </w:r>
      <w:r>
        <w:rPr>
          <w:i/>
          <w:iCs/>
          <w:color w:val="000000" w:themeColor="text1"/>
          <w:spacing w:val="3"/>
          <w:shd w:val="clear" w:color="auto" w:fill="ffffff"/>
        </w:rPr>
        <w:t xml:space="preserve"> </w:t>
      </w:r>
      <w:r>
        <w:rPr>
          <w:i/>
          <w:iCs/>
          <w:color w:val="000000" w:themeColor="text1"/>
          <w:spacing w:val="3"/>
          <w:shd w:val="clear" w:color="auto" w:fill="ffffff"/>
          <w:lang w:val="vi-VN"/>
        </w:rPr>
        <w:t xml:space="preserve">= </w:t>
      </w:r>
      <w:r>
        <w:rPr>
          <w:rStyle w:val="1020"/>
          <w:rFonts w:eastAsiaTheme="majorEastAsia"/>
          <w:b w:val="0"/>
          <w:bCs w:val="0"/>
          <w:i/>
          <w:iCs/>
          <w:color w:val="000000" w:themeColor="text1"/>
          <w:lang w:val="pt-BR"/>
        </w:rPr>
        <w:t xml:space="preserve">8.370</w:t>
      </w:r>
      <w:r>
        <w:rPr>
          <w:rStyle w:val="1020"/>
          <w:rFonts w:eastAsiaTheme="majorEastAsia"/>
          <w:b w:val="0"/>
          <w:bCs w:val="0"/>
          <w:i/>
          <w:iCs/>
          <w:color w:val="000000" w:themeColor="text1"/>
          <w:lang w:val="pt-BR"/>
        </w:rPr>
        <w:t xml:space="preserve">.000 </w:t>
      </w:r>
      <w:r>
        <w:rPr>
          <w:rStyle w:val="1020"/>
          <w:rFonts w:eastAsiaTheme="majorEastAsia"/>
          <w:b w:val="0"/>
          <w:bCs w:val="0"/>
          <w:i/>
          <w:iCs/>
          <w:color w:val="000000" w:themeColor="text1"/>
          <w:lang w:val="pt-BR"/>
        </w:rPr>
        <w:t xml:space="preserve"> </w:t>
      </w:r>
      <w:r>
        <w:rPr>
          <w:i/>
          <w:iCs/>
          <w:color w:val="000000" w:themeColor="text1"/>
          <w:spacing w:val="3"/>
          <w:shd w:val="clear" w:color="auto" w:fill="ffffff"/>
        </w:rPr>
        <w:t xml:space="preserve">x </w:t>
      </w:r>
      <w:r>
        <w:rPr>
          <w:i/>
          <w:iCs/>
          <w:color w:val="000000" w:themeColor="text1"/>
          <w:spacing w:val="3"/>
          <w:shd w:val="clear" w:color="auto" w:fill="ffffff"/>
          <w:lang w:val="vi-VN"/>
        </w:rPr>
        <w:t xml:space="preserve">0,9</w:t>
      </w:r>
      <w:r>
        <w:rPr>
          <w:i/>
          <w:iCs/>
          <w:color w:val="000000" w:themeColor="text1"/>
          <w:spacing w:val="3"/>
          <w:shd w:val="clear" w:color="auto" w:fill="ffffff"/>
        </w:rPr>
        <w:t xml:space="preserve">52</w:t>
      </w:r>
      <w:r>
        <w:rPr>
          <w:i/>
          <w:iCs/>
          <w:color w:val="000000" w:themeColor="text1"/>
          <w:spacing w:val="3"/>
          <w:shd w:val="clear" w:color="auto" w:fill="ffffff"/>
          <w:lang w:val="vi-VN"/>
        </w:rPr>
        <w:t xml:space="preserve">=</w:t>
      </w:r>
      <w:r>
        <w:rPr>
          <w:b/>
          <w:bCs/>
          <w:i/>
          <w:iCs/>
          <w:color w:val="000000" w:themeColor="text1"/>
          <w:spacing w:val="3"/>
          <w:shd w:val="clear" w:color="auto" w:fill="ffffff"/>
        </w:rPr>
        <w:t xml:space="preserve"> </w:t>
      </w:r>
      <w:r>
        <w:rPr>
          <w:b/>
          <w:bCs/>
          <w:i/>
          <w:iCs/>
          <w:color w:val="000000" w:themeColor="text1"/>
          <w:spacing w:val="3"/>
          <w:shd w:val="clear" w:color="auto" w:fill="ffffff"/>
        </w:rPr>
        <w:t xml:space="preserve">7.968.240</w:t>
      </w:r>
      <w:r>
        <w:rPr>
          <w:b/>
          <w:bCs/>
          <w:i/>
          <w:iCs/>
          <w:color w:val="000000" w:themeColor="text1"/>
          <w:spacing w:val="3"/>
          <w:shd w:val="clear" w:color="auto" w:fill="ffffff"/>
        </w:rPr>
        <w:t xml:space="preserve"> </w:t>
      </w:r>
      <w:r>
        <w:rPr>
          <w:b/>
          <w:bCs/>
          <w:i/>
          <w:iCs/>
          <w:color w:val="000000" w:themeColor="text1"/>
          <w:spacing w:val="3"/>
          <w:shd w:val="clear" w:color="auto" w:fill="ffffff"/>
          <w:lang w:val="vi-VN"/>
        </w:rPr>
        <w:t xml:space="preserve">đồng/m².</w:t>
      </w:r>
      <w:r>
        <w:rPr>
          <w:b/>
          <w:bCs/>
          <w:i/>
          <w:iCs/>
          <w:color w:val="000000" w:themeColor="text1"/>
          <w:spacing w:val="3"/>
          <w:shd w:val="clear" w:color="auto" w:fill="ffffff"/>
        </w:rPr>
      </w:r>
      <w:r>
        <w:rPr>
          <w:b/>
          <w:bCs/>
          <w:i/>
          <w:iCs/>
          <w:color w:val="000000" w:themeColor="text1"/>
          <w:spacing w:val="3"/>
          <w:shd w:val="clear" w:color="auto" w:fill="ffffff"/>
        </w:rPr>
      </w:r>
    </w:p>
    <w:p>
      <w:pPr>
        <w:pStyle w:val="1029"/>
        <w:numPr>
          <w:ilvl w:val="0"/>
          <w:numId w:val="39"/>
        </w:numPr>
        <w:pBdr/>
        <w:spacing w:after="120" w:before="120" w:line="276" w:lineRule="auto"/>
        <w:ind w:hanging="284" w:left="284"/>
        <w:jc w:val="both"/>
        <w:rPr>
          <w:b/>
          <w:bCs/>
          <w:color w:val="000000" w:themeColor="text1"/>
        </w:rPr>
      </w:pPr>
      <w:r>
        <w:rPr>
          <w:b/>
          <w:bCs/>
          <w:color w:val="000000" w:themeColor="text1"/>
        </w:rPr>
        <w:t xml:space="preserve">Xác định giá trị hao mòn theo kỹ thuật tuổi đời:</w:t>
      </w:r>
      <w:r>
        <w:rPr>
          <w:b/>
          <w:bCs/>
          <w:color w:val="000000" w:themeColor="text1"/>
        </w:rPr>
      </w:r>
      <w:r>
        <w:rPr>
          <w:b/>
          <w:bCs/>
          <w:color w:val="000000" w:themeColor="text1"/>
        </w:rPr>
      </w:r>
    </w:p>
    <w:p>
      <w:pPr>
        <w:pBdr/>
        <w:spacing w:after="120" w:before="120" w:line="276" w:lineRule="auto"/>
        <w:ind w:firstLine="284"/>
        <w:jc w:val="both"/>
        <w:rPr>
          <w:color w:val="000000" w:themeColor="text1"/>
          <w:spacing w:val="2"/>
        </w:rPr>
      </w:pPr>
      <w:r>
        <w:rPr>
          <w:color w:val="000000" w:themeColor="text1"/>
          <w:spacing w:val="2"/>
          <w:lang w:val="pt-BR"/>
        </w:rPr>
        <w:t xml:space="preserve">Tỉ lệ hao mòn được tính toán theo phương pháp tuổi đời:</w:t>
      </w:r>
      <w:r>
        <w:rPr>
          <w:color w:val="000000" w:themeColor="text1"/>
          <w:spacing w:val="2"/>
        </w:rPr>
      </w:r>
      <w:r>
        <w:rPr>
          <w:color w:val="000000" w:themeColor="text1"/>
          <w:spacing w:val="2"/>
        </w:rPr>
      </w:r>
    </w:p>
    <w:p>
      <w:pPr>
        <w:pBdr/>
        <w:spacing w:after="120" w:before="120" w:line="276" w:lineRule="auto"/>
        <w:ind w:firstLine="284"/>
        <w:jc w:val="both"/>
        <w:rPr>
          <w:color w:val="000000" w:themeColor="text1"/>
          <w:spacing w:val="2"/>
        </w:rPr>
      </w:pPr>
      <w:r>
        <w:rPr>
          <w:color w:val="000000" w:themeColor="text1"/>
          <w:spacing w:val="2"/>
          <w:lang w:val="pt-BR"/>
        </w:rPr>
        <w:t xml:space="preserve">Công thức: Tỉ lệ hao mòn = Tuổi đời hiệu quả/ Tuổi đời kinh tế</w:t>
      </w:r>
      <w:r>
        <w:rPr>
          <w:color w:val="000000" w:themeColor="text1"/>
          <w:spacing w:val="2"/>
        </w:rPr>
      </w:r>
      <w:r>
        <w:rPr>
          <w:color w:val="000000" w:themeColor="text1"/>
          <w:spacing w:val="2"/>
        </w:rPr>
      </w:r>
    </w:p>
    <w:p>
      <w:pPr>
        <w:pBdr/>
        <w:spacing w:after="120" w:before="120" w:line="276" w:lineRule="auto"/>
        <w:ind w:firstLine="284"/>
        <w:jc w:val="both"/>
        <w:rPr>
          <w:color w:val="000000" w:themeColor="text1"/>
          <w:spacing w:val="2"/>
        </w:rPr>
      </w:pPr>
      <w:r>
        <w:rPr>
          <w:color w:val="000000" w:themeColor="text1"/>
          <w:spacing w:val="2"/>
          <w:lang w:val="pt-BR"/>
        </w:rPr>
        <w:t xml:space="preserve">Tổ thẩm định giả định rằng </w:t>
      </w:r>
      <w:r>
        <w:rPr>
          <w:bCs/>
          <w:color w:val="000000" w:themeColor="text1"/>
          <w:spacing w:val="2"/>
          <w:lang w:val="pt-BR"/>
        </w:rPr>
        <w:t xml:space="preserve">công t</w:t>
      </w:r>
      <w:r>
        <w:rPr>
          <w:bCs/>
          <w:color w:val="000000" w:themeColor="text1"/>
          <w:spacing w:val="2"/>
          <w:lang w:val="pt-BR"/>
        </w:rPr>
        <w:t xml:space="preserve">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thành đưa vào sử dụng khoảng năm 20</w:t>
      </w:r>
      <w:r>
        <w:rPr>
          <w:bCs/>
          <w:color w:val="000000" w:themeColor="text1"/>
          <w:spacing w:val="2"/>
          <w:lang w:val="pt-BR"/>
        </w:rPr>
        <w:t xml:space="preserve">14</w:t>
      </w:r>
      <w:r>
        <w:rPr>
          <w:bCs/>
          <w:color w:val="000000" w:themeColor="text1"/>
          <w:spacing w:val="2"/>
          <w:lang w:val="pt-BR"/>
        </w:rPr>
        <w:t xml:space="preserve">, do vậy, Tổ thẩm định xác định tuổi đời hiệu quả của công trình là khoảng </w:t>
      </w:r>
      <w:r>
        <w:rPr>
          <w:bCs/>
          <w:color w:val="000000" w:themeColor="text1"/>
          <w:spacing w:val="2"/>
          <w:lang w:val="pt-BR"/>
        </w:rPr>
        <w:t xml:space="preserve">12</w:t>
      </w:r>
      <w:r>
        <w:rPr>
          <w:bCs/>
          <w:color w:val="000000" w:themeColor="text1"/>
          <w:spacing w:val="2"/>
          <w:lang w:val="pt-BR"/>
        </w:rPr>
        <w:t xml:space="preserve"> năm.</w:t>
      </w:r>
      <w:r>
        <w:rPr>
          <w:color w:val="000000" w:themeColor="text1"/>
          <w:spacing w:val="2"/>
        </w:rPr>
      </w:r>
      <w:r>
        <w:rPr>
          <w:color w:val="000000" w:themeColor="text1"/>
          <w:spacing w:val="2"/>
        </w:rPr>
      </w:r>
    </w:p>
    <w:p>
      <w:pPr>
        <w:pBdr/>
        <w:spacing w:after="120" w:before="120" w:line="276" w:lineRule="auto"/>
        <w:ind w:firstLine="284"/>
        <w:jc w:val="both"/>
        <w:rPr>
          <w:color w:val="000000" w:themeColor="text1"/>
        </w:rPr>
      </w:pPr>
      <w:r>
        <w:rPr>
          <w:bCs/>
          <w:color w:val="000000" w:themeColor="text1"/>
          <w:lang w:val="pt-BR"/>
        </w:rPr>
        <w:t xml:space="preserve">Vận dụng thời gian trích khấu hao TSCĐ tại</w:t>
      </w:r>
      <w:r>
        <w:rPr>
          <w:color w:val="000000" w:themeColor="text1"/>
          <w:lang w:val="pt-BR"/>
        </w:rPr>
        <w:t xml:space="preserve"> Thông tư 45/2013/TT-BTC của Bộ Tài </w:t>
      </w:r>
      <w:r>
        <w:rPr>
          <w:color w:val="000000" w:themeColor="text1"/>
          <w:lang w:val="pt-BR"/>
        </w:rPr>
        <w:t xml:space="preserve">chính về việc hướng dẫn chế độ quản lý, sử dụng và trích khấu hao tài sản cố định ngày 25/4/2013, kết hợp với khảo sát thông tin thị trường và quan sát hiện trạng thực tế công trình, Tổ thẩm định xác định tuổi đời kinh tế của tài sản thẩm định ước tính là </w:t>
      </w:r>
      <w:r>
        <w:rPr>
          <w:color w:val="000000" w:themeColor="text1"/>
          <w:lang w:val="pt-BR"/>
        </w:rPr>
        <w:t xml:space="preserve">50 năm.</w:t>
      </w:r>
      <w:r>
        <w:rPr>
          <w:color w:val="000000" w:themeColor="text1"/>
        </w:rPr>
      </w:r>
      <w:r>
        <w:rPr>
          <w:color w:val="000000" w:themeColor="text1"/>
        </w:rPr>
      </w:r>
    </w:p>
    <w:tbl>
      <w:tblPr>
        <w:tblW w:w="9618" w:type="dxa"/>
        <w:tblBorders/>
        <w:tblLayout w:type="fixed"/>
        <w:tblLook w:val="04A0" w:firstRow="1" w:lastRow="0" w:firstColumn="1" w:lastColumn="0" w:noHBand="0" w:noVBand="1"/>
      </w:tblPr>
      <w:tblGrid>
        <w:gridCol w:w="1555"/>
        <w:gridCol w:w="1842"/>
        <w:gridCol w:w="1418"/>
        <w:gridCol w:w="1701"/>
        <w:gridCol w:w="1678"/>
        <w:gridCol w:w="1424"/>
      </w:tblGrid>
      <w:tr>
        <w:trPr>
          <w:trHeight w:val="624"/>
        </w:trPr>
        <w:tc>
          <w:tcPr>
            <w:shd w:val="clear" w:color="000000" w:fill="ffffff"/>
            <w:tcBorders>
              <w:top w:val="single" w:color="000000" w:sz="4" w:space="0"/>
              <w:left w:val="single" w:color="000000" w:sz="4" w:space="0"/>
              <w:bottom w:val="single" w:color="000000" w:sz="4" w:space="0"/>
              <w:right w:val="single" w:color="000000" w:sz="4" w:space="0"/>
            </w:tcBorders>
            <w:tcW w:w="1555" w:type="dxa"/>
            <w:vAlign w:val="center"/>
            <w:textDirection w:val="lrTb"/>
            <w:noWrap w:val="false"/>
          </w:tcPr>
          <w:p>
            <w:pPr>
              <w:pBdr/>
              <w:spacing w:after="60" w:before="60"/>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shd w:val="clear" w:color="ffffff" w:fill="ffffff"/>
            <w:tcBorders>
              <w:top w:val="single" w:color="000000" w:sz="4" w:space="0"/>
              <w:left w:val="none" w:color="000000" w:sz="4" w:space="0"/>
              <w:bottom w:val="single" w:color="000000" w:sz="4" w:space="0"/>
              <w:right w:val="single" w:color="000000" w:sz="4" w:space="0"/>
            </w:tcBorders>
            <w:tcW w:w="1842" w:type="dxa"/>
            <w:vAlign w:val="center"/>
            <w:textDirection w:val="lrTb"/>
            <w:noWrap w:val="false"/>
          </w:tcPr>
          <w:p>
            <w:pPr>
              <w:pBdr/>
              <w:spacing w:after="60" w:before="60"/>
              <w:ind/>
              <w:jc w:val="center"/>
              <w:rPr>
                <w:b/>
                <w:bCs/>
                <w:color w:val="000000" w:themeColor="text1"/>
              </w:rPr>
            </w:pPr>
            <w:r>
              <w:rPr>
                <w:b/>
                <w:bCs/>
                <w:color w:val="000000" w:themeColor="text1"/>
              </w:rPr>
              <w:t xml:space="preserve">Năm xây dựng hoàn thành</w:t>
            </w:r>
            <w:r>
              <w:rPr>
                <w:b/>
                <w:bCs/>
                <w:color w:val="000000" w:themeColor="text1"/>
              </w:rPr>
            </w:r>
            <w:r>
              <w:rPr>
                <w:b/>
                <w:bCs/>
                <w:color w:val="000000" w:themeColor="text1"/>
              </w:rPr>
            </w:r>
          </w:p>
        </w:tc>
        <w:tc>
          <w:tcPr>
            <w:shd w:val="clear" w:color="000000" w:fill="ffffff"/>
            <w:tcBorders>
              <w:top w:val="single" w:color="000000" w:sz="4" w:space="0"/>
              <w:left w:val="none" w:color="000000" w:sz="4" w:space="0"/>
              <w:bottom w:val="single" w:color="000000" w:sz="4" w:space="0"/>
              <w:right w:val="single" w:color="000000" w:sz="4" w:space="0"/>
            </w:tcBorders>
            <w:tcW w:w="1418" w:type="dxa"/>
            <w:vAlign w:val="center"/>
            <w:textDirection w:val="lrTb"/>
            <w:noWrap w:val="false"/>
          </w:tcPr>
          <w:p>
            <w:pPr>
              <w:pBdr/>
              <w:spacing w:after="60" w:before="60"/>
              <w:ind/>
              <w:jc w:val="center"/>
              <w:rPr>
                <w:b/>
                <w:bCs/>
                <w:color w:val="000000" w:themeColor="text1"/>
              </w:rPr>
            </w:pPr>
            <w:r>
              <w:rPr>
                <w:b/>
                <w:bCs/>
                <w:color w:val="000000" w:themeColor="text1"/>
              </w:rPr>
              <w:t xml:space="preserve">Thời điểm thẩm định</w:t>
            </w:r>
            <w:r>
              <w:rPr>
                <w:b/>
                <w:bCs/>
                <w:color w:val="000000" w:themeColor="text1"/>
              </w:rPr>
            </w:r>
            <w:r>
              <w:rPr>
                <w:b/>
                <w:bCs/>
                <w:color w:val="000000" w:themeColor="text1"/>
              </w:rPr>
            </w:r>
          </w:p>
        </w:tc>
        <w:tc>
          <w:tcPr>
            <w:shd w:val="clear" w:color="000000" w:fill="ffffff"/>
            <w:tcBorders>
              <w:top w:val="single" w:color="000000" w:sz="4" w:space="0"/>
              <w:left w:val="none" w:color="000000" w:sz="4" w:space="0"/>
              <w:bottom w:val="single" w:color="000000" w:sz="4" w:space="0"/>
              <w:right w:val="single" w:color="000000" w:sz="4" w:space="0"/>
            </w:tcBorders>
            <w:tcW w:w="1701" w:type="dxa"/>
            <w:vAlign w:val="center"/>
            <w:textDirection w:val="lrTb"/>
            <w:noWrap w:val="false"/>
          </w:tcPr>
          <w:p>
            <w:pPr>
              <w:pBdr/>
              <w:spacing w:after="60" w:before="60"/>
              <w:ind/>
              <w:jc w:val="center"/>
              <w:rPr>
                <w:b/>
                <w:bCs/>
                <w:color w:val="000000" w:themeColor="text1"/>
              </w:rPr>
            </w:pPr>
            <w:r>
              <w:rPr>
                <w:b/>
                <w:bCs/>
                <w:color w:val="000000" w:themeColor="text1"/>
              </w:rPr>
              <w:t xml:space="preserve">Tuổi đời kinh tế (năm)</w:t>
            </w:r>
            <w:r>
              <w:rPr>
                <w:b/>
                <w:bCs/>
                <w:color w:val="000000" w:themeColor="text1"/>
              </w:rPr>
            </w:r>
            <w:r>
              <w:rPr>
                <w:b/>
                <w:bCs/>
                <w:color w:val="000000" w:themeColor="text1"/>
              </w:rPr>
            </w:r>
          </w:p>
        </w:tc>
        <w:tc>
          <w:tcPr>
            <w:shd w:val="clear" w:color="000000" w:fill="ffffff"/>
            <w:tcBorders>
              <w:top w:val="single" w:color="000000" w:sz="4" w:space="0"/>
              <w:left w:val="none" w:color="000000" w:sz="4" w:space="0"/>
              <w:bottom w:val="single" w:color="000000" w:sz="4" w:space="0"/>
              <w:right w:val="single" w:color="000000" w:sz="4" w:space="0"/>
            </w:tcBorders>
            <w:tcW w:w="1678" w:type="dxa"/>
            <w:vAlign w:val="center"/>
            <w:textDirection w:val="lrTb"/>
            <w:noWrap w:val="false"/>
          </w:tcPr>
          <w:p>
            <w:pPr>
              <w:pBdr/>
              <w:spacing w:after="60" w:before="60"/>
              <w:ind/>
              <w:jc w:val="center"/>
              <w:rPr>
                <w:b/>
                <w:bCs/>
                <w:color w:val="000000" w:themeColor="text1"/>
              </w:rPr>
            </w:pPr>
            <w:r>
              <w:rPr>
                <w:b/>
                <w:bCs/>
                <w:color w:val="000000" w:themeColor="text1"/>
              </w:rPr>
              <w:t xml:space="preserve">Tuổi đời hiệu quả (năm)</w:t>
            </w:r>
            <w:r>
              <w:rPr>
                <w:b/>
                <w:bCs/>
                <w:color w:val="000000" w:themeColor="text1"/>
              </w:rPr>
            </w:r>
            <w:r>
              <w:rPr>
                <w:b/>
                <w:bCs/>
                <w:color w:val="000000" w:themeColor="text1"/>
              </w:rPr>
            </w:r>
          </w:p>
        </w:tc>
        <w:tc>
          <w:tcPr>
            <w:shd w:val="clear" w:color="000000" w:fill="ffffff"/>
            <w:tcBorders>
              <w:top w:val="single" w:color="000000" w:sz="4" w:space="0"/>
              <w:left w:val="none" w:color="000000" w:sz="4" w:space="0"/>
              <w:bottom w:val="single" w:color="000000" w:sz="4" w:space="0"/>
              <w:right w:val="single" w:color="000000" w:sz="4" w:space="0"/>
            </w:tcBorders>
            <w:tcW w:w="1424" w:type="dxa"/>
            <w:vAlign w:val="center"/>
            <w:textDirection w:val="lrTb"/>
            <w:noWrap w:val="false"/>
          </w:tcPr>
          <w:p>
            <w:pPr>
              <w:pBdr/>
              <w:spacing w:after="60" w:before="60"/>
              <w:ind/>
              <w:jc w:val="center"/>
              <w:rPr>
                <w:b/>
                <w:bCs/>
                <w:color w:val="000000" w:themeColor="text1"/>
              </w:rPr>
            </w:pPr>
            <w:r>
              <w:rPr>
                <w:b/>
                <w:bCs/>
                <w:color w:val="000000" w:themeColor="text1"/>
              </w:rPr>
              <w:t xml:space="preserve">Tỉ lệ hao mòn (%)</w:t>
            </w:r>
            <w:r>
              <w:rPr>
                <w:b/>
                <w:bCs/>
                <w:color w:val="000000" w:themeColor="text1"/>
              </w:rPr>
            </w:r>
            <w:r>
              <w:rPr>
                <w:b/>
                <w:bCs/>
                <w:color w:val="000000" w:themeColor="text1"/>
              </w:rPr>
            </w:r>
          </w:p>
        </w:tc>
      </w:tr>
      <w:tr>
        <w:trPr>
          <w:trHeight w:val="312"/>
        </w:trPr>
        <w:tc>
          <w:tcPr>
            <w:shd w:val="clear" w:color="000000" w:fill="ffffff"/>
            <w:tcBorders>
              <w:top w:val="none" w:color="000000" w:sz="4" w:space="0"/>
              <w:left w:val="single" w:color="000000" w:sz="4" w:space="0"/>
              <w:bottom w:val="single" w:color="000000" w:sz="4" w:space="0"/>
              <w:right w:val="single" w:color="000000" w:sz="4" w:space="0"/>
            </w:tcBorders>
            <w:tcW w:w="1555" w:type="dxa"/>
            <w:vAlign w:val="center"/>
            <w:textDirection w:val="lrTb"/>
            <w:noWrap w:val="false"/>
          </w:tcPr>
          <w:p>
            <w:pPr>
              <w:pBdr/>
              <w:spacing w:after="60" w:before="60"/>
              <w:ind/>
              <w:jc w:val="center"/>
              <w:rPr>
                <w:color w:val="000000" w:themeColor="text1"/>
              </w:rPr>
            </w:pPr>
            <w:r>
              <w:rPr>
                <w:color w:val="000000" w:themeColor="text1"/>
              </w:rPr>
              <w:t xml:space="preserve">Nhà 03 tầng</w:t>
            </w:r>
            <w:r>
              <w:rPr>
                <w:color w:val="000000" w:themeColor="text1"/>
              </w:rPr>
            </w:r>
            <w:r>
              <w:rPr>
                <w:color w:val="000000" w:themeColor="text1"/>
              </w:rPr>
            </w:r>
          </w:p>
        </w:tc>
        <w:tc>
          <w:tcPr>
            <w:shd w:val="clear" w:color="ffffff" w:fill="ffffff"/>
            <w:tcBorders>
              <w:top w:val="none" w:color="000000" w:sz="4" w:space="0"/>
              <w:left w:val="none" w:color="000000" w:sz="4" w:space="0"/>
              <w:bottom w:val="single" w:color="000000" w:sz="4" w:space="0"/>
              <w:right w:val="single" w:color="000000" w:sz="4" w:space="0"/>
            </w:tcBorders>
            <w:tcW w:w="1842" w:type="dxa"/>
            <w:vAlign w:val="center"/>
            <w:textDirection w:val="lrTb"/>
            <w:noWrap/>
          </w:tcPr>
          <w:p>
            <w:pPr>
              <w:pBdr/>
              <w:spacing w:after="60" w:before="60"/>
              <w:ind/>
              <w:jc w:val="center"/>
              <w:rPr>
                <w:color w:val="000000" w:themeColor="text1"/>
              </w:rPr>
            </w:pPr>
            <w:r>
              <w:rPr>
                <w:color w:val="000000" w:themeColor="text1"/>
              </w:rPr>
              <w:t xml:space="preserve">2014</w:t>
            </w:r>
            <w:r>
              <w:rPr>
                <w:color w:val="000000" w:themeColor="text1"/>
              </w:rPr>
            </w:r>
            <w:r>
              <w:rPr>
                <w:color w:val="000000" w:themeColor="text1"/>
              </w:rPr>
            </w:r>
          </w:p>
        </w:tc>
        <w:tc>
          <w:tcPr>
            <w:shd w:val="clear" w:color="000000" w:fill="ffffff"/>
            <w:tcBorders>
              <w:top w:val="none" w:color="000000" w:sz="4" w:space="0"/>
              <w:left w:val="none" w:color="000000" w:sz="4" w:space="0"/>
              <w:bottom w:val="single" w:color="000000" w:sz="4" w:space="0"/>
              <w:right w:val="single" w:color="000000" w:sz="4" w:space="0"/>
            </w:tcBorders>
            <w:tcW w:w="1418" w:type="dxa"/>
            <w:vAlign w:val="center"/>
            <w:textDirection w:val="lrTb"/>
            <w:noWrap w:val="false"/>
          </w:tcPr>
          <w:p>
            <w:pPr>
              <w:pBdr/>
              <w:spacing w:after="60" w:before="60"/>
              <w:ind/>
              <w:jc w:val="center"/>
              <w:rPr>
                <w:color w:val="000000" w:themeColor="text1"/>
              </w:rPr>
            </w:pPr>
            <w:r>
              <w:rPr>
                <w:color w:val="000000" w:themeColor="text1"/>
              </w:rPr>
              <w:t xml:space="preserve">2026</w:t>
            </w:r>
            <w:r>
              <w:rPr>
                <w:color w:val="000000" w:themeColor="text1"/>
              </w:rPr>
            </w:r>
            <w:r>
              <w:rPr>
                <w:color w:val="000000" w:themeColor="text1"/>
              </w:rPr>
            </w:r>
          </w:p>
        </w:tc>
        <w:tc>
          <w:tcPr>
            <w:shd w:val="clear" w:color="000000" w:fill="ffffff"/>
            <w:tcBorders>
              <w:top w:val="none" w:color="000000" w:sz="4" w:space="0"/>
              <w:left w:val="none" w:color="000000" w:sz="4" w:space="0"/>
              <w:bottom w:val="single" w:color="000000" w:sz="4" w:space="0"/>
              <w:right w:val="single" w:color="000000" w:sz="4" w:space="0"/>
            </w:tcBorders>
            <w:tcW w:w="1701" w:type="dxa"/>
            <w:vAlign w:val="center"/>
            <w:textDirection w:val="lrTb"/>
            <w:noWrap w:val="false"/>
          </w:tcPr>
          <w:p>
            <w:pPr>
              <w:pBdr/>
              <w:spacing w:after="60" w:before="60"/>
              <w:ind/>
              <w:jc w:val="center"/>
              <w:rPr>
                <w:color w:val="000000" w:themeColor="text1"/>
              </w:rPr>
            </w:pPr>
            <w:r>
              <w:rPr>
                <w:color w:val="000000" w:themeColor="text1"/>
              </w:rPr>
              <w:t xml:space="preserve">50</w:t>
            </w:r>
            <w:r>
              <w:rPr>
                <w:color w:val="000000" w:themeColor="text1"/>
              </w:rPr>
            </w:r>
            <w:r>
              <w:rPr>
                <w:color w:val="000000" w:themeColor="text1"/>
              </w:rPr>
            </w:r>
          </w:p>
        </w:tc>
        <w:tc>
          <w:tcPr>
            <w:shd w:val="clear" w:color="000000" w:fill="ffffff"/>
            <w:tcBorders>
              <w:top w:val="none" w:color="000000" w:sz="4" w:space="0"/>
              <w:left w:val="none" w:color="000000" w:sz="4" w:space="0"/>
              <w:bottom w:val="single" w:color="000000" w:sz="4" w:space="0"/>
              <w:right w:val="single" w:color="000000" w:sz="4" w:space="0"/>
            </w:tcBorders>
            <w:tcW w:w="1678" w:type="dxa"/>
            <w:vAlign w:val="center"/>
            <w:textDirection w:val="lrTb"/>
            <w:noWrap w:val="false"/>
          </w:tcPr>
          <w:p>
            <w:pPr>
              <w:pBdr/>
              <w:spacing w:after="60" w:before="60"/>
              <w:ind/>
              <w:jc w:val="center"/>
              <w:rPr>
                <w:color w:val="000000" w:themeColor="text1"/>
              </w:rPr>
            </w:pPr>
            <w:r>
              <w:rPr>
                <w:color w:val="000000" w:themeColor="text1"/>
              </w:rPr>
              <w:t xml:space="preserve">12</w:t>
            </w:r>
            <w:r>
              <w:rPr>
                <w:color w:val="000000" w:themeColor="text1"/>
              </w:rPr>
            </w:r>
            <w:r>
              <w:rPr>
                <w:color w:val="000000" w:themeColor="text1"/>
              </w:rPr>
            </w:r>
          </w:p>
        </w:tc>
        <w:tc>
          <w:tcPr>
            <w:shd w:val="clear" w:color="000000" w:fill="ffffff"/>
            <w:tcBorders>
              <w:top w:val="none" w:color="000000" w:sz="4" w:space="0"/>
              <w:left w:val="none" w:color="000000" w:sz="4" w:space="0"/>
              <w:bottom w:val="single" w:color="000000" w:sz="4" w:space="0"/>
              <w:right w:val="single" w:color="000000" w:sz="4" w:space="0"/>
            </w:tcBorders>
            <w:tcW w:w="1424" w:type="dxa"/>
            <w:vAlign w:val="center"/>
            <w:textDirection w:val="lrTb"/>
            <w:noWrap w:val="false"/>
          </w:tcPr>
          <w:p>
            <w:pPr>
              <w:pBdr/>
              <w:spacing w:after="60" w:before="60"/>
              <w:ind/>
              <w:jc w:val="center"/>
              <w:rPr>
                <w:color w:val="000000" w:themeColor="text1"/>
              </w:rPr>
            </w:pPr>
            <w:r>
              <w:rPr>
                <w:color w:val="000000" w:themeColor="text1"/>
              </w:rPr>
              <w:t xml:space="preserve">24%</w:t>
            </w:r>
            <w:r>
              <w:rPr>
                <w:color w:val="000000" w:themeColor="text1"/>
              </w:rPr>
            </w:r>
            <w:r>
              <w:rPr>
                <w:color w:val="000000" w:themeColor="text1"/>
              </w:rPr>
            </w:r>
          </w:p>
        </w:tc>
      </w:tr>
    </w:tbl>
    <w:p>
      <w:pPr>
        <w:pBdr/>
        <w:spacing w:after="120" w:before="120" w:line="276" w:lineRule="auto"/>
        <w:ind w:firstLine="284"/>
        <w:jc w:val="both"/>
        <w:rPr>
          <w:b/>
          <w:color w:val="000000" w:themeColor="text1"/>
        </w:rPr>
      </w:pPr>
      <w:r>
        <w:rPr>
          <w:bCs/>
          <w:color w:val="000000" w:themeColor="text1"/>
          <w:lang w:val="pt-BR"/>
        </w:rPr>
        <w:t xml:space="preserve">Tổ thẩm định xác định tỉ lệ hao mòn của tài sản thẩm định là: </w:t>
      </w:r>
      <w:r>
        <w:rPr>
          <w:b/>
          <w:color w:val="000000" w:themeColor="text1"/>
          <w:lang w:val="pt-BR"/>
        </w:rPr>
        <w:t xml:space="preserve">24</w:t>
      </w:r>
      <w:r>
        <w:rPr>
          <w:b/>
          <w:color w:val="000000" w:themeColor="text1"/>
          <w:lang w:val="pt-BR"/>
        </w:rPr>
        <w:t xml:space="preserve">,0</w:t>
      </w:r>
      <w:r>
        <w:rPr>
          <w:b/>
          <w:color w:val="000000" w:themeColor="text1"/>
          <w:lang w:val="pt-BR"/>
        </w:rPr>
        <w:t xml:space="preserve">%</w:t>
      </w:r>
      <w:r>
        <w:rPr>
          <w:bCs/>
          <w:color w:val="000000" w:themeColor="text1"/>
          <w:lang w:val="pt-BR"/>
        </w:rPr>
        <w:t xml:space="preserve">, tương đương tỷ lệ chất lượng còn lại của tài sản là: </w:t>
      </w:r>
      <w:r>
        <w:rPr>
          <w:b/>
          <w:color w:val="000000" w:themeColor="text1"/>
          <w:lang w:val="pt-BR"/>
        </w:rPr>
        <w:t xml:space="preserve">76</w:t>
      </w:r>
      <w:r>
        <w:rPr>
          <w:b/>
          <w:color w:val="000000" w:themeColor="text1"/>
          <w:lang w:val="pt-BR"/>
        </w:rPr>
        <w:t xml:space="preserve">,0%.</w:t>
      </w:r>
      <w:r>
        <w:rPr>
          <w:b/>
          <w:color w:val="000000" w:themeColor="text1"/>
        </w:rPr>
      </w:r>
      <w:r>
        <w:rPr>
          <w:b/>
          <w:color w:val="000000" w:themeColor="text1"/>
        </w:rPr>
      </w:r>
    </w:p>
    <w:p>
      <w:pPr>
        <w:pStyle w:val="1029"/>
        <w:numPr>
          <w:ilvl w:val="0"/>
          <w:numId w:val="40"/>
        </w:numPr>
        <w:pBdr/>
        <w:spacing w:after="120" w:before="120" w:line="276" w:lineRule="auto"/>
        <w:ind/>
        <w:jc w:val="both"/>
        <w:rPr>
          <w:b/>
          <w:bCs/>
          <w:color w:val="000000" w:themeColor="text1"/>
        </w:rPr>
      </w:pPr>
      <w:r>
        <w:rPr>
          <w:b/>
          <w:bCs/>
          <w:color w:val="000000" w:themeColor="text1"/>
        </w:rPr>
        <w:t xml:space="preserve">Xác định giá trị của công trình xây dựng trên đất:</w:t>
      </w:r>
      <w:r>
        <w:rPr>
          <w:b/>
          <w:bCs/>
          <w:color w:val="000000" w:themeColor="text1"/>
        </w:rPr>
      </w:r>
      <w:r>
        <w:rPr>
          <w:b/>
          <w:bCs/>
          <w:color w:val="000000" w:themeColor="text1"/>
        </w:rPr>
      </w:r>
    </w:p>
    <w:p>
      <w:pPr>
        <w:pBdr/>
        <w:spacing w:after="80" w:before="80" w:line="276" w:lineRule="auto"/>
        <w:ind w:firstLine="284"/>
        <w:jc w:val="both"/>
        <w:rPr>
          <w:color w:val="000000" w:themeColor="text1"/>
          <w:spacing w:val="2"/>
        </w:rPr>
      </w:pPr>
      <w:r>
        <w:rPr>
          <w:color w:val="000000" w:themeColor="text1"/>
          <w:spacing w:val="2"/>
          <w:lang w:val="pt-BR"/>
        </w:rPr>
        <w:t xml:space="preserve">Công thức:</w:t>
      </w:r>
      <w:r>
        <w:rPr>
          <w:color w:val="000000" w:themeColor="text1"/>
          <w:spacing w:val="2"/>
        </w:rPr>
      </w:r>
      <w:r>
        <w:rPr>
          <w:color w:val="000000" w:themeColor="text1"/>
          <w:spacing w:val="2"/>
        </w:rPr>
      </w:r>
    </w:p>
    <w:tbl>
      <w:tblPr>
        <w:tblInd w:w="250" w:type="dxa"/>
        <w:tblW w:w="9356" w:type="dxa"/>
        <w:tblCellMar>
          <w:left w:w="0" w:type="dxa"/>
          <w:right w:w="0" w:type="dxa"/>
        </w:tblCellMar>
        <w:tblBorders/>
        <w:shd w:val="clear" w:color="auto" w:fill="ffffff"/>
        <w:tblCellSpacing w:w="0" w:type="dxa"/>
        <w:tblLook w:val="04A0" w:firstRow="1" w:lastRow="0" w:firstColumn="1" w:lastColumn="0" w:noHBand="0" w:noVBand="1"/>
      </w:tblPr>
      <w:tblGrid>
        <w:gridCol w:w="1847"/>
        <w:gridCol w:w="376"/>
        <w:gridCol w:w="4156"/>
        <w:gridCol w:w="360"/>
        <w:gridCol w:w="2617"/>
      </w:tblGrid>
      <w:tr>
        <w:trPr>
          <w:tblCellSpacing w:w="0" w:type="dxa"/>
          <w:trHeight w:val="794"/>
        </w:trPr>
        <w:tc>
          <w:tcPr>
            <w:shd w:val="clear" w:color="ffffff" w:fill="ffffff"/>
            <w:tcBorders/>
            <w:tcMar>
              <w:left w:w="108" w:type="dxa"/>
              <w:top w:w="0" w:type="dxa"/>
              <w:right w:w="108" w:type="dxa"/>
              <w:bottom w:w="0" w:type="dxa"/>
            </w:tcMar>
            <w:tcW w:w="1847" w:type="dxa"/>
            <w:vAlign w:val="center"/>
            <w:textDirection w:val="lrTb"/>
            <w:noWrap w:val="false"/>
          </w:tcPr>
          <w:p>
            <w:pPr>
              <w:pStyle w:val="1030"/>
              <w:pBdr/>
              <w:spacing w:after="0" w:afterAutospacing="0" w:before="0" w:beforeAutospacing="0" w:line="234" w:lineRule="atLeast"/>
              <w:ind/>
              <w:jc w:val="center"/>
              <w:rPr>
                <w:color w:val="000000" w:themeColor="text1"/>
              </w:rPr>
            </w:pPr>
            <w:r>
              <w:rPr>
                <w:color w:val="000000" w:themeColor="text1"/>
              </w:rPr>
              <w:t xml:space="preserve">Giá trị ước tính của tài sản</w:t>
            </w:r>
            <w:r>
              <w:rPr>
                <w:color w:val="000000" w:themeColor="text1"/>
              </w:rPr>
            </w:r>
            <w:r>
              <w:rPr>
                <w:color w:val="000000" w:themeColor="text1"/>
              </w:rPr>
            </w:r>
          </w:p>
        </w:tc>
        <w:tc>
          <w:tcPr>
            <w:shd w:val="clear" w:color="ffffff" w:fill="ffffff"/>
            <w:tcBorders/>
            <w:tcMar>
              <w:left w:w="108" w:type="dxa"/>
              <w:top w:w="0" w:type="dxa"/>
              <w:right w:w="108" w:type="dxa"/>
              <w:bottom w:w="0" w:type="dxa"/>
            </w:tcMar>
            <w:tcW w:w="376" w:type="dxa"/>
            <w:vAlign w:val="center"/>
            <w:textDirection w:val="lrTb"/>
            <w:noWrap w:val="false"/>
          </w:tcPr>
          <w:p>
            <w:pPr>
              <w:pStyle w:val="1030"/>
              <w:pBdr/>
              <w:spacing w:after="0" w:afterAutospacing="0" w:before="0" w:beforeAutospacing="0" w:line="234" w:lineRule="atLeast"/>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ffffff" w:fill="ffffff"/>
            <w:tcBorders/>
            <w:tcMar>
              <w:left w:w="108" w:type="dxa"/>
              <w:top w:w="0" w:type="dxa"/>
              <w:right w:w="108" w:type="dxa"/>
              <w:bottom w:w="0" w:type="dxa"/>
            </w:tcMar>
            <w:tcW w:w="4156" w:type="dxa"/>
            <w:vAlign w:val="center"/>
            <w:textDirection w:val="lrTb"/>
            <w:noWrap w:val="false"/>
          </w:tcPr>
          <w:p>
            <w:pPr>
              <w:pStyle w:val="1030"/>
              <w:pBdr/>
              <w:spacing w:after="0" w:afterAutospacing="0" w:before="0" w:beforeAutospacing="0" w:line="234" w:lineRule="atLeast"/>
              <w:ind/>
              <w:jc w:val="center"/>
              <w:rPr>
                <w:color w:val="000000" w:themeColor="text1"/>
              </w:rPr>
            </w:pPr>
            <w:r>
              <w:rPr>
                <w:color w:val="000000" w:themeColor="text1"/>
              </w:rPr>
              <w:t xml:space="preserve">Chi phí thay thế </w:t>
            </w:r>
            <w:r>
              <w:rPr>
                <w:color w:val="000000" w:themeColor="text1"/>
              </w:rPr>
            </w:r>
            <w:r>
              <w:rPr>
                <w:color w:val="000000" w:themeColor="text1"/>
              </w:rPr>
            </w:r>
          </w:p>
          <w:p>
            <w:pPr>
              <w:pStyle w:val="1030"/>
              <w:pBdr/>
              <w:spacing w:after="120" w:afterAutospacing="0" w:before="0" w:beforeAutospacing="0" w:line="234" w:lineRule="atLeast"/>
              <w:ind/>
              <w:jc w:val="center"/>
              <w:rPr>
                <w:color w:val="000000" w:themeColor="text1"/>
              </w:rPr>
            </w:pPr>
            <w:r>
              <w:rPr>
                <w:color w:val="000000" w:themeColor="text1"/>
              </w:rPr>
              <w:t xml:space="preserve">(Giá trị xây mới tài sản-đã bao gồm lợi nhuận của nhà sản xuất/nhà đầu tư)</w:t>
            </w:r>
            <w:r>
              <w:rPr>
                <w:color w:val="000000" w:themeColor="text1"/>
              </w:rPr>
            </w:r>
            <w:r>
              <w:rPr>
                <w:color w:val="000000" w:themeColor="text1"/>
              </w:rPr>
            </w:r>
          </w:p>
        </w:tc>
        <w:tc>
          <w:tcPr>
            <w:shd w:val="clear" w:color="ffffff" w:fill="ffffff"/>
            <w:tcBorders/>
            <w:tcMar>
              <w:left w:w="108" w:type="dxa"/>
              <w:top w:w="0" w:type="dxa"/>
              <w:right w:w="108" w:type="dxa"/>
              <w:bottom w:w="0" w:type="dxa"/>
            </w:tcMar>
            <w:tcW w:w="360" w:type="dxa"/>
            <w:vAlign w:val="center"/>
            <w:textDirection w:val="lrTb"/>
            <w:noWrap w:val="false"/>
          </w:tcPr>
          <w:p>
            <w:pPr>
              <w:pStyle w:val="1030"/>
              <w:pBdr/>
              <w:spacing w:after="0" w:afterAutospacing="0" w:before="0" w:beforeAutospacing="0" w:line="234" w:lineRule="atLeast"/>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ffffff" w:fill="ffffff"/>
            <w:tcBorders/>
            <w:tcMar>
              <w:left w:w="108" w:type="dxa"/>
              <w:top w:w="0" w:type="dxa"/>
              <w:right w:w="108" w:type="dxa"/>
              <w:bottom w:w="0" w:type="dxa"/>
            </w:tcMar>
            <w:tcW w:w="2617" w:type="dxa"/>
            <w:vAlign w:val="center"/>
            <w:textDirection w:val="lrTb"/>
            <w:noWrap w:val="false"/>
          </w:tcPr>
          <w:p>
            <w:pPr>
              <w:pStyle w:val="1030"/>
              <w:pBdr/>
              <w:spacing w:after="0" w:afterAutospacing="0" w:before="0" w:beforeAutospacing="0" w:line="234" w:lineRule="atLeast"/>
              <w:ind/>
              <w:jc w:val="center"/>
              <w:rPr>
                <w:color w:val="000000" w:themeColor="text1"/>
              </w:rPr>
            </w:pPr>
            <w:r>
              <w:rPr>
                <w:color w:val="000000" w:themeColor="text1"/>
              </w:rPr>
              <w:t xml:space="preserve">Tổng giá trị hao mòn </w:t>
            </w:r>
            <w:r>
              <w:rPr>
                <w:color w:val="000000" w:themeColor="text1"/>
              </w:rPr>
            </w:r>
            <w:r>
              <w:rPr>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75"/>
        <w:gridCol w:w="1127"/>
        <w:gridCol w:w="1578"/>
        <w:gridCol w:w="1559"/>
        <w:gridCol w:w="1165"/>
        <w:gridCol w:w="1389"/>
        <w:gridCol w:w="1722"/>
      </w:tblGrid>
      <w:tr>
        <w:trPr>
          <w:trHeight w:val="936"/>
        </w:trPr>
        <w:tc>
          <w:tcPr>
            <w:shd w:val="clear" w:color="000000" w:fill="ffffff"/>
            <w:tcBorders/>
            <w:tcW w:w="513"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Tài sản</w:t>
            </w:r>
            <w:r>
              <w:rPr>
                <w:b/>
                <w:bCs/>
                <w:color w:val="000000" w:themeColor="text1"/>
                <w:sz w:val="22"/>
                <w:szCs w:val="22"/>
              </w:rPr>
            </w:r>
            <w:r>
              <w:rPr>
                <w:b/>
                <w:bCs/>
                <w:color w:val="000000" w:themeColor="text1"/>
                <w:sz w:val="22"/>
                <w:szCs w:val="22"/>
              </w:rPr>
            </w:r>
          </w:p>
        </w:tc>
        <w:tc>
          <w:tcPr>
            <w:shd w:val="clear" w:color="000000" w:fill="ffffff"/>
            <w:tcBorders/>
            <w:tcW w:w="592"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829"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Đơn giá xây dựng mới (đồng/m² sàn)</w:t>
            </w:r>
            <w:r>
              <w:rPr>
                <w:b/>
                <w:bCs/>
                <w:color w:val="000000" w:themeColor="text1"/>
                <w:sz w:val="22"/>
                <w:szCs w:val="22"/>
              </w:rPr>
            </w:r>
            <w:r>
              <w:rPr>
                <w:b/>
                <w:bCs/>
                <w:color w:val="000000" w:themeColor="text1"/>
                <w:sz w:val="22"/>
                <w:szCs w:val="22"/>
              </w:rPr>
            </w:r>
          </w:p>
        </w:tc>
        <w:tc>
          <w:tcPr>
            <w:shd w:val="clear" w:color="000000" w:fill="ffffff"/>
            <w:tcBorders/>
            <w:tcW w:w="819"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Chi phí thay thế (đồng)</w:t>
            </w:r>
            <w:r>
              <w:rPr>
                <w:b/>
                <w:bCs/>
                <w:color w:val="000000" w:themeColor="text1"/>
                <w:sz w:val="22"/>
                <w:szCs w:val="22"/>
              </w:rPr>
            </w:r>
            <w:r>
              <w:rPr>
                <w:b/>
                <w:bCs/>
                <w:color w:val="000000" w:themeColor="text1"/>
                <w:sz w:val="22"/>
                <w:szCs w:val="22"/>
              </w:rPr>
            </w:r>
          </w:p>
        </w:tc>
        <w:tc>
          <w:tcPr>
            <w:shd w:val="clear" w:color="000000" w:fill="ffffff"/>
            <w:tcBorders/>
            <w:tcW w:w="612"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Tỷ lệ hao mòn (%)</w:t>
            </w:r>
            <w:r>
              <w:rPr>
                <w:b/>
                <w:bCs/>
                <w:color w:val="000000" w:themeColor="text1"/>
                <w:sz w:val="22"/>
                <w:szCs w:val="22"/>
              </w:rPr>
            </w:r>
            <w:r>
              <w:rPr>
                <w:b/>
                <w:bCs/>
                <w:color w:val="000000" w:themeColor="text1"/>
                <w:sz w:val="22"/>
                <w:szCs w:val="22"/>
              </w:rPr>
            </w:r>
          </w:p>
        </w:tc>
        <w:tc>
          <w:tcPr>
            <w:shd w:val="clear" w:color="000000" w:fill="ffffff"/>
            <w:tcBorders/>
            <w:tcW w:w="730"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hao mòn (đồng)</w:t>
            </w:r>
            <w:r>
              <w:rPr>
                <w:b/>
                <w:bCs/>
                <w:color w:val="000000" w:themeColor="text1"/>
                <w:sz w:val="22"/>
                <w:szCs w:val="22"/>
              </w:rPr>
            </w:r>
            <w:r>
              <w:rPr>
                <w:b/>
                <w:bCs/>
                <w:color w:val="000000" w:themeColor="text1"/>
                <w:sz w:val="22"/>
                <w:szCs w:val="22"/>
              </w:rPr>
            </w:r>
          </w:p>
        </w:tc>
        <w:tc>
          <w:tcPr>
            <w:shd w:val="clear" w:color="000000" w:fill="ffffff"/>
            <w:tcBorders/>
            <w:tcW w:w="905"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thẩm định tại thời điểm thẩm định giá (đồng)</w:t>
            </w:r>
            <w:r>
              <w:rPr>
                <w:b/>
                <w:bCs/>
                <w:color w:val="000000" w:themeColor="text1"/>
                <w:sz w:val="22"/>
                <w:szCs w:val="22"/>
              </w:rPr>
            </w:r>
            <w:r>
              <w:rPr>
                <w:b/>
                <w:bCs/>
                <w:color w:val="000000" w:themeColor="text1"/>
                <w:sz w:val="22"/>
                <w:szCs w:val="22"/>
              </w:rPr>
            </w:r>
          </w:p>
        </w:tc>
      </w:tr>
      <w:tr>
        <w:trPr>
          <w:trHeight w:val="300"/>
        </w:trPr>
        <w:tc>
          <w:tcPr>
            <w:shd w:val="clear" w:color="000000" w:fill="ffffff"/>
            <w:tcBorders/>
            <w:tcW w:w="513"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000000" w:fill="ffffff"/>
            <w:tcBorders/>
            <w:tcW w:w="592"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000000" w:fill="ffffff"/>
            <w:tcBorders/>
            <w:tcW w:w="829"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819"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shd w:val="clear" w:color="000000" w:fill="ffffff"/>
            <w:tcBorders/>
            <w:tcW w:w="612"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730"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905" w:type="pct"/>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7</w:t>
            </w:r>
            <w:r>
              <w:rPr>
                <w:b/>
                <w:bCs/>
                <w:color w:val="000000" w:themeColor="text1"/>
                <w:sz w:val="22"/>
                <w:szCs w:val="22"/>
              </w:rPr>
              <w:t xml:space="preserve">) = (4) - (</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r>
      <w:tr>
        <w:trPr>
          <w:trHeight w:val="312"/>
        </w:trPr>
        <w:tc>
          <w:tcPr>
            <w:shd w:val="clear" w:color="ffffff" w:fill="ffffff"/>
            <w:tcBorders/>
            <w:tcW w:w="513" w:type="pct"/>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03 tầng</w:t>
            </w:r>
            <w:r>
              <w:rPr>
                <w:color w:val="000000" w:themeColor="text1"/>
                <w:sz w:val="22"/>
                <w:szCs w:val="22"/>
              </w:rPr>
            </w:r>
            <w:r>
              <w:rPr>
                <w:color w:val="000000" w:themeColor="text1"/>
                <w:sz w:val="22"/>
                <w:szCs w:val="22"/>
              </w:rPr>
            </w:r>
          </w:p>
        </w:tc>
        <w:tc>
          <w:tcPr>
            <w:shd w:val="clear" w:color="ffffff" w:fill="ffffff"/>
            <w:tcBorders/>
            <w:tcW w:w="592" w:type="pct"/>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234,73</w:t>
            </w:r>
            <w:r>
              <w:rPr>
                <w:color w:val="000000" w:themeColor="text1"/>
                <w:sz w:val="22"/>
                <w:szCs w:val="22"/>
              </w:rPr>
            </w:r>
            <w:r>
              <w:rPr>
                <w:color w:val="000000" w:themeColor="text1"/>
                <w:sz w:val="22"/>
                <w:szCs w:val="22"/>
              </w:rPr>
            </w:r>
          </w:p>
        </w:tc>
        <w:tc>
          <w:tcPr>
            <w:shd w:val="clear" w:color="ffffff" w:fill="ffffff"/>
            <w:tcBorders/>
            <w:tcW w:w="829" w:type="pct"/>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7.968.240</w:t>
            </w:r>
            <w:r>
              <w:rPr>
                <w:color w:val="000000" w:themeColor="text1"/>
                <w:sz w:val="22"/>
                <w:szCs w:val="22"/>
              </w:rPr>
            </w:r>
            <w:r>
              <w:rPr>
                <w:color w:val="000000" w:themeColor="text1"/>
                <w:sz w:val="22"/>
                <w:szCs w:val="22"/>
              </w:rPr>
            </w:r>
          </w:p>
        </w:tc>
        <w:tc>
          <w:tcPr>
            <w:shd w:val="clear" w:color="ffffff" w:fill="ffffff"/>
            <w:tcBorders/>
            <w:tcW w:w="819" w:type="pct"/>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1.870.384.975</w:t>
            </w:r>
            <w:r>
              <w:rPr>
                <w:color w:val="000000" w:themeColor="text1"/>
                <w:sz w:val="22"/>
                <w:szCs w:val="22"/>
              </w:rPr>
            </w:r>
            <w:r>
              <w:rPr>
                <w:color w:val="000000" w:themeColor="text1"/>
                <w:sz w:val="22"/>
                <w:szCs w:val="22"/>
              </w:rPr>
            </w:r>
          </w:p>
        </w:tc>
        <w:tc>
          <w:tcPr>
            <w:tcBorders/>
            <w:tcW w:w="612" w:type="pct"/>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24%</w:t>
            </w:r>
            <w:r>
              <w:rPr>
                <w:color w:val="000000" w:themeColor="text1"/>
                <w:sz w:val="22"/>
                <w:szCs w:val="22"/>
              </w:rPr>
            </w:r>
            <w:r>
              <w:rPr>
                <w:color w:val="000000" w:themeColor="text1"/>
                <w:sz w:val="22"/>
                <w:szCs w:val="22"/>
              </w:rPr>
            </w:r>
          </w:p>
        </w:tc>
        <w:tc>
          <w:tcPr>
            <w:shd w:val="clear" w:color="ffffff" w:fill="ffffff"/>
            <w:tcBorders/>
            <w:tcW w:w="730" w:type="pct"/>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448.892.394</w:t>
            </w:r>
            <w:r>
              <w:rPr>
                <w:color w:val="000000" w:themeColor="text1"/>
                <w:sz w:val="22"/>
                <w:szCs w:val="22"/>
              </w:rPr>
            </w:r>
            <w:r>
              <w:rPr>
                <w:color w:val="000000" w:themeColor="text1"/>
                <w:sz w:val="22"/>
                <w:szCs w:val="22"/>
              </w:rPr>
            </w:r>
          </w:p>
        </w:tc>
        <w:tc>
          <w:tcPr>
            <w:shd w:val="clear" w:color="ffffff" w:fill="ffffff"/>
            <w:tcBorders/>
            <w:tcW w:w="905" w:type="pct"/>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1.421.492.581</w:t>
            </w:r>
            <w:r>
              <w:rPr>
                <w:color w:val="000000" w:themeColor="text1"/>
                <w:sz w:val="22"/>
                <w:szCs w:val="22"/>
              </w:rPr>
            </w:r>
            <w:r>
              <w:rPr>
                <w:color w:val="000000" w:themeColor="text1"/>
                <w:sz w:val="22"/>
                <w:szCs w:val="22"/>
              </w:rPr>
            </w:r>
          </w:p>
        </w:tc>
      </w:tr>
    </w:tbl>
    <w:p>
      <w:pPr>
        <w:pStyle w:val="1029"/>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9"/>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b/>
                <w:color w:val="000000" w:themeColor="text1"/>
                <w:sz w:val="24"/>
              </w:rPr>
              <w:t xml:space="preserve">Tỷ lệ chất lượng còn lại (%)</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và tài sản gắn liền với đất tại thửa đất số: D102-NV, tờ bản đồ số: Trích đo có địa chỉ: Ô 102 Lô D - Khu Nhà vườn - Khu Đô thị mới Việt Hưng - Phường Giang Biên - Quận Long Biên - TP Hà Nội (Nay là phường Việt Hưng, Thành p</w:t>
            </w:r>
            <w:r>
              <w:rPr>
                <w:color w:val="000000" w:themeColor="text1"/>
              </w:rPr>
              <w:t xml:space="preserve">hố Hà Nội) theo Giấy chứng nhận quyền sử dụng đất quyền sở hữu nhà ở và tài sản khác gắn liền với đất số: BS 310567, số vào sổ cấp GCN: 3730 do Uỷ ban nhân dân quận Long Biên cấp ngày 24/01/2014; Chủ sử dụng đất là Ông Dương Huy Đôn và Bà Lê Thị Phương Mai</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120,4</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289.400.000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34.843.760.000</w:t>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3 tầng</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234,73</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7.968.240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76%</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1.421.492.581</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36.265.252.581</w:t>
            </w:r>
            <w:r>
              <w:rPr>
                <w:b/>
                <w:bCs/>
                <w:color w:val="000000" w:themeColor="text1"/>
              </w:rPr>
            </w:r>
            <w:r>
              <w:rPr>
                <w:b/>
                <w:bCs/>
                <w:color w:val="000000" w:themeColor="text1"/>
              </w:rPr>
            </w:r>
          </w:p>
        </w:tc>
      </w:tr>
      <w:tr>
        <w:trPr>
          <w:trHeight w:val="20"/>
        </w:trPr>
        <w:tc>
          <w:tcPr>
            <w:gridSpan w:val="6"/>
            <w:tcBorders/>
            <w:tcW w:w="770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36.265.000.000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Ba mươi sáu tỷ hai trăm sáu mươi lăm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9"/>
        <w:pBdr/>
        <w:tabs>
          <w:tab w:val="left" w:leader="none" w:pos="993"/>
        </w:tabs>
        <w:spacing w:after="120" w:before="120" w:line="288" w:lineRule="auto"/>
        <w:ind w:left="0"/>
        <w:jc w:val="both"/>
        <w:rPr>
          <w:b/>
          <w:bCs/>
          <w:color w:val="000000" w:themeColor="text1"/>
        </w:rPr>
      </w:pPr>
      <w:r>
        <w:rPr>
          <w:b/>
          <w:bCs/>
          <w:color w:val="000000" w:themeColor="text1"/>
          <w:highlight w:val="none"/>
          <w:lang w:val="pt-BR"/>
        </w:rPr>
      </w:r>
      <w:r>
        <w:rPr>
          <w:b/>
          <w:bCs/>
          <w:color w:val="000000" w:themeColor="text1"/>
        </w:rPr>
      </w:r>
      <w:r>
        <w:rPr>
          <w:b/>
          <w:bCs/>
          <w:color w:val="000000" w:themeColor="text1"/>
        </w:rPr>
      </w:r>
    </w:p>
    <w:p>
      <w:pPr>
        <w:pStyle w:val="1029"/>
        <w:pBdr/>
        <w:tabs>
          <w:tab w:val="left" w:leader="none" w:pos="993"/>
        </w:tabs>
        <w:spacing w:after="120" w:before="120" w:line="288" w:lineRule="auto"/>
        <w:ind w:left="0"/>
        <w:jc w:val="both"/>
        <w:rPr>
          <w:b/>
          <w:bCs/>
          <w:color w:val="000000" w:themeColor="text1"/>
          <w:highlight w:val="none"/>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bCs/>
          <w:color w:val="000000" w:themeColor="text1"/>
          <w:highlight w:val="none"/>
        </w:rPr>
      </w:r>
      <w:r>
        <w:rPr>
          <w:b/>
          <w:bCs/>
          <w:color w:val="000000" w:themeColor="text1"/>
          <w:highlight w:val="none"/>
        </w:rPr>
      </w:r>
    </w:p>
    <w:p>
      <w:pPr>
        <w:pStyle w:val="1029"/>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9"/>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9"/>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9"/>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9"/>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9"/>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9"/>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9"/>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9"/>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29"/>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29"/>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9"/>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9"/>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9"/>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9"/>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275/2026/0945/VFI-CT.65.A</w:t>
      </w:r>
      <w:r>
        <w:rPr>
          <w:color w:val="000000" w:themeColor="text1"/>
          <w:lang w:val="vi-VN"/>
        </w:rPr>
        <w:t xml:space="preserve"> </w:t>
      </w:r>
      <w:r>
        <w:rPr>
          <w:color w:val="000000" w:themeColor="text1"/>
        </w:rPr>
        <w:t xml:space="preserve">ngày 24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275/2026/0945/VFI-BC.65.A</w:t>
      </w:r>
      <w:r>
        <w:rPr>
          <w:i/>
          <w:color w:val="000000" w:themeColor="text1"/>
          <w:lang w:val="pt-BR"/>
        </w:rPr>
        <w:t xml:space="preserve"> </w:t>
      </w:r>
      <w:r>
        <w:rPr>
          <w:i/>
          <w:color w:val="000000" w:themeColor="text1"/>
          <w:lang w:val="pt-BR"/>
        </w:rPr>
        <w:t xml:space="preserve">ngày 24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83"/>
        <w:gridCol w:w="4542"/>
      </w:tblGrid>
      <w:tr>
        <w:trPr/>
        <w:tc>
          <w:tcPr>
            <w:tcBorders/>
            <w:tcW w:w="4983"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542"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4983"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458045" cy="25381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5235" name=""/>
                              <pic:cNvPicPr>
                                <a:picLocks noChangeAspect="1"/>
                              </pic:cNvPicPr>
                              <pic:nvPr/>
                            </pic:nvPicPr>
                            <pic:blipFill rotWithShape="1">
                              <a:blip r:embed="rId18"/>
                              <a:stretch/>
                            </pic:blipFill>
                            <pic:spPr bwMode="auto">
                              <a:xfrm flipH="0" flipV="0">
                                <a:off x="0" y="0"/>
                                <a:ext cx="2458044" cy="2538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3.55pt;height:199.85pt;mso-wrap-distance-left:0.00pt;mso-wrap-distance-top:0.00pt;mso-wrap-distance-right:0.00pt;mso-wrap-distance-bottom:0.00pt;z-index:1;" stroked="false">
                      <v:imagedata r:id="rId18" o:title=""/>
                      <o:lock v:ext="edit" rotation="t"/>
                    </v:shape>
                  </w:pict>
                </mc:Fallback>
              </mc:AlternateContent>
            </w:r>
            <w:r>
              <w:rPr>
                <w:b/>
                <w:bCs/>
                <w:i/>
                <w:color w:val="000000" w:themeColor="text1"/>
              </w:rPr>
            </w:r>
            <w:r>
              <w:rPr>
                <w:b/>
                <w:bCs/>
                <w:i/>
                <w:color w:val="000000" w:themeColor="text1"/>
              </w:rPr>
            </w:r>
          </w:p>
        </w:tc>
        <w:tc>
          <w:tcPr>
            <w:tcBorders/>
            <w:tcW w:w="4542"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29212" cy="24969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7872" name=""/>
                              <pic:cNvPicPr>
                                <a:picLocks noChangeAspect="1"/>
                              </pic:cNvPicPr>
                              <pic:nvPr/>
                            </pic:nvPicPr>
                            <pic:blipFill rotWithShape="1">
                              <a:blip r:embed="rId19"/>
                              <a:stretch/>
                            </pic:blipFill>
                            <pic:spPr bwMode="auto">
                              <a:xfrm rot="0" flipH="0" flipV="0">
                                <a:off x="0" y="0"/>
                                <a:ext cx="3329211" cy="2496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2.14pt;height:196.61pt;mso-wrap-distance-left:0.00pt;mso-wrap-distance-top:0.00pt;mso-wrap-distance-right:0.00pt;mso-wrap-distance-bottom:0.00pt;rotation:0;z-index:1;" stroked="false">
                      <v:imagedata r:id="rId19" o:title=""/>
                      <o:lock v:ext="edit" rotation="t"/>
                    </v:shape>
                  </w:pict>
                </mc:Fallback>
              </mc:AlternateContent>
            </w:r>
            <w:r>
              <w:rPr>
                <w:b/>
                <w:bCs/>
                <w:i/>
                <w:color w:val="000000" w:themeColor="text1"/>
              </w:rPr>
            </w:r>
            <w:r>
              <w:rPr>
                <w:b/>
                <w:bCs/>
                <w:i/>
                <w:color w:val="000000" w:themeColor="text1"/>
              </w:rPr>
            </w:r>
          </w:p>
        </w:tc>
      </w:tr>
    </w:tbl>
    <w:tbl>
      <w:tblPr>
        <w:tblStyle w:val="103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983"/>
        <w:gridCol w:w="4542"/>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6543" cy="214766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62509" name=""/>
                              <pic:cNvPicPr>
                                <a:picLocks noChangeAspect="1"/>
                              </pic:cNvPicPr>
                              <pic:nvPr/>
                            </pic:nvPicPr>
                            <pic:blipFill rotWithShape="1">
                              <a:blip r:embed="rId20"/>
                              <a:stretch/>
                            </pic:blipFill>
                            <pic:spPr bwMode="auto">
                              <a:xfrm flipH="0" flipV="0">
                                <a:off x="0" y="0"/>
                                <a:ext cx="2866543" cy="21476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71pt;height:169.11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7949" cy="21209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98592" name=""/>
                              <pic:cNvPicPr>
                                <a:picLocks noChangeAspect="1"/>
                              </pic:cNvPicPr>
                              <pic:nvPr/>
                            </pic:nvPicPr>
                            <pic:blipFill rotWithShape="1">
                              <a:blip r:embed="rId21"/>
                              <a:stretch/>
                            </pic:blipFill>
                            <pic:spPr bwMode="auto">
                              <a:xfrm flipH="0" flipV="0">
                                <a:off x="0" y="0"/>
                                <a:ext cx="2827949" cy="21209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67pt;height:167.00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0000" cy="2309590"/>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61411" name="Picture 14"/>
                              <pic:cNvPicPr>
                                <a:picLocks noChangeAspect="1"/>
                              </pic:cNvPicPr>
                              <pic:nvPr/>
                            </pic:nvPicPr>
                            <pic:blipFill rotWithShape="1">
                              <a:blip r:embed="rId22"/>
                              <a:srcRect l="3287" t="0" r="3287" b="0"/>
                              <a:stretch/>
                            </pic:blipFill>
                            <pic:spPr bwMode="auto">
                              <a:xfrm rot="0" flipH="0" flipV="0">
                                <a:off x="0" y="0"/>
                                <a:ext cx="2880000" cy="2309589"/>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81.86pt;mso-wrap-distance-left:0.00pt;mso-wrap-distance-top:0.00pt;mso-wrap-distance-right:0.00pt;mso-wrap-distance-bottom:0.00pt;rotation:0;z-index:1;" stroked="f">
                      <v:imagedata r:id="rId22" o:title="" croptop="0f" cropleft="2154f" cropbottom="0f" cropright="2154f"/>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0000" cy="2309590"/>
                      <wp:effectExtent l="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30391" name="Picture 15"/>
                              <pic:cNvPicPr>
                                <a:picLocks noChangeAspect="1"/>
                              </pic:cNvPicPr>
                              <pic:nvPr/>
                            </pic:nvPicPr>
                            <pic:blipFill rotWithShape="1">
                              <a:blip r:embed="rId23"/>
                              <a:srcRect l="0" t="19927" r="0" b="19926"/>
                              <a:stretch/>
                            </pic:blipFill>
                            <pic:spPr bwMode="auto">
                              <a:xfrm rot="0" flipH="0" flipV="0">
                                <a:off x="0" y="0"/>
                                <a:ext cx="2880000" cy="2309589"/>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81.86pt;mso-wrap-distance-left:0.00pt;mso-wrap-distance-top:0.00pt;mso-wrap-distance-right:0.00pt;mso-wrap-distance-bottom:0.00pt;rotation:0;z-index:1;" stroked="f">
                      <v:imagedata r:id="rId23" o:title="" croptop="13059f" cropleft="0f" cropbottom="13059f" cropright="0f"/>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Cs/>
          <w:i/>
          <w:color w:val="000000" w:themeColor="text1"/>
        </w:rPr>
      </w:pPr>
      <w:r>
        <w:rPr>
          <w:b/>
          <w:color w:val="000000" w:themeColor="text1"/>
          <w:highlight w:val="none"/>
        </w:rPr>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8010525" cy="600789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79569" name=""/>
                        <pic:cNvPicPr>
                          <a:picLocks noChangeAspect="1"/>
                        </pic:cNvPicPr>
                        <pic:nvPr/>
                      </pic:nvPicPr>
                      <pic:blipFill rotWithShape="1">
                        <a:blip r:embed="rId24"/>
                        <a:stretch/>
                      </pic:blipFill>
                      <pic:spPr bwMode="auto">
                        <a:xfrm rot="5399976" flipH="0" flipV="0">
                          <a:off x="0" y="0"/>
                          <a:ext cx="8010524" cy="60078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630.75pt;height:473.06pt;mso-wrap-distance-left:0.00pt;mso-wrap-distance-top:0.00pt;mso-wrap-distance-right:0.00pt;mso-wrap-distance-bottom:0.00pt;rotation:89;z-index:1;" stroked="false">
                <v:imagedata r:id="rId24"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sz w:val="20"/>
          <w:szCs w:val="20"/>
          <w:highlight w:val="none"/>
        </w:rPr>
      </w:pPr>
      <w:r>
        <w:rPr>
          <w:b/>
          <w:bCs/>
          <w:color w:val="000000" w:themeColor="text1"/>
          <w:sz w:val="20"/>
          <w:szCs w:val="20"/>
          <w:highlight w:val="none"/>
        </w:rPr>
      </w:r>
      <w:r>
        <w:rPr>
          <w:b/>
          <w:bCs/>
          <w:color w:val="000000" w:themeColor="text1"/>
          <w:sz w:val="20"/>
          <w:szCs w:val="20"/>
          <w:highlight w:val="none"/>
        </w:rPr>
      </w:r>
      <w:r>
        <w:rPr>
          <w:b/>
          <w:bCs/>
          <w:color w:val="000000" w:themeColor="text1"/>
          <w:sz w:val="20"/>
          <w:szCs w:val="20"/>
          <w:highlight w:val="none"/>
        </w:rPr>
      </w:r>
    </w:p>
    <w:p>
      <w:pPr>
        <w:pBdr/>
        <w:spacing w:after="200" w:line="276" w:lineRule="auto"/>
        <w:ind/>
        <w:jc w:val="center"/>
        <w:rPr>
          <w:b/>
          <w:bCs/>
          <w:color w:val="000000" w:themeColor="text1"/>
          <w:sz w:val="12"/>
          <w:szCs w:val="12"/>
          <w:highlight w:val="none"/>
        </w:rPr>
      </w:pPr>
      <w:r>
        <w:rPr>
          <w:b/>
          <w:color w:val="000000" w:themeColor="text1"/>
          <w:sz w:val="12"/>
          <w:szCs w:val="12"/>
          <w:highlight w:val="none"/>
        </w:rPr>
      </w:r>
      <w:r>
        <w:rPr>
          <w:b/>
          <w:bCs/>
          <w:color w:val="000000" w:themeColor="text1"/>
          <w:sz w:val="12"/>
          <w:szCs w:val="12"/>
          <w:highlight w:val="none"/>
        </w:rPr>
      </w:r>
      <w:r>
        <w:rPr>
          <w:b/>
          <w:bCs/>
          <w:color w:val="000000" w:themeColor="text1"/>
          <w:sz w:val="12"/>
          <w:szCs w:val="12"/>
          <w:highlight w:val="none"/>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8005303" cy="600397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60959" name=""/>
                        <pic:cNvPicPr>
                          <a:picLocks noChangeAspect="1"/>
                        </pic:cNvPicPr>
                        <pic:nvPr/>
                      </pic:nvPicPr>
                      <pic:blipFill rotWithShape="1">
                        <a:blip r:embed="rId25"/>
                        <a:stretch/>
                      </pic:blipFill>
                      <pic:spPr bwMode="auto">
                        <a:xfrm rot="5399976" flipH="0" flipV="0">
                          <a:off x="0" y="0"/>
                          <a:ext cx="8005303" cy="6003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30.34pt;height:472.75pt;mso-wrap-distance-left:0.00pt;mso-wrap-distance-top:0.00pt;mso-wrap-distance-right:0.00pt;mso-wrap-distance-bottom:0.00pt;rotation:89;z-index:1;" stroked="false">
                <v:imagedata r:id="rId25"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275/2026/0945/VFI-BC.65.A</w:t>
      </w:r>
      <w:r>
        <w:rPr>
          <w:i/>
          <w:color w:val="000000" w:themeColor="text1"/>
        </w:rPr>
        <w:t xml:space="preserve"> ngày</w:t>
      </w:r>
      <w:r>
        <w:rPr>
          <w:i/>
          <w:color w:val="000000" w:themeColor="text1"/>
          <w:lang w:val="pt-BR"/>
        </w:rPr>
        <w:t xml:space="preserve"> </w:t>
      </w:r>
      <w:r>
        <w:rPr>
          <w:i/>
          <w:color w:val="000000" w:themeColor="text1"/>
          <w:lang w:val="pt-BR"/>
        </w:rPr>
        <w:t xml:space="preserve">24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https://alonhadat.com.vn/9-ty-co-dat-phan-lo-tai-dinh-cu-giang-bien-via-he-oto-tranh-cuc-hiem-17015519.html</w:t>
            </w:r>
            <w:r>
              <w:rPr>
                <w:color w:val="000000" w:themeColor="text1"/>
                <w:sz w:val="22"/>
                <w:szCs w:val="22"/>
              </w:rPr>
              <w:br/>
              <w:t xml:space="preserve">0839.181.289</w:t>
            </w:r>
            <w:r>
              <w:rPr>
                <w:color w:val="000000" w:themeColor="text1"/>
                <w:sz w:val="22"/>
                <w:szCs w:val="22"/>
              </w:rPr>
              <w:t xml:space="preserve"> </w:t>
            </w:r>
            <w:r>
              <w:rPr>
                <w:color w:val="000000" w:themeColor="text1"/>
                <w:sz w:val="22"/>
                <w:szCs w:val="22"/>
              </w:rPr>
              <w:t xml:space="preserve">(Hùng Anh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Giang Biên, Quận Long Biên, Thành phố Hà Nội </w:t>
            </w:r>
            <w:r>
              <w:rPr>
                <w:rFonts w:ascii="Times New Roman" w:hAnsi="Times New Roman" w:eastAsia="Times New Roman" w:cs="Times New Roman"/>
                <w:i/>
                <w:color w:val="000000" w:themeColor="text1"/>
                <w:sz w:val="22"/>
              </w:rPr>
              <w:t xml:space="preserve">(Nay là phường Việt Hưng, Thành phố Hà Nội)</w:t>
            </w:r>
            <w:r>
              <w:rPr>
                <w:rFonts w:ascii="Times New Roman" w:hAnsi="Times New Roman" w:eastAsia="Times New Roman" w:cs="Times New Roman"/>
                <w:color w:val="000000" w:themeColor="text1"/>
                <w:sz w:val="22"/>
              </w:rPr>
              <w:t xml:space="preserve">, tiếp giáp đường Phạm Khắc Quảng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340690" cy="3247117"/>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340689" cy="32471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0.53pt;height:255.68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113474" cy="337928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113474" cy="33792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2.64pt;height:266.09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016829" cy="3063411"/>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97947775" name="" descr=""/>
                              <pic:cNvPicPr/>
                              <pic:nvPr/>
                            </pic:nvPicPr>
                            <pic:blipFill rotWithShape="1">
                              <a:blip r:embed="rId28"/>
                              <a:stretch/>
                            </pic:blipFill>
                            <pic:spPr bwMode="auto">
                              <a:xfrm flipH="0" flipV="0">
                                <a:off x="0" y="0"/>
                                <a:ext cx="5016828" cy="30634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5.03pt;height:241.21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sz w:val="10"/>
                <w:szCs w:val="10"/>
              </w:rPr>
            </w:pPr>
            <w:r>
              <w:rPr>
                <w:color w:val="000000" w:themeColor="text1"/>
                <w:sz w:val="10"/>
                <w:szCs w:val="10"/>
              </w:rPr>
            </w:r>
            <w:r>
              <w:rPr>
                <w:color w:val="000000" w:themeColor="text1"/>
                <w:sz w:val="10"/>
                <w:szCs w:val="10"/>
              </w:rPr>
            </w:r>
            <w:r>
              <w:rPr>
                <w:color w:val="000000" w:themeColor="text1"/>
                <w:sz w:val="10"/>
                <w:szCs w:val="10"/>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https://batdongsan.com.vn/ban-nha-biet-thu-lien-ke-duong-bui-thien-ngo-phuong-viet-hung-2-khu-do-thi-viet-hung/ban-tang-toan-bo-noi-that-nhap-khau-tien-ty-gia-39-9-ty-kinh-doanh-pr43494177</w:t>
            </w:r>
            <w:r>
              <w:rPr>
                <w:color w:val="000000" w:themeColor="text1"/>
                <w:sz w:val="22"/>
                <w:szCs w:val="22"/>
              </w:rPr>
              <w:br/>
              <w:t xml:space="preserve">0973909258</w:t>
            </w:r>
            <w:r>
              <w:rPr>
                <w:color w:val="000000" w:themeColor="text1"/>
                <w:sz w:val="22"/>
                <w:szCs w:val="22"/>
              </w:rPr>
              <w:t xml:space="preserve"> </w:t>
            </w:r>
            <w:r>
              <w:rPr>
                <w:color w:val="000000" w:themeColor="text1"/>
                <w:sz w:val="22"/>
                <w:szCs w:val="22"/>
              </w:rPr>
              <w:t xml:space="preserve">(Chi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42.000.000.000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Giang Biên, Quận Long Biên, Thành phố Hà Nội </w:t>
            </w:r>
            <w:r>
              <w:rPr>
                <w:rFonts w:ascii="Times New Roman" w:hAnsi="Times New Roman" w:eastAsia="Times New Roman" w:cs="Times New Roman"/>
                <w:i/>
                <w:color w:val="000000" w:themeColor="text1"/>
                <w:sz w:val="22"/>
              </w:rPr>
              <w:t xml:space="preserve">(Nay là phường Việt Hưng, Thành phố Hà Nội)</w:t>
            </w:r>
            <w:r>
              <w:rPr>
                <w:rFonts w:ascii="Times New Roman" w:hAnsi="Times New Roman" w:eastAsia="Times New Roman" w:cs="Times New Roman"/>
                <w:color w:val="000000" w:themeColor="text1"/>
                <w:sz w:val="22"/>
              </w:rPr>
              <w:t xml:space="preserve">, tiếp giáp đường Bùi Thiện Ngộ</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35940" cy="33303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435939" cy="3330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8.03pt;height:262.23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416890" cy="354384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924777271" name="" descr=""/>
                              <pic:cNvPicPr/>
                              <pic:nvPr/>
                            </pic:nvPicPr>
                            <pic:blipFill rotWithShape="1">
                              <a:blip r:embed="rId30"/>
                              <a:stretch/>
                            </pic:blipFill>
                            <pic:spPr bwMode="auto">
                              <a:xfrm flipH="0" flipV="0">
                                <a:off x="0" y="0"/>
                                <a:ext cx="5416889" cy="35438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6.53pt;height:279.04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https://alonhadat.com.vn/-biet-thu-xanh-viet-hung-mat-pho-tang-thang-may-gia--18411643.html</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0912447886</w:t>
            </w:r>
            <w:r>
              <w:rPr>
                <w:color w:val="000000" w:themeColor="text1"/>
                <w:sz w:val="22"/>
                <w:szCs w:val="22"/>
              </w:rPr>
              <w:t xml:space="preserve"> </w:t>
            </w:r>
            <w:r>
              <w:rPr>
                <w:color w:val="000000" w:themeColor="text1"/>
                <w:sz w:val="22"/>
                <w:szCs w:val="22"/>
              </w:rPr>
              <w:t xml:space="preserve">(Thịnh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44.900.000.000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38.165.000.000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Giang Biên, Quận Long Biên, Thành phố Hà Nội </w:t>
            </w:r>
            <w:r>
              <w:rPr>
                <w:rFonts w:ascii="Times New Roman" w:hAnsi="Times New Roman" w:eastAsia="Times New Roman" w:cs="Times New Roman"/>
                <w:i/>
                <w:color w:val="000000" w:themeColor="text1"/>
                <w:sz w:val="22"/>
              </w:rPr>
              <w:t xml:space="preserve">(Nay là phường Việt Hưng, Thành phố Hà Nội)</w:t>
            </w:r>
            <w:r>
              <w:rPr>
                <w:rFonts w:ascii="Times New Roman" w:hAnsi="Times New Roman" w:eastAsia="Times New Roman" w:cs="Times New Roman"/>
                <w:color w:val="000000" w:themeColor="text1"/>
                <w:sz w:val="22"/>
              </w:rPr>
              <w:t xml:space="preserve">, tiếp giáp đường Bùi Thiện Ngộ</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Thóp hậu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397590" cy="2697797"/>
                      <wp:effectExtent l="0" t="0" r="0" b="0"/>
                      <wp:docPr id="19" name=""/>
                      <wp:cNvGraphicFramePr/>
                      <a:graphic xmlns:a="http://schemas.openxmlformats.org/drawingml/2006/main">
                        <a:graphicData uri="http://schemas.openxmlformats.org/drawingml/2006/picture">
                          <pic:pic xmlns:pic="http://schemas.openxmlformats.org/drawingml/2006/picture">
                            <pic:nvPicPr>
                              <pic:cNvPr id="1909465693" name="" descr=""/>
                              <pic:cNvPicPr/>
                              <pic:nvPr/>
                            </pic:nvPicPr>
                            <pic:blipFill rotWithShape="1">
                              <a:blip r:embed="rId31"/>
                              <a:stretch/>
                            </pic:blipFill>
                            <pic:spPr bwMode="auto">
                              <a:xfrm flipH="0" flipV="0">
                                <a:off x="0" y="0"/>
                                <a:ext cx="3397589" cy="26977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7.53pt;height:212.42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65326" cy="2697797"/>
                      <wp:effectExtent l="0" t="0" r="0" b="0"/>
                      <wp:docPr id="20" name=""/>
                      <wp:cNvGraphicFramePr/>
                      <a:graphic xmlns:a="http://schemas.openxmlformats.org/drawingml/2006/main">
                        <a:graphicData uri="http://schemas.openxmlformats.org/drawingml/2006/picture">
                          <pic:pic xmlns:pic="http://schemas.openxmlformats.org/drawingml/2006/picture">
                            <pic:nvPicPr>
                              <pic:cNvPr id="504930204" name="" descr=""/>
                              <pic:cNvPicPr/>
                              <pic:nvPr/>
                            </pic:nvPicPr>
                            <pic:blipFill rotWithShape="1">
                              <a:blip r:embed="rId32"/>
                              <a:stretch/>
                            </pic:blipFill>
                            <pic:spPr bwMode="auto">
                              <a:xfrm rot="0" flipH="0" flipV="0">
                                <a:off x="0" y="0"/>
                                <a:ext cx="1965326" cy="26977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4.75pt;height:212.42pt;mso-wrap-distance-left:0.00pt;mso-wrap-distance-top:0.00pt;mso-wrap-distance-right:0.00pt;mso-wrap-distance-bottom:0.00pt;rotation:0;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sz w:val="18"/>
                <w:szCs w:val="18"/>
              </w:rPr>
            </w:pPr>
            <w:r>
              <w:rPr>
                <w:color w:val="000000" w:themeColor="text1"/>
                <w:sz w:val="18"/>
                <w:szCs w:val="18"/>
              </w:rPr>
            </w:r>
            <w:r>
              <w:rPr>
                <w:color w:val="000000" w:themeColor="text1"/>
                <w:sz w:val="18"/>
                <w:szCs w:val="18"/>
              </w:rPr>
            </w:r>
            <w:r>
              <w:rPr>
                <w:color w:val="000000" w:themeColor="text1"/>
                <w:sz w:val="18"/>
                <w:szCs w:val="18"/>
              </w:rPr>
            </w:r>
          </w:p>
          <w:p>
            <w:pPr>
              <w:pBdr/>
              <w:spacing/>
              <w:ind/>
              <w:jc w:val="center"/>
              <w:rPr>
                <w:color w:val="000000" w:themeColor="text1"/>
                <w:sz w:val="16"/>
                <w:szCs w:val="16"/>
              </w:rPr>
            </w:pPr>
            <w:r>
              <w:rPr>
                <w:color w:val="000000" w:themeColor="text1"/>
                <w:sz w:val="16"/>
                <w:szCs w:val="16"/>
              </w:rPr>
            </w:r>
            <w:r>
              <w:rPr>
                <w:color w:val="000000" w:themeColor="text1"/>
                <w:sz w:val="16"/>
                <w:szCs w:val="16"/>
              </w:rPr>
            </w:r>
            <w:r>
              <w:rPr>
                <w:color w:val="000000" w:themeColor="text1"/>
                <w:sz w:val="16"/>
                <w:szCs w:val="16"/>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10044"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color w:val="000000" w:themeColor="text1"/>
        </w:rPr>
      </w:r>
      <w:r>
        <w:rPr>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516</cp:revision>
  <dcterms:created xsi:type="dcterms:W3CDTF">2025-09-15T02:01:00Z</dcterms:created>
  <dcterms:modified xsi:type="dcterms:W3CDTF">2026-06-29T02:37:19Z</dcterms:modified>
</cp:coreProperties>
</file>