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635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635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275/2026/0851/VFI-CT.36.A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GIẤY BAO BÌ TRÚC LÂM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06, tờ bản đồ số 03 có địa chỉ: Xóm 3, xã Văn Phú, huyện Thường Tín, thành phố Hà Nội (Nay là: xã Thường Tín, thành ph</w:t>
                            </w:r>
                            <w:r>
                              <w:rPr>
                                <w:color w:val="000000"/>
                              </w:rPr>
                              <w:t xml:space="preserve">ố Hà Nội) theo 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9.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275/2026/0851/VFI-CT.36.A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GIẤY BAO BÌ TRÚC LÂM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06, tờ bản đồ số 03 có địa chỉ: Xóm 3, xã Văn Phú, huyện Thường Tín, thành phố Hà Nội (Nay là: xã Thường Tín, thành ph</w:t>
                      </w:r>
                      <w:r>
                        <w:rPr>
                          <w:color w:val="000000"/>
                        </w:rPr>
                        <w:t xml:space="preserve">ố Hà Nội) theo 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highlight w:val="white"/>
        </w:rPr>
      </w:pPr>
      <w:r>
        <w:rPr>
          <w:b/>
          <w:sz w:val="28"/>
          <w:highlight w:val="white"/>
        </w:rPr>
        <w:t xml:space="preserve">MỤC LỤC</w:t>
      </w:r>
      <w:r>
        <w:rPr>
          <w:sz w:val="28"/>
          <w:highlight w:val="white"/>
        </w:rPr>
      </w:r>
      <w:r>
        <w:rPr>
          <w:sz w:val="28"/>
          <w:highlight w:val="white"/>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21 - 24</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25 - 27</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275/2026/0851/VFI-CT.36.A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05 tháng 6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GIẤY BAO BÌ TRÚC LÂM</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275/2026/0851/VFI-HĐTĐ.36.A</w:t>
      </w:r>
      <w:r>
        <w:rPr>
          <w:spacing w:val="-4"/>
          <w:lang w:val="vi-VN"/>
        </w:rPr>
        <w:t xml:space="preserve"> ký ngày 0</w:t>
      </w:r>
      <w:r>
        <w:rPr>
          <w:color w:val="000000" w:themeColor="text1"/>
          <w:spacing w:val="-4"/>
        </w:rPr>
        <w:t xml:space="preserve">2 tháng 6 năm 2026</w:t>
      </w:r>
      <w:r>
        <w:rPr>
          <w:spacing w:val="-4"/>
          <w:lang w:val="vi-VN"/>
        </w:rPr>
        <w:t xml:space="preserve"> </w:t>
      </w:r>
      <w:r>
        <w:rPr>
          <w:spacing w:val="-4"/>
          <w:lang w:val="vi-VN"/>
        </w:rPr>
        <w:t xml:space="preserve">giữa </w:t>
      </w:r>
      <w:r>
        <w:rPr>
          <w:color w:val="000000" w:themeColor="text1"/>
          <w:spacing w:val="-4"/>
        </w:rPr>
        <w:t xml:space="preserve">Công ty TNHH Giấy bao bì Trúc Lâm</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275/2026/0851/VFI-BC.36.A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5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ayout w:type="fixed"/>
        <w:tblLook w:val="04A0" w:firstRow="1" w:lastRow="0" w:firstColumn="1" w:lastColumn="0" w:noHBand="0" w:noVBand="1"/>
      </w:tblPr>
      <w:tblGrid>
        <w:gridCol w:w="2438"/>
        <w:gridCol w:w="283"/>
        <w:gridCol w:w="6804"/>
      </w:tblGrid>
      <w:tr>
        <w:trPr>
          <w:trHeight w:val="20"/>
        </w:trPr>
        <w:tc>
          <w:tcPr>
            <w:shd w:val="clear" w:color="auto" w:fill="auto"/>
            <w:tcBorders/>
            <w:tcW w:w="24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83"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804"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GIẤY BAO BÌ TRÚC LÂM</w:t>
            </w:r>
            <w:r>
              <w:rPr>
                <w:b/>
                <w:bCs/>
              </w:rPr>
            </w:r>
            <w:r/>
          </w:p>
        </w:tc>
      </w:tr>
      <w:tr>
        <w:trPr>
          <w:trHeight w:val="20"/>
        </w:trPr>
        <w:tc>
          <w:tcPr>
            <w:shd w:val="clear" w:color="auto" w:fill="auto"/>
            <w:tcBorders/>
            <w:tcW w:w="24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83"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804" w:type="dxa"/>
            <w:vAlign w:val="center"/>
            <w:textDirection w:val="lrTb"/>
            <w:noWrap w:val="false"/>
          </w:tcPr>
          <w:p>
            <w:pPr>
              <w:pBdr/>
              <w:spacing w:after="40" w:before="40" w:line="276" w:lineRule="auto"/>
              <w:ind/>
              <w:jc w:val="both"/>
              <w:rPr>
                <w:b w:val="0"/>
                <w:bCs w:val="0"/>
                <w:color w:val="ff0000"/>
              </w:rPr>
            </w:pPr>
            <w:r>
              <w:rPr>
                <w:color w:val="000000" w:themeColor="text1"/>
                <w:lang w:val="vi-VN"/>
              </w:rPr>
            </w:r>
            <w:r>
              <w:rPr>
                <w:rFonts w:ascii="Times New Roman" w:hAnsi="Times New Roman" w:eastAsia="Times New Roman" w:cs="Times New Roman"/>
                <w:b w:val="0"/>
                <w:bCs w:val="0"/>
                <w:color w:val="212529"/>
                <w:sz w:val="24"/>
                <w:szCs w:val="24"/>
                <w:highlight w:val="white"/>
              </w:rPr>
              <w:t xml:space="preserve">0109425307</w:t>
            </w:r>
            <w:r>
              <w:rPr>
                <w:b w:val="0"/>
                <w:bCs w:val="0"/>
                <w:color w:val="ff0000"/>
              </w:rPr>
            </w:r>
            <w:r>
              <w:rPr>
                <w:b w:val="0"/>
                <w:bCs w:val="0"/>
                <w:color w:val="ff0000"/>
              </w:rPr>
            </w:r>
          </w:p>
        </w:tc>
      </w:tr>
      <w:tr>
        <w:trPr>
          <w:trHeight w:val="20"/>
        </w:trPr>
        <w:tc>
          <w:tcPr>
            <w:shd w:val="clear" w:color="auto" w:fill="auto"/>
            <w:tcBorders/>
            <w:tcW w:w="24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 pháp luật</w:t>
            </w:r>
            <w:r>
              <w:rPr>
                <w:bCs/>
                <w:color w:val="000000" w:themeColor="text1"/>
                <w:lang w:val="pt-BR"/>
              </w:rPr>
            </w:r>
            <w:r>
              <w:rPr>
                <w:bCs/>
                <w:color w:val="000000" w:themeColor="text1"/>
                <w:lang w:val="pt-BR"/>
              </w:rPr>
            </w:r>
          </w:p>
        </w:tc>
        <w:tc>
          <w:tcPr>
            <w:shd w:val="clear" w:color="auto" w:fill="auto"/>
            <w:tcBorders/>
            <w:tcW w:w="283"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804"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Văn Pha                Chức vụ: Giám đốc</w:t>
            </w:r>
            <w:r>
              <w:rPr>
                <w:b/>
                <w:bCs/>
                <w:color w:val="ff0000"/>
              </w:rPr>
            </w:r>
            <w:r>
              <w:rPr>
                <w:b/>
                <w:bCs/>
                <w:color w:val="ff0000"/>
              </w:rPr>
            </w:r>
          </w:p>
        </w:tc>
      </w:tr>
      <w:tr>
        <w:trPr>
          <w:trHeight w:val="20"/>
        </w:trPr>
        <w:tc>
          <w:tcPr>
            <w:shd w:val="clear" w:color="auto" w:fill="auto"/>
            <w:tcBorders/>
            <w:tcW w:w="243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83"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804" w:type="dxa"/>
            <w:vAlign w:val="center"/>
            <w:textDirection w:val="lrTb"/>
            <w:noWrap w:val="false"/>
          </w:tcPr>
          <w:p>
            <w:pPr>
              <w:pBdr/>
              <w:spacing w:after="40" w:before="40" w:line="276" w:lineRule="auto"/>
              <w:ind/>
              <w:jc w:val="both"/>
              <w:rPr>
                <w:rFonts w:ascii="Times New Roman" w:hAnsi="Times New Roman" w:cs="Times New Roman"/>
                <w:color w:val="ff0000"/>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212529"/>
                <w:sz w:val="24"/>
                <w:szCs w:val="24"/>
                <w:highlight w:val="white"/>
              </w:rPr>
              <w:t xml:space="preserve">Xóm 3 Thôn Văn Trai, Xã Thường Tín, Thành phố Hà Nội, Việt Nam</w:t>
            </w:r>
            <w:r>
              <w:rPr>
                <w:rFonts w:ascii="Times New Roman" w:hAnsi="Times New Roman" w:cs="Times New Roman"/>
                <w:color w:val="ff0000"/>
                <w:sz w:val="24"/>
                <w:szCs w:val="24"/>
              </w:rPr>
            </w:r>
            <w:r>
              <w:rPr>
                <w:rFonts w:ascii="Times New Roman" w:hAnsi="Times New Roman" w:cs="Times New Roman"/>
                <w:color w:val="ff0000"/>
                <w:sz w:val="24"/>
                <w:szCs w:val="24"/>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06, tờ bản đồ số 03 có địa chỉ: Xóm 3, xã Văn Phú, huyện Thường Tín, thành phố Hà Nội (Nay là: xã Thường Tín, thành ph</w:t>
      </w:r>
      <w:r>
        <w:rPr>
          <w:color w:val="000000" w:themeColor="text1"/>
        </w:rPr>
        <w:t xml:space="preserve">ố Hà Nội) theo 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5"/>
        <w:gridCol w:w="2383"/>
        <w:gridCol w:w="1802"/>
        <w:gridCol w:w="2581"/>
        <w:gridCol w:w="2164"/>
      </w:tblGrid>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83"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66"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06, tờ bản đồ số 03, có địa chỉ: xóm 3, xã Văn Phú, huyện Thường Tín, thành phố Hà Nội (Nay là: xã Thường Tín, thành ph</w:t>
            </w:r>
            <w:r>
              <w:rPr>
                <w:b/>
                <w:bCs/>
                <w:color w:val="000000"/>
              </w:rPr>
              <w:t xml:space="preserve">ố Hà Nội) theo 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454"/>
        </w:trPr>
        <w:tc>
          <w:tcPr>
            <w:shd w:val="clear" w:color="000000" w:fill="ffffff"/>
            <w:tcBorders/>
            <w:tcW w:w="595" w:type="dxa"/>
            <w:vAlign w:val="center"/>
            <w:textDirection w:val="lrTb"/>
            <w:noWrap w:val="false"/>
          </w:tcPr>
          <w:p>
            <w:pPr>
              <w:pBdr/>
              <w:spacing w:after="40" w:before="40" w:line="288" w:lineRule="auto"/>
              <w:ind/>
              <w:jc w:val="center"/>
              <w:rPr/>
            </w:pPr>
            <w:r>
              <w:rPr>
                <w:b/>
                <w:bCs/>
              </w:rPr>
              <w:t xml:space="preserve">-</w:t>
            </w:r>
            <w:r/>
          </w:p>
        </w:tc>
        <w:tc>
          <w:tcPr>
            <w:shd w:val="clear" w:color="000000" w:fill="ffffff"/>
            <w:tcBorders/>
            <w:tcW w:w="2383" w:type="dxa"/>
            <w:vAlign w:val="center"/>
            <w:textDirection w:val="lrTb"/>
            <w:noWrap w:val="false"/>
          </w:tcPr>
          <w:p>
            <w:pPr>
              <w:pBdr/>
              <w:spacing w:after="40" w:before="40" w:line="288" w:lineRule="auto"/>
              <w:ind/>
              <w:rPr>
                <w:b w:val="0"/>
                <w:bCs w:val="0"/>
              </w:rPr>
            </w:pPr>
            <w:r>
              <w:rPr>
                <w:b w:val="0"/>
                <w:bCs w:val="0"/>
              </w:rPr>
              <w:t xml:space="preserve">Quyền sử dụng đất ở</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170,0</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56.000.000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9.520.000.000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9.520.000.000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Chín tỷ năm trăm hai mươi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275/2026/0851/VFI-BC.36.A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5 tháng 6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4"/>
              <w:pBdr/>
              <w:spacing w:after="60"/>
              <w:ind/>
              <w:rPr>
                <w:rStyle w:val="1023"/>
                <w:rFonts w:ascii="Times New Roman" w:hAnsi="Times New Roman"/>
                <w:color w:val="000000" w:themeColor="text1"/>
                <w:lang w:val="pt-BR"/>
              </w:rPr>
            </w:pPr>
            <w:r>
              <w:rPr>
                <w:rStyle w:val="1023"/>
                <w:rFonts w:ascii="Times New Roman" w:hAnsi="Times New Roman"/>
                <w:color w:val="000000" w:themeColor="text1"/>
                <w:lang w:val="pt-BR"/>
              </w:rPr>
            </w:r>
            <w:r>
              <w:rPr>
                <w:rStyle w:val="1023"/>
                <w:rFonts w:ascii="Times New Roman" w:hAnsi="Times New Roman"/>
                <w:color w:val="000000" w:themeColor="text1"/>
                <w:lang w:val="pt-BR"/>
              </w:rPr>
            </w:r>
            <w:r>
              <w:rPr>
                <w:rStyle w:val="1023"/>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4"/>
              <w:pBdr/>
              <w:spacing w:after="6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275/2026/0851/VFI-CT.36.A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05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GIẤY BAO BÌ TRÚC LÂM</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b w:val="0"/>
                <w:bCs w:val="0"/>
                <w:color w:val="ff0000"/>
              </w:rPr>
            </w:pPr>
            <w:r>
              <w:rPr>
                <w:color w:val="000000" w:themeColor="text1"/>
                <w:lang w:val="vi-VN"/>
              </w:rPr>
            </w:r>
            <w:r>
              <w:rPr>
                <w:rFonts w:ascii="Times New Roman" w:hAnsi="Times New Roman" w:eastAsia="Times New Roman" w:cs="Times New Roman"/>
                <w:b w:val="0"/>
                <w:bCs w:val="0"/>
                <w:color w:val="212529"/>
                <w:sz w:val="24"/>
                <w:szCs w:val="24"/>
                <w:highlight w:val="white"/>
              </w:rPr>
              <w:t xml:space="preserve">0109425307</w:t>
            </w:r>
            <w:r>
              <w:rPr>
                <w:b w:val="0"/>
                <w:bCs w:val="0"/>
                <w:color w:val="ff0000"/>
              </w:rPr>
            </w:r>
            <w:r>
              <w:rPr>
                <w:b w:val="0"/>
                <w:bCs w:val="0"/>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Đại diện pháp luật</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Văn Pha                Chức vụ: Giám đốc</w:t>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rFonts w:ascii="Times New Roman" w:hAnsi="Times New Roman" w:cs="Times New Roman"/>
                <w:color w:val="ff0000"/>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212529"/>
                <w:sz w:val="24"/>
                <w:szCs w:val="24"/>
                <w:highlight w:val="white"/>
              </w:rPr>
              <w:t xml:space="preserve">Xóm 3 Thôn Văn Trai, Xã Thường Tín, Thành phố Hà Nội, Việt Nam</w:t>
            </w:r>
            <w:r>
              <w:rPr>
                <w:rFonts w:ascii="Times New Roman" w:hAnsi="Times New Roman" w:cs="Times New Roman"/>
                <w:color w:val="ff0000"/>
                <w:sz w:val="24"/>
                <w:szCs w:val="24"/>
              </w:rPr>
            </w:r>
            <w:r>
              <w:rPr>
                <w:rFonts w:ascii="Times New Roman" w:hAnsi="Times New Roman" w:cs="Times New Roman"/>
                <w:color w:val="ff0000"/>
                <w:sz w:val="24"/>
                <w:szCs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06, tờ bản đồ số 03 có địa chỉ: Xóm 3, xã Văn Phú, huyện Thường Tín, thành phố Hà Nội (Nay là: xã Thường Tín, thành ph</w:t>
            </w:r>
            <w:r>
              <w:rPr>
                <w:bCs/>
                <w:color w:val="000000" w:themeColor="text1"/>
                <w:lang w:val="pt-BR"/>
              </w:rPr>
              <w:t xml:space="preserve">ố Hà Nội) theo 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Thường Tín,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20.869916666667, 105.85388888889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r>
            <w:r>
              <w:rPr>
                <w:lang w:val="pt-BR"/>
              </w:rPr>
              <w:t xml:space="preserve">05/06/2026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275/2026/0851/VFI-HĐTĐ.36.A ngày 02/06/2026 giữa Công ty TNHH Giấy bao bì Trúc Lâm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shd w:val="clear" w:color="auto" w:fill="ffffff"/>
        </w:rPr>
        <w:t xml:space="preserve">Bức tranh thị trường bất động sản Hà </w:t>
      </w:r>
      <w:r>
        <w:rPr>
          <w:shd w:val="clear" w:color="auto" w:fill="ffffff"/>
        </w:rPr>
        <w:t xml:space="preserve">Nội năm 2026: Hạ tầng dẫn dắt, thị trường bước vào chu kỳ tăng trưởng mới.</w:t>
      </w:r>
      <w:r>
        <w:rPr>
          <w:iCs/>
        </w:rPr>
      </w:r>
      <w:r>
        <w:rPr>
          <w:iCs/>
        </w:rPr>
      </w:r>
    </w:p>
    <w:p>
      <w:pPr>
        <w:pBdr/>
        <w:tabs>
          <w:tab w:val="left" w:leader="none" w:pos="426"/>
        </w:tabs>
        <w:spacing w:after="120" w:before="120" w:line="276" w:lineRule="auto"/>
        <w:ind/>
        <w:jc w:val="both"/>
        <w:rPr>
          <w:highlight w:val="none"/>
        </w:rPr>
      </w:pPr>
      <w:r>
        <w:rPr>
          <w:shd w:val="clear" w:color="auto" w:fill="ffffff"/>
        </w:rPr>
      </w:r>
      <w:r>
        <w:rPr>
          <w:shd w:val="clear" w:color="auto" w:fill="ffffff"/>
        </w:rPr>
        <w:t xml:space="preserve">Bước sang năm 2026, thị trường bất động sản Hà Nội được kỳ vọng bước vào chu kỳ tăng trưởng mới với nền tảng hạ tầng, pháp lý và chính sách ngày càng rõ nét. Thay vì những cơn “sốt </w:t>
      </w:r>
      <w:r>
        <w:rPr>
          <w:shd w:val="clear" w:color="auto" w:fill="ffffff"/>
        </w:rPr>
        <w:t xml:space="preserve">nóng”, thị trường vận động theo hướng chọn lọc, phân hóa mạnh, lấy nhu cầu ở thực, chất lượng dự án và năng lực doanh nghiệp làm trụ cột phát triển bền vững.</w:t>
      </w:r>
      <w:r>
        <w:rPr>
          <w:highlight w:val="none"/>
        </w:rPr>
      </w:r>
      <w:r>
        <w:rPr>
          <w:highlight w:val="none"/>
        </w:rPr>
      </w:r>
    </w:p>
    <w:p>
      <w:pPr>
        <w:pBdr/>
        <w:tabs>
          <w:tab w:val="left" w:leader="none" w:pos="426"/>
        </w:tabs>
        <w:spacing w:after="120" w:before="120" w:line="276" w:lineRule="auto"/>
        <w:ind/>
        <w:jc w:val="both"/>
        <w:rPr/>
      </w:pPr>
      <w:r>
        <w:rPr>
          <w:shd w:val="clear" w:color="auto" w:fill="ffffff"/>
        </w:rPr>
        <w:t xml:space="preserve">Trong bối cảnh kinh tế vĩ mô dần ổn định, khuôn khổ pháp lý được hoàn thiện và đầu tư công tiếp tụ</w:t>
      </w:r>
      <w:r>
        <w:rPr>
          <w:shd w:val="clear" w:color="auto" w:fill="ffffff"/>
        </w:rPr>
        <w:t xml:space="preserve">c 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w:t>
      </w:r>
      <w:r>
        <w:rPr>
          <w:shd w:val="clear" w:color="auto" w:fill="ffffff"/>
        </w:rPr>
        <w:t xml:space="preserve">g, gắn chặt với quy hoạch đô thị, nhu cầu ở thực và năng lực triển khai của doanh nghiệp.</w:t>
      </w:r>
      <w:r>
        <w:rPr>
          <w:iCs/>
        </w:rPr>
      </w:r>
      <w:r/>
    </w:p>
    <w:p>
      <w:pPr>
        <w:pBdr/>
        <w:tabs>
          <w:tab w:val="left" w:leader="none" w:pos="426"/>
        </w:tabs>
        <w:spacing w:after="120" w:before="120" w:line="276" w:lineRule="auto"/>
        <w:ind/>
        <w:jc w:val="both"/>
        <w:rPr/>
      </w:pPr>
      <w:r>
        <w:rPr>
          <w:shd w:val="clear" w:color="auto" w:fill="ffffff"/>
        </w:rPr>
        <w:t xml:space="preserve">Hạ tầng – "xương sống" mở không gian phát triển mới</w:t>
      </w:r>
      <w:r>
        <w:rPr>
          <w:iCs/>
        </w:rPr>
      </w:r>
      <w:r/>
    </w:p>
    <w:p>
      <w:pPr>
        <w:pBdr/>
        <w:tabs>
          <w:tab w:val="left" w:leader="none" w:pos="426"/>
        </w:tabs>
        <w:spacing w:after="120" w:before="120" w:line="276" w:lineRule="auto"/>
        <w:ind/>
        <w:jc w:val="both"/>
        <w:rPr/>
      </w:pPr>
      <w:r>
        <w:rPr>
          <w:shd w:val="clear" w:color="auto" w:fill="ffffff"/>
        </w:rPr>
        <w:t xml:space="preserve">Trong nhiều năm qua, hạ tầng giao thông luôn là yếu tố then chốt định hình không gian phát triển đô thị Hà Nội. Đế</w:t>
      </w:r>
      <w:r>
        <w:rPr>
          <w:shd w:val="clear" w:color="auto" w:fill="ffffff"/>
        </w:rPr>
        <w:t xml:space="preserve">n năm 2026, vai trò này càng trở nên rõ rệt khi hàng loạt dự án trọng điểm được triển khai đồng bộ, tạo lực đẩy dài hạn cho thị trường bất động sản.</w:t>
      </w:r>
      <w:r>
        <w:rPr>
          <w:iCs/>
        </w:rPr>
      </w:r>
      <w:r/>
    </w:p>
    <w:p>
      <w:pPr>
        <w:pBdr/>
        <w:tabs>
          <w:tab w:val="left" w:leader="none" w:pos="426"/>
        </w:tabs>
        <w:spacing w:after="120" w:before="120" w:line="276" w:lineRule="auto"/>
        <w:ind/>
        <w:jc w:val="both"/>
        <w:rPr/>
      </w:pPr>
      <w:r>
        <w:rPr>
          <w:shd w:val="clear" w:color="auto" w:fill="ffffff"/>
        </w:rPr>
        <w:t xml:space="preserve">Dự án đường Vành đai 4 – Vùng Thủ đô, với quy mô hơn 85.000 tỷ đồng, được coi là "đòn bẩy chiến lược" mở rộ</w:t>
      </w:r>
      <w:r>
        <w:rPr>
          <w:shd w:val="clear" w:color="auto" w:fill="ffffff"/>
        </w:rPr>
        <w:t xml:space="preserve">ng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r>
      <w:r>
        <w:rPr>
          <w:iCs/>
        </w:rPr>
      </w:r>
      <w:r/>
    </w:p>
    <w:p>
      <w:pPr>
        <w:pBdr/>
        <w:tabs>
          <w:tab w:val="left" w:leader="none" w:pos="426"/>
        </w:tabs>
        <w:spacing w:after="120" w:before="120" w:line="276" w:lineRule="auto"/>
        <w:ind/>
        <w:jc w:val="both"/>
        <w:rPr/>
      </w:pPr>
      <w:r>
        <w:rPr>
          <w:shd w:val="clear" w:color="auto" w:fill="ffffff"/>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shd w:val="clear" w:color="auto" w:fill="ffffff"/>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shd w:val="clear" w:color="auto" w:fill="ffffff"/>
        </w:rPr>
        <w:t xml:space="preserve">g trưởng bất động sản dài hạn.</w:t>
      </w:r>
      <w:r>
        <w:rPr>
          <w:iCs/>
        </w:rPr>
      </w:r>
      <w:r/>
    </w:p>
    <w:p>
      <w:pPr>
        <w:pBdr/>
        <w:tabs>
          <w:tab w:val="left" w:leader="none" w:pos="426"/>
        </w:tabs>
        <w:spacing w:after="120" w:before="120" w:line="276" w:lineRule="auto"/>
        <w:ind/>
        <w:jc w:val="both"/>
        <w:rPr/>
      </w:pPr>
      <w:r>
        <w:rPr>
          <w:shd w:val="clear" w:color="auto" w:fill="ffffff"/>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w:t>
      </w:r>
      <w:r>
        <w:rPr>
          <w:shd w:val="clear" w:color="auto" w:fill="ffffff"/>
        </w:rPr>
        <w:t xml:space="preserve">ố 5 (Văn Cao – Hòa Lạc), đang nổi lên như một cực phát triển mới. Ở phía Đông, hệ thống cầu vượt sông Hồng, cùng quy hoạch chỉnh trang đô thị ven sông, tiếp tục mở ra dư địa cho các dự án nhà ở và đô thị sinh thái.</w:t>
      </w:r>
      <w:r>
        <w:rPr>
          <w:iCs/>
        </w:rPr>
      </w:r>
      <w:r/>
    </w:p>
    <w:p>
      <w:pPr>
        <w:pBdr/>
        <w:tabs>
          <w:tab w:val="left" w:leader="none" w:pos="426"/>
        </w:tabs>
        <w:spacing w:after="120" w:before="120" w:line="276" w:lineRule="auto"/>
        <w:ind/>
        <w:jc w:val="both"/>
        <w:rPr/>
      </w:pPr>
      <w:r>
        <w:rPr>
          <w:shd w:val="clear" w:color="auto" w:fill="ffffff"/>
        </w:rPr>
        <w:t xml:space="preserve">Thị trường chuyển từ "tăng nóng" sang tăn</w:t>
      </w:r>
      <w:r>
        <w:rPr>
          <w:shd w:val="clear" w:color="auto" w:fill="ffffff"/>
        </w:rPr>
        <w:t xml:space="preserve">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w:t>
      </w:r>
      <w:r>
        <w:rPr>
          <w:shd w:val="clear" w:color="auto" w:fill="ffffff"/>
        </w:rPr>
        <w:t xml:space="preserve">những khu vực có quy hoạch rõ ràng, hạ tầng đồng bộ và nhu cầu ở thực ổn định.</w:t>
      </w:r>
      <w:r>
        <w:rPr>
          <w:iCs/>
        </w:rPr>
      </w:r>
      <w:r/>
    </w:p>
    <w:p>
      <w:pPr>
        <w:pBdr/>
        <w:tabs>
          <w:tab w:val="left" w:leader="none" w:pos="426"/>
        </w:tabs>
        <w:spacing w:after="120" w:before="120" w:line="276" w:lineRule="auto"/>
        <w:ind/>
        <w:jc w:val="both"/>
        <w:rPr/>
      </w:pPr>
      <w:r>
        <w:rPr>
          <w:shd w:val="clear" w:color="auto" w:fill="ffffff"/>
        </w:rPr>
        <w:t xml:space="preserve">Theo ông Nguyễn Văn Đính, Chủ tịch Hội Môi giới Bất động sản Việt Nam (VARS), thị trường bất động sản Hà Nội sẽ không tăng trưởng theo kiểu nóng mà dựa trên nền tảng hạ tầng và </w:t>
      </w:r>
      <w:r>
        <w:rPr>
          <w:shd w:val="clear" w:color="auto" w:fill="ffffff"/>
        </w:rPr>
        <w:t xml:space="preserve">nhu cầu thật. Những dự án gắn với các tuyến giao thông lớn, pháp lý minh bạch và được triển khai bài bản sẽ trở thành động lực chính của thị trường trong năm 2026.</w:t>
      </w:r>
      <w:r>
        <w:rPr>
          <w:iCs/>
        </w:rPr>
      </w:r>
      <w:r/>
    </w:p>
    <w:p>
      <w:pPr>
        <w:pBdr/>
        <w:tabs>
          <w:tab w:val="left" w:leader="none" w:pos="426"/>
        </w:tabs>
        <w:spacing w:after="120" w:before="120" w:line="276" w:lineRule="auto"/>
        <w:ind/>
        <w:jc w:val="both"/>
        <w:rPr/>
      </w:pPr>
      <w:r>
        <w:rPr>
          <w:shd w:val="clear" w:color="auto" w:fill="ffffff"/>
        </w:rPr>
        <w:t xml:space="preserve">Số liệu từ các đơn vị nghiên cứu cho thấy, trong giai đoạn gần đây, giá bất động sản tại nhữ</w:t>
      </w:r>
      <w:r>
        <w:rPr>
          <w:shd w:val="clear" w:color="auto" w:fill="ffffff"/>
        </w:rPr>
        <w:t xml:space="preserve">ng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r>
      <w:r>
        <w:rPr>
          <w:iCs/>
        </w:rPr>
      </w:r>
      <w:r/>
    </w:p>
    <w:p>
      <w:pPr>
        <w:pBdr/>
        <w:tabs>
          <w:tab w:val="left" w:leader="none" w:pos="426"/>
        </w:tabs>
        <w:spacing w:after="120" w:before="120" w:line="276" w:lineRule="auto"/>
        <w:ind/>
        <w:jc w:val="both"/>
        <w:rPr/>
      </w:pPr>
      <w:r>
        <w:rPr>
          <w:shd w:val="clear" w:color="auto" w:fill="ffffff"/>
        </w:rPr>
        <w:t xml:space="preserve">Nguồn cung lớn,</w:t>
      </w:r>
      <w:r>
        <w:rPr>
          <w:shd w:val="clear" w:color="auto" w:fill="ffffff"/>
        </w:rPr>
        <w:t xml:space="preserve"> thị trường phân hóa rõ nét</w:t>
      </w:r>
      <w:r>
        <w:rPr>
          <w:iCs/>
        </w:rPr>
      </w:r>
      <w:r/>
    </w:p>
    <w:p>
      <w:pPr>
        <w:pBdr/>
        <w:tabs>
          <w:tab w:val="left" w:leader="none" w:pos="426"/>
        </w:tabs>
        <w:spacing w:after="120" w:before="120" w:line="276" w:lineRule="auto"/>
        <w:ind/>
        <w:jc w:val="both"/>
        <w:rPr/>
      </w:pP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w:t>
      </w:r>
      <w:r>
        <w:rPr>
          <w:shd w:val="clear" w:color="auto" w:fill="ffffff"/>
        </w:rPr>
        <w:t xml:space="preserve"> khởi động. Điều này vừa tạo cơ hội cho người mua, vừa đặt ra thách thức cho doanh nghiệp phát triển dự án.</w:t>
      </w:r>
      <w:r>
        <w:rPr>
          <w:iCs/>
        </w:rPr>
      </w:r>
      <w:r/>
    </w:p>
    <w:p>
      <w:pPr>
        <w:pBdr/>
        <w:tabs>
          <w:tab w:val="left" w:leader="none" w:pos="426"/>
        </w:tabs>
        <w:spacing w:after="120" w:before="120" w:line="276" w:lineRule="auto"/>
        <w:ind/>
        <w:jc w:val="both"/>
        <w:rPr/>
      </w:pPr>
      <w:r>
        <w:rPr>
          <w:shd w:val="clear" w:color="auto" w:fill="ffffff"/>
        </w:rPr>
        <w:t xml:space="preserve">Ông David Jackson, Tổng Giám đốc Avison Young Việt Nam nhận định, thị trường căn hộ đang bước vào giai đoạn bản lề. Phân khúc này tiếp tục giữ vai t</w:t>
      </w:r>
      <w:r>
        <w:rPr>
          <w:shd w:val="clear" w:color="auto" w:fill="ffffff"/>
        </w:rPr>
        <w:t xml:space="preserve">rò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w:t>
      </w:r>
      <w:r>
        <w:rPr>
          <w:shd w:val="clear" w:color="auto" w:fill="ffffff"/>
        </w:rPr>
        <w:t xml:space="preserve"> vượt khả năng chi trả của số đông sẽ gặp khó.</w:t>
      </w:r>
      <w:r>
        <w:rPr>
          <w:iCs/>
        </w:rPr>
      </w:r>
      <w:r/>
    </w:p>
    <w:p>
      <w:pPr>
        <w:pBdr/>
        <w:tabs>
          <w:tab w:val="left" w:leader="none" w:pos="426"/>
        </w:tabs>
        <w:spacing w:after="120" w:before="120" w:line="276" w:lineRule="auto"/>
        <w:ind/>
        <w:jc w:val="both"/>
        <w:rPr/>
      </w:pPr>
      <w:r>
        <w:rPr>
          <w:shd w:val="clear" w:color="auto" w:fill="ffffff"/>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w:t>
      </w:r>
      <w:r>
        <w:rPr>
          <w:shd w:val="clear" w:color="auto" w:fill="ffffff"/>
        </w:rPr>
        <w:t xml:space="preserve">ớn nhờ phù hợp với nhu cầu ở thực. Trong khi đó, phân khúc nhà ở vừa túi tiền và nhà ở xã hội được kỳ vọng sẽ dần cải thiện nguồn cung khi các chính sách mới được triển khai đồng bộ.</w:t>
      </w:r>
      <w:r>
        <w:rPr>
          <w:iCs/>
        </w:rPr>
      </w:r>
      <w:r/>
    </w:p>
    <w:p>
      <w:pPr>
        <w:pBdr/>
        <w:tabs>
          <w:tab w:val="left" w:leader="none" w:pos="426"/>
        </w:tabs>
        <w:spacing w:after="120" w:before="120" w:line="276" w:lineRule="auto"/>
        <w:ind/>
        <w:jc w:val="both"/>
        <w:rPr/>
      </w:pPr>
      <w:r>
        <w:rPr>
          <w:shd w:val="clear" w:color="auto" w:fill="ffffff"/>
        </w:rPr>
        <w:t xml:space="preserve">Chính sách và pháp lý – điểm tựa cho chu kỳ mới</w:t>
      </w:r>
      <w:r>
        <w:rPr>
          <w:iCs/>
        </w:rPr>
      </w:r>
      <w:r/>
    </w:p>
    <w:p>
      <w:pPr>
        <w:pBdr/>
        <w:tabs>
          <w:tab w:val="left" w:leader="none" w:pos="426"/>
        </w:tabs>
        <w:spacing w:after="120" w:before="120" w:line="276" w:lineRule="auto"/>
        <w:ind/>
        <w:jc w:val="both"/>
        <w:rPr/>
      </w:pPr>
      <w:r>
        <w:rPr>
          <w:shd w:val="clear" w:color="auto" w:fill="ffffff"/>
        </w:rP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r>
      <w:r>
        <w:rPr>
          <w:iCs/>
        </w:rPr>
      </w:r>
      <w:r/>
    </w:p>
    <w:p>
      <w:pPr>
        <w:pBdr/>
        <w:tabs>
          <w:tab w:val="left" w:leader="none" w:pos="426"/>
        </w:tabs>
        <w:spacing w:after="120" w:before="120" w:line="276" w:lineRule="auto"/>
        <w:ind/>
        <w:jc w:val="both"/>
        <w:rPr/>
      </w:pPr>
      <w:r>
        <w:rPr>
          <w:shd w:val="clear" w:color="auto" w:fill="ffffff"/>
        </w:rP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r>
      <w:r>
        <w:rPr>
          <w:iCs/>
        </w:rPr>
      </w:r>
      <w:r/>
    </w:p>
    <w:p>
      <w:pPr>
        <w:pBdr/>
        <w:tabs>
          <w:tab w:val="left" w:leader="none" w:pos="426"/>
        </w:tabs>
        <w:spacing w:after="120" w:before="120" w:line="276" w:lineRule="auto"/>
        <w:ind/>
        <w:jc w:val="both"/>
        <w:rPr/>
      </w:pPr>
      <w:r>
        <w:rPr>
          <w:shd w:val="clear" w:color="auto" w:fill="ffffff"/>
        </w:rP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r>
      <w:r/>
    </w:p>
    <w:p>
      <w:pPr>
        <w:pBdr/>
        <w:tabs>
          <w:tab w:val="left" w:leader="none" w:pos="426"/>
        </w:tabs>
        <w:spacing w:after="120" w:before="120" w:line="276" w:lineRule="auto"/>
        <w:ind/>
        <w:jc w:val="both"/>
        <w:rPr/>
      </w:pPr>
      <w:r>
        <w:rPr>
          <w:shd w:val="clear" w:color="auto" w:fill="ffffff"/>
        </w:rPr>
        <w:t xml:space="preserve">Triển vọng 2026: tăng trưởng bền vững trên nền tảng mới</w:t>
      </w:r>
      <w:r/>
    </w:p>
    <w:p>
      <w:pPr>
        <w:pBdr/>
        <w:tabs>
          <w:tab w:val="left" w:leader="none" w:pos="426"/>
        </w:tabs>
        <w:spacing w:after="120" w:before="120" w:line="276" w:lineRule="auto"/>
        <w:ind/>
        <w:jc w:val="both"/>
        <w:rPr/>
      </w:pPr>
      <w:r>
        <w:rPr>
          <w:shd w:val="clear" w:color="auto" w:fill="ffffff"/>
        </w:rP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r>
      <w:r>
        <w:rPr>
          <w:iCs/>
        </w:rPr>
      </w:r>
      <w:r/>
    </w:p>
    <w:p>
      <w:pPr>
        <w:pBdr/>
        <w:tabs>
          <w:tab w:val="left" w:leader="none" w:pos="426"/>
        </w:tabs>
        <w:spacing w:after="120" w:before="120" w:line="276" w:lineRule="auto"/>
        <w:ind/>
        <w:jc w:val="both"/>
        <w:rPr/>
      </w:pPr>
      <w:r>
        <w:rPr>
          <w:shd w:val="clear" w:color="auto" w:fill="ffffff"/>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r>
      <w:r>
        <w:rPr>
          <w:iCs/>
        </w:rPr>
      </w:r>
      <w:r/>
    </w:p>
    <w:p>
      <w:pPr>
        <w:pBdr/>
        <w:tabs>
          <w:tab w:val="left" w:leader="none" w:pos="426"/>
        </w:tabs>
        <w:spacing w:after="120" w:before="120" w:line="276" w:lineRule="auto"/>
        <w:ind/>
        <w:jc w:val="both"/>
        <w:rPr/>
      </w:pPr>
      <w:r>
        <w:rPr>
          <w:shd w:val="clear" w:color="auto" w:fill="ffffff"/>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r>
      <w:r/>
    </w:p>
    <w:p>
      <w:pPr>
        <w:pBdr/>
        <w:tabs>
          <w:tab w:val="left" w:leader="none" w:pos="426"/>
        </w:tabs>
        <w:spacing w:after="120" w:before="120" w:line="276" w:lineRule="auto"/>
        <w:ind/>
        <w:jc w:val="both"/>
        <w:rPr/>
      </w:pPr>
      <w:r>
        <w:rPr>
          <w:shd w:val="clear" w:color="auto" w:fill="ffffff"/>
        </w:rP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r>
      <w:r/>
    </w:p>
    <w:p>
      <w:pPr>
        <w:pBdr/>
        <w:tabs>
          <w:tab w:val="left" w:leader="none" w:pos="426"/>
        </w:tabs>
        <w:spacing w:after="120" w:before="120" w:line="276" w:lineRule="auto"/>
        <w:ind/>
        <w:jc w:val="both"/>
        <w:rPr>
          <w:bCs/>
          <w:i/>
          <w:lang w:val="pt-BR"/>
        </w:rPr>
      </w:pPr>
      <w:r>
        <w:rPr>
          <w:shd w:val="clear" w:color="auto" w:fill="ffffff"/>
        </w:rPr>
        <w:t xml:space="preserve">(Nguồn: https://thanglong.chinhphu.vn/buc-tranh-thi-truong-bat-dong-san-ha-noi-nam-2026-ha-tang-dan-dat-thi-truong-buoc-vao-chu-ky-tang-truong-moi-103260101181315972.htm)</w:t>
      </w:r>
      <w:r>
        <w:rPr>
          <w:bCs/>
          <w:i/>
          <w:lang w:val="pt-BR"/>
        </w:rPr>
      </w:r>
      <w:r>
        <w:rPr>
          <w:bCs/>
          <w:i/>
          <w:lang w:val="pt-BR"/>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320"/>
        <w:gridCol w:w="2040"/>
        <w:gridCol w:w="2438"/>
        <w:gridCol w:w="2401"/>
      </w:tblGrid>
      <w:tr>
        <w:trPr>
          <w:trHeight w:val="1701"/>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06, tờ bản đồ số 03 có địa chỉ: Xóm 3, xã Văn Phú, huyện Thường Tín, thành phố Hà Nội (Nay là: xã Thường Tín, thành phố Hà Nội) theo Giấy chứng nhận quyền sử dụng đất quyền sở hữu nhà ở và tài </w:t>
            </w:r>
            <w:r>
              <w:rPr>
                <w:rFonts w:ascii="Times New Roman" w:hAnsi="Times New Roman" w:eastAsia="Times New Roman" w:cs="Times New Roman"/>
                <w:b/>
                <w:color w:val="000000"/>
                <w:sz w:val="24"/>
              </w:rPr>
              <w:t xml:space="preserve">sản khác gắn liền với đất số: CK 997889, số vào sổ cấp GCN: CS - TTI 06179 do Sở Tài nguyên và Môi trường thành phố Hà Nội cấp ngày 06/02/2018; Chủ sử dụng đất là Ông Nguyễn Văn Pha</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06</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03</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Xóm 3, xã Văn Phú, huyện Thường Tín, thành phố Hà Nội (Nay là: xã Thường Tín, thành phố Hà Nội)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170,0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lâu dài</w:t>
            </w:r>
            <w:r/>
          </w:p>
        </w:tc>
      </w:tr>
      <w:tr>
        <w:trPr>
          <w:trHeight w:val="64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w:t>
            </w:r>
            <w:r/>
          </w:p>
        </w:tc>
      </w:tr>
      <w:tr>
        <w:trPr>
          <w:trHeight w:val="959"/>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Giấy chứng nhận này được cấp lại từ giấy chứng nhận số AĐ 687230 do UBND huyện Thường Tín cấp ngày 28/4/2008.</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Số tờ, số thửa và sơ đồ sẽ được điều chỉnh khi có bản đồ địa chính chính quy.</w:t>
            </w:r>
            <w:r/>
          </w:p>
        </w:tc>
      </w:tr>
      <w:tr>
        <w:trPr>
          <w:trHeight w:val="8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w:t>
            </w:r>
            <w:r>
              <w:rPr>
                <w:rFonts w:ascii="Times New Roman" w:hAnsi="Times New Roman" w:eastAsia="Times New Roman" w:cs="Times New Roman"/>
                <w:color w:val="000000"/>
                <w:sz w:val="24"/>
              </w:rPr>
              <w:t xml:space="preserve">in quy hoạch: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pacing w:after="0" w:before="0" w:line="240" w:lineRule="auto"/>
              <w:ind/>
              <w:jc w:val="both"/>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4146356" cy="224935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18756" name=""/>
                              <pic:cNvPicPr>
                                <a:picLocks noChangeAspect="1"/>
                              </pic:cNvPicPr>
                              <pic:nvPr/>
                            </pic:nvPicPr>
                            <pic:blipFill rotWithShape="1">
                              <a:blip r:embed="rId17"/>
                              <a:stretch/>
                            </pic:blipFill>
                            <pic:spPr bwMode="auto">
                              <a:xfrm flipH="0" flipV="0">
                                <a:off x="0" y="0"/>
                                <a:ext cx="4146356" cy="22493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26.48pt;height:177.11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highlight w:val="none"/>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 mặt tiền</w:t>
            </w:r>
            <w:r/>
          </w:p>
        </w:tc>
      </w:tr>
      <w:tr>
        <w:trPr>
          <w:trHeight w:val="1240"/>
        </w:trPr>
        <w:tc>
          <w:tcPr>
            <w:tcBorders>
              <w:left w:val="single" w:color="000000" w:sz="6" w:space="0"/>
              <w:bottom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3m</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3m</w:t>
            </w:r>
            <w:r/>
          </w:p>
        </w:tc>
      </w:tr>
      <w:tr>
        <w:trPr>
          <w:trHeight w:val="7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tiếp giáp ngõ rộng 3m, cách mặt đường 427B khoảng 350m</w:t>
            </w:r>
            <w:r/>
          </w:p>
        </w:tc>
      </w:tr>
      <w:tr>
        <w:trPr>
          <w:trHeight w:val="62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Tây Bắc: Tiếp giáp đường bê tông rộng 3m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w:t>
            </w:r>
            <w:r/>
          </w:p>
        </w:tc>
      </w:tr>
      <w:tr>
        <w:trPr>
          <w:trHeight w:val="300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90350" cy="280933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271" name=""/>
                              <pic:cNvPicPr>
                                <a:picLocks noChangeAspect="1"/>
                              </pic:cNvPicPr>
                              <pic:nvPr/>
                            </pic:nvPicPr>
                            <pic:blipFill rotWithShape="1">
                              <a:blip r:embed="rId18"/>
                              <a:stretch/>
                            </pic:blipFill>
                            <pic:spPr bwMode="auto">
                              <a:xfrm flipH="0" flipV="0">
                                <a:off x="0" y="0"/>
                                <a:ext cx="5590349" cy="28093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0.19pt;height:221.21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r>
              <w:rPr>
                <w:rFonts w:ascii="Times New Roman" w:hAnsi="Times New Roman" w:eastAsia="Times New Roman" w:cs="Times New Roman"/>
                <w:color w:val="000000"/>
                <w:sz w:val="24"/>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170,0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10,73</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13,17</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 Bắc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color w:val="ff0000"/>
              </w:rPr>
            </w:pPr>
            <w:r>
              <w:rPr>
                <w:rFonts w:ascii="Times New Roman" w:hAnsi="Times New Roman" w:eastAsia="Times New Roman" w:cs="Times New Roman"/>
                <w:color w:val="ff0000"/>
                <w:sz w:val="24"/>
              </w:rPr>
              <w:t xml:space="preserve">Khu vực tập trung dân cư</w:t>
            </w:r>
            <w:r>
              <w:rPr>
                <w:color w:val="ff0000"/>
              </w:rPr>
            </w:r>
            <w:r>
              <w:rPr>
                <w:color w:val="ff0000"/>
              </w:rP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Thích hợp để ở</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7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 Tài sản gắn liền với đất </w:t>
            </w:r>
            <w:r/>
          </w:p>
        </w:tc>
      </w:tr>
      <w:tr>
        <w:trPr>
          <w:trHeight w:val="394"/>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199"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Đất trống</w:t>
            </w:r>
            <w:r/>
          </w:p>
        </w:tc>
      </w:tr>
    </w:tbl>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19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Văn Phú, Huyện Thường Tín,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Văn Phú, Huyện Thường Tín,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Văn Phú, Huyện Thường Tín,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Thôn Văn Trai, Xã Văn Phú, Huyện Thường Tín, Thành phố Hà Nội</w:t>
            </w:r>
            <w:r>
              <w:rPr>
                <w:sz w:val="22"/>
                <w:szCs w:val="22"/>
              </w:rPr>
            </w:r>
            <w:r>
              <w:rPr>
                <w:sz w:val="22"/>
                <w:szCs w:val="22"/>
              </w:rPr>
            </w:r>
          </w:p>
        </w:tc>
      </w:tr>
      <w:tr>
        <w:trPr>
          <w:trHeight w:val="222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https://www.facebook.com/share/v/1DogYb3hCt/</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https://www.facebook.com/groups/2111860102252192/permalink/25827160806962122/?mibextid=wwXIfr&amp;rdid=pUbe5NhksBtxpxjY#</w:t>
            </w:r>
            <w:r>
              <w:rPr>
                <w:sz w:val="22"/>
                <w:szCs w:val="22"/>
              </w:rPr>
            </w:r>
            <w:r>
              <w:rPr>
                <w:sz w:val="22"/>
                <w:szCs w:val="22"/>
              </w:rPr>
            </w:r>
          </w:p>
        </w:tc>
      </w:tr>
      <w:tr>
        <w:trPr>
          <w:trHeight w:val="4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0984523831</w:t>
            </w: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0788686797</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0987405793</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06/2026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06/2026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06/2026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tại Thôn Văn Trai, xã Thường Tín, thành phố Hà Nội, tài sản cách đường DT 427B khoảng 350m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450m</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500m</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300m</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84,6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10,74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6,97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Nở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Nở hậu</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17</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Bất lợi thương mại</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cụt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thông </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thông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Ngõ cụt</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18</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7.056.000.000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5.700.000.000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5.400.000.000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6.350.400.000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5.130.000.000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5.400.000.000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6.350.400.000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5.130.000.000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Tương đồng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Tương đồng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13</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Bất lợi thương mại</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r>
              <w:rPr>
                <w:color w:val="000000" w:themeColor="text1"/>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5.400.000.000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6.350.400.000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5.130.000.000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tại Thôn Văn Trai, xã Thường Tín, thành phố Hà Nội, tài sản cách đường DT 427B khoảng 350m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450m</w:t>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500m</w:t>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300m</w:t>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63.157.895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60.638.298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2,5</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3</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2,5</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3.157.895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3.031.915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66.315.790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63.670.213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Hạ tầng khu dân cư thông thường</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Hạ tầng khu dân cư thông thường</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Hạ tầng khu dân cư thông thường</w:t>
            </w:r>
            <w:r>
              <w:rPr>
                <w:b/>
                <w:bCs/>
                <w:color w:val="000000"/>
                <w:sz w:val="22"/>
                <w:szCs w:val="22"/>
              </w:rPr>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66.315.790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63.670.213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Tốt</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Tốt</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Tốt</w:t>
            </w:r>
            <w:r>
              <w:rPr>
                <w:b/>
                <w:bCs/>
                <w:color w:val="000000"/>
                <w:sz w:val="22"/>
                <w:szCs w:val="22"/>
              </w:rPr>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66.315.790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64.800.000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63.670.213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170</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85,5</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98</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84,6</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-12%</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-12%</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-7.578.947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-6.480.000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-7.276.596</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58.736.843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58.320.000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56.393.617</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10,74</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4</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4,4</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6,97</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4.421.053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4.536.000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3.031.915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63.157.896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62.856.000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59.425.532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-3.789.474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59.368.422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62.856.000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59.425.532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Nở hậu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Nở hậu</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-3.240.000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-3.031.915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59.368.422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59.616.000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56.393.617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tcPr>
          <w:p>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vMerge w:val="restart"/>
            <w:textDirection w:val="lrTb"/>
            <w:noWrap/>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vMerge w:val="restart"/>
            <w:textDirection w:val="lrTb"/>
            <w:noWrap/>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vMerge w:val="restart"/>
            <w:textDirection w:val="lrTb"/>
            <w:noWrap/>
          </w:tcPr>
          <w:p>
            <w:pPr>
              <w:pBdr/>
              <w:spacing/>
              <w:ind/>
              <w:jc w:val="center"/>
              <w:rPr>
                <w:b/>
                <w:bCs/>
                <w:color w:val="000000"/>
                <w:sz w:val="22"/>
                <w:szCs w:val="22"/>
              </w:rPr>
            </w:pPr>
            <w:r>
              <w:rPr>
                <w:color w:val="000000" w:themeColor="text1"/>
                <w:sz w:val="22"/>
                <w:szCs w:val="22"/>
              </w:rPr>
              <w:t xml:space="preserve">Ngõ cụt</w:t>
            </w:r>
            <w:r>
              <w:rPr>
                <w:b/>
                <w:bCs/>
                <w:color w:val="000000"/>
                <w:sz w:val="22"/>
                <w:szCs w:val="22"/>
              </w:rPr>
            </w:r>
            <w:r>
              <w:rPr>
                <w:b/>
                <w:bCs/>
                <w:color w:val="000000"/>
                <w:sz w:val="22"/>
                <w:szCs w:val="22"/>
              </w:rPr>
            </w:r>
          </w:p>
        </w:tc>
        <w:tc>
          <w:tcPr>
            <w:shd w:val="clear" w:color="000000" w:fill="ffffff"/>
            <w:tcBorders/>
            <w:tcW w:w="1522" w:type="dxa"/>
            <w:vAlign w:val="center"/>
            <w:vMerge w:val="restart"/>
            <w:textDirection w:val="lrTb"/>
            <w:noWrap w:val="false"/>
          </w:tcPr>
          <w:p>
            <w:pPr>
              <w:pBdr/>
              <w:spacing/>
              <w:ind/>
              <w:jc w:val="center"/>
              <w:rPr>
                <w:b/>
                <w:bCs/>
                <w:color w:val="000000"/>
                <w:sz w:val="22"/>
                <w:szCs w:val="22"/>
              </w:rPr>
            </w:pPr>
            <w:r>
              <w:rPr>
                <w:color w:val="000000" w:themeColor="text1"/>
                <w:sz w:val="22"/>
                <w:szCs w:val="22"/>
              </w:rPr>
              <w:t xml:space="preserve">Ngõ thông</w:t>
            </w:r>
            <w:r>
              <w:rPr>
                <w:b/>
                <w:bCs/>
                <w:color w:val="000000"/>
                <w:sz w:val="22"/>
                <w:szCs w:val="22"/>
              </w:rPr>
            </w:r>
            <w:r>
              <w:rPr>
                <w:b/>
                <w:bCs/>
                <w:color w:val="000000"/>
                <w:sz w:val="22"/>
                <w:szCs w:val="22"/>
              </w:rPr>
            </w:r>
          </w:p>
        </w:tc>
        <w:tc>
          <w:tcPr>
            <w:shd w:val="clear" w:color="000000" w:fill="ffffff"/>
            <w:tcBorders/>
            <w:tcW w:w="1522" w:type="dxa"/>
            <w:vAlign w:val="center"/>
            <w:vMerge w:val="restart"/>
            <w:textDirection w:val="lrTb"/>
            <w:noWrap w:val="false"/>
          </w:tcPr>
          <w:p>
            <w:pPr>
              <w:pBdr/>
              <w:spacing/>
              <w:ind/>
              <w:jc w:val="center"/>
              <w:rPr>
                <w:b/>
                <w:bCs/>
                <w:color w:val="000000"/>
                <w:sz w:val="22"/>
                <w:szCs w:val="22"/>
              </w:rPr>
            </w:pPr>
            <w:r>
              <w:rPr>
                <w:color w:val="000000" w:themeColor="text1"/>
                <w:sz w:val="22"/>
                <w:szCs w:val="22"/>
              </w:rPr>
              <w:t xml:space="preserve">Ngõ thông</w:t>
            </w:r>
            <w:r>
              <w:rPr>
                <w:b/>
                <w:bCs/>
                <w:color w:val="000000"/>
                <w:sz w:val="22"/>
                <w:szCs w:val="22"/>
              </w:rPr>
            </w:r>
            <w:r>
              <w:rPr>
                <w:b/>
                <w:bCs/>
                <w:color w:val="000000"/>
                <w:sz w:val="22"/>
                <w:szCs w:val="22"/>
              </w:rPr>
            </w:r>
          </w:p>
        </w:tc>
        <w:tc>
          <w:tcPr>
            <w:shd w:val="clear" w:color="000000" w:fill="ffffff"/>
            <w:tcBorders/>
            <w:tcW w:w="1522" w:type="dxa"/>
            <w:vAlign w:val="center"/>
            <w:vMerge w:val="restart"/>
            <w:textDirection w:val="lrTb"/>
            <w:noWrap w:val="false"/>
          </w:tcPr>
          <w:p>
            <w:pPr>
              <w:pBdr/>
              <w:spacing/>
              <w:ind/>
              <w:jc w:val="center"/>
              <w:rPr>
                <w:b/>
                <w:bCs/>
                <w:color w:val="000000"/>
                <w:sz w:val="22"/>
                <w:szCs w:val="22"/>
              </w:rPr>
            </w:pPr>
            <w:r>
              <w:rPr>
                <w:color w:val="000000" w:themeColor="text1"/>
                <w:sz w:val="22"/>
                <w:szCs w:val="22"/>
              </w:rPr>
              <w:t xml:space="preserve">Ngõ cụt</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hd w:val="nil" w:color="auto"/>
              <w:spacing/>
              <w:ind/>
              <w:rPr>
                <w14:ligatures w14:val="none"/>
              </w:rPr>
            </w:pPr>
            <w:r>
              <w:t xml:space="preserve">Tỷ lệ điều chỉnh</w:t>
            </w:r>
            <w:r>
              <w:rPr>
                <w14:ligatures w14:val="none"/>
              </w:rPr>
            </w:r>
            <w:r>
              <w:rPr>
                <w14:ligatures w14:val="none"/>
              </w:rPr>
            </w:r>
          </w:p>
        </w:tc>
        <w:tc>
          <w:tcPr>
            <w:shd w:val="clear" w:color="000000" w:fill="ffffff"/>
            <w:tcBorders/>
            <w:tcW w:w="1030" w:type="dxa"/>
            <w:vAlign w:val="center"/>
            <w:vMerge w:val="restart"/>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tcPr>
          <w:p>
            <w:pPr>
              <w:pBdr/>
              <w:shd w:val="nil" w:color="auto"/>
              <w:spacing/>
              <w:ind/>
              <w:rPr>
                <w14:ligatures w14:val="none"/>
              </w:rPr>
            </w:pPr>
            <w:r>
              <w:rPr>
                <w14:ligatures w14:val="none"/>
              </w:rPr>
            </w:r>
            <w:r>
              <w:rPr>
                <w14:ligatures w14:val="none"/>
              </w:rPr>
            </w:r>
            <w:r>
              <w:rPr>
                <w14:ligatures w14:val="none"/>
              </w:rPr>
            </w:r>
          </w:p>
        </w:tc>
        <w:tc>
          <w:tcPr>
            <w:shd w:val="clear" w:color="000000" w:fill="ffffff"/>
            <w:tcBorders/>
            <w:tcW w:w="152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hd w:val="nil" w:color="auto"/>
              <w:spacing/>
              <w:ind/>
              <w:rPr>
                <w14:ligatures w14:val="none"/>
              </w:rPr>
            </w:pPr>
            <w:r>
              <w:t xml:space="preserve">Mức điều chỉnh</w:t>
            </w:r>
            <w:r>
              <w:rPr>
                <w14:ligatures w14:val="none"/>
              </w:rPr>
            </w:r>
            <w:r>
              <w:rPr>
                <w14:ligatures w14:val="none"/>
              </w:rPr>
            </w:r>
          </w:p>
        </w:tc>
        <w:tc>
          <w:tcPr>
            <w:shd w:val="clear" w:color="000000" w:fill="ffffff"/>
            <w:tcBorders/>
            <w:tcW w:w="1030" w:type="dxa"/>
            <w:vAlign w:val="center"/>
            <w:vMerge w:val="restart"/>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tcPr>
          <w:p>
            <w:pPr>
              <w:pBdr/>
              <w:shd w:val="nil" w:color="auto"/>
              <w:spacing/>
              <w:ind/>
              <w:rPr>
                <w14:ligatures w14:val="none"/>
              </w:rPr>
            </w:pPr>
            <w:r>
              <w:rPr>
                <w14:ligatures w14:val="none"/>
              </w:rPr>
            </w:r>
            <w:r>
              <w:rPr>
                <w14:ligatures w14:val="none"/>
              </w:rPr>
            </w:r>
            <w:r>
              <w:rPr>
                <w14:ligatures w14:val="none"/>
              </w:rPr>
            </w:r>
          </w:p>
        </w:tc>
        <w:tc>
          <w:tcPr>
            <w:shd w:val="clear" w:color="000000" w:fill="ffffff"/>
            <w:tcBorders/>
            <w:tcW w:w="1522" w:type="dxa"/>
            <w:vAlign w:val="center"/>
            <w:vMerge w:val="restart"/>
            <w:textDirection w:val="lrTb"/>
            <w:noWrap w:val="false"/>
          </w:tcPr>
          <w:p>
            <w:pPr>
              <w:pBdr/>
              <w:shd w:val="nil" w:color="auto"/>
              <w:spacing/>
              <w:ind/>
              <w:jc w:val="center"/>
              <w:rPr>
                <w:sz w:val="22"/>
                <w:szCs w:val="22"/>
                <w14:ligatures w14:val="none"/>
              </w:rPr>
            </w:pPr>
            <w:r>
              <w:rPr>
                <w:sz w:val="22"/>
                <w:szCs w:val="22"/>
              </w:rPr>
              <w:t xml:space="preserve">-3.157.895</w:t>
            </w:r>
            <w:r>
              <w:rPr>
                <w:sz w:val="22"/>
                <w:szCs w:val="22"/>
                <w14:ligatures w14:val="none"/>
              </w:rPr>
            </w:r>
            <w:r>
              <w:rPr>
                <w:sz w:val="22"/>
                <w:szCs w:val="22"/>
                <w14:ligatures w14:val="none"/>
              </w:rPr>
            </w:r>
          </w:p>
        </w:tc>
        <w:tc>
          <w:tcPr>
            <w:shd w:val="clear" w:color="000000" w:fill="ffffff"/>
            <w:tcBorders/>
            <w:tcW w:w="1522" w:type="dxa"/>
            <w:vAlign w:val="center"/>
            <w:vMerge w:val="restart"/>
            <w:textDirection w:val="lrTb"/>
            <w:noWrap w:val="false"/>
          </w:tcPr>
          <w:p>
            <w:pPr>
              <w:pBdr/>
              <w:shd w:val="nil" w:color="auto"/>
              <w:spacing/>
              <w:ind/>
              <w:jc w:val="center"/>
              <w:rPr>
                <w:sz w:val="22"/>
                <w:szCs w:val="22"/>
                <w14:ligatures w14:val="none"/>
              </w:rPr>
            </w:pPr>
            <w:r>
              <w:rPr>
                <w:sz w:val="22"/>
                <w:szCs w:val="22"/>
              </w:rPr>
              <w:t xml:space="preserve">-3.240.000</w:t>
            </w:r>
            <w:r>
              <w:rPr>
                <w:sz w:val="22"/>
                <w:szCs w:val="22"/>
                <w14:ligatures w14:val="none"/>
              </w:rPr>
            </w:r>
            <w:r>
              <w:rPr>
                <w:sz w:val="22"/>
                <w:szCs w:val="22"/>
                <w14:ligatures w14:val="none"/>
              </w:rPr>
            </w:r>
          </w:p>
        </w:tc>
        <w:tc>
          <w:tcPr>
            <w:shd w:val="clear" w:color="000000" w:fill="ffffff"/>
            <w:tcBorders/>
            <w:tcW w:w="1522" w:type="dxa"/>
            <w:vAlign w:val="center"/>
            <w:vMerge w:val="restart"/>
            <w:textDirection w:val="lrTb"/>
            <w:noWrap w:val="false"/>
          </w:tcPr>
          <w:p>
            <w:pPr>
              <w:pBdr/>
              <w:shd w:val="nil" w:color="auto"/>
              <w:spacing/>
              <w:ind/>
              <w:jc w:val="center"/>
              <w:rPr>
                <w:sz w:val="22"/>
                <w:szCs w:val="22"/>
                <w14:ligatures w14:val="none"/>
              </w:rPr>
            </w:pPr>
            <w:r>
              <w:rPr>
                <w:sz w:val="22"/>
                <w:szCs w:val="22"/>
              </w:rPr>
              <w:t xml:space="preserve">0</w:t>
            </w:r>
            <w:r>
              <w:rPr>
                <w:sz w:val="22"/>
                <w:szCs w:val="22"/>
                <w14:ligatures w14:val="none"/>
              </w:rPr>
            </w:r>
            <w:r>
              <w:rPr>
                <w:sz w:val="22"/>
                <w:szCs w:val="22"/>
                <w14:ligatures w14:val="none"/>
              </w:rPr>
            </w:r>
          </w:p>
        </w:tc>
      </w:tr>
      <w:tr>
        <w:trPr>
          <w:trHeight w:val="20"/>
        </w:trPr>
        <w:tc>
          <w:tcPr>
            <w:shd w:val="clear" w:color="000000" w:fill="ffffff"/>
            <w:tcBorders/>
            <w:tcW w:w="632" w:type="dxa"/>
            <w:vAlign w:val="center"/>
            <w:vMerge w:val="continue"/>
            <w:textDirection w:val="lrTb"/>
            <w:noWrap/>
          </w:tcPr>
          <w:p>
            <w:pPr>
              <w:pBdr/>
              <w:spacing/>
              <w:ind/>
              <w:rPr/>
            </w:pPr>
            <w:r/>
            <w:r/>
          </w:p>
        </w:tc>
        <w:tc>
          <w:tcPr>
            <w:shd w:val="clear" w:color="000000" w:fill="ffffff"/>
            <w:tcBorders/>
            <w:tcW w:w="1765" w:type="dxa"/>
            <w:vAlign w:val="center"/>
            <w:vMerge w:val="restart"/>
            <w:textDirection w:val="lrTb"/>
            <w:noWrap/>
          </w:tcPr>
          <w:p>
            <w:pPr>
              <w:pBdr/>
              <w:shd w:val="nil" w:color="auto"/>
              <w:spacing/>
              <w:ind/>
              <w:rPr>
                <w14:ligatures w14:val="none"/>
              </w:rPr>
            </w:pPr>
            <w:r>
              <w:t xml:space="preserve">Giá sau điều chỉnh</w:t>
            </w:r>
            <w:r>
              <w:rPr>
                <w14:ligatures w14:val="none"/>
              </w:rPr>
            </w:r>
            <w:r>
              <w:rPr>
                <w14:ligatures w14:val="none"/>
              </w:rPr>
            </w:r>
          </w:p>
        </w:tc>
        <w:tc>
          <w:tcPr>
            <w:shd w:val="clear" w:color="000000" w:fill="ffffff"/>
            <w:tcBorders/>
            <w:tcW w:w="1030" w:type="dxa"/>
            <w:vAlign w:val="center"/>
            <w:vMerge w:val="restart"/>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tcPr>
          <w:p>
            <w:pPr>
              <w:pBdr/>
              <w:shd w:val="nil" w:color="auto"/>
              <w:spacing/>
              <w:ind/>
              <w:rPr>
                <w14:ligatures w14:val="none"/>
              </w:rPr>
            </w:pPr>
            <w:r>
              <w:rPr>
                <w14:ligatures w14:val="none"/>
              </w:rPr>
            </w:r>
            <w:r>
              <w:rPr>
                <w14:ligatures w14:val="none"/>
              </w:rPr>
            </w:r>
            <w:r>
              <w:rPr>
                <w14:ligatures w14:val="none"/>
              </w:rPr>
            </w:r>
          </w:p>
        </w:tc>
        <w:tc>
          <w:tcPr>
            <w:shd w:val="clear" w:color="000000" w:fill="ffffff"/>
            <w:tcBorders/>
            <w:tcW w:w="1522" w:type="dxa"/>
            <w:vAlign w:val="center"/>
            <w:vMerge w:val="restart"/>
            <w:textDirection w:val="lrTb"/>
            <w:noWrap w:val="false"/>
          </w:tcPr>
          <w:p>
            <w:pPr>
              <w:pBdr/>
              <w:shd w:val="nil" w:color="auto"/>
              <w:spacing/>
              <w:ind/>
              <w:jc w:val="center"/>
              <w:rPr>
                <w:sz w:val="22"/>
                <w:szCs w:val="22"/>
                <w14:ligatures w14:val="none"/>
              </w:rPr>
            </w:pPr>
            <w:r>
              <w:rPr>
                <w:sz w:val="22"/>
                <w:szCs w:val="22"/>
              </w:rPr>
              <w:t xml:space="preserve">56.210.527</w:t>
            </w:r>
            <w:r>
              <w:rPr>
                <w:sz w:val="22"/>
                <w:szCs w:val="22"/>
                <w14:ligatures w14:val="none"/>
              </w:rPr>
            </w:r>
            <w:r>
              <w:rPr>
                <w:sz w:val="22"/>
                <w:szCs w:val="22"/>
                <w14:ligatures w14:val="none"/>
              </w:rPr>
            </w:r>
          </w:p>
        </w:tc>
        <w:tc>
          <w:tcPr>
            <w:shd w:val="clear" w:color="000000" w:fill="ffffff"/>
            <w:tcBorders/>
            <w:tcW w:w="1522" w:type="dxa"/>
            <w:vAlign w:val="center"/>
            <w:vMerge w:val="restart"/>
            <w:textDirection w:val="lrTb"/>
            <w:noWrap w:val="false"/>
          </w:tcPr>
          <w:p>
            <w:pPr>
              <w:pBdr/>
              <w:shd w:val="nil" w:color="auto"/>
              <w:spacing/>
              <w:ind/>
              <w:jc w:val="center"/>
              <w:rPr>
                <w:sz w:val="22"/>
                <w:szCs w:val="22"/>
                <w14:ligatures w14:val="none"/>
              </w:rPr>
            </w:pPr>
            <w:r>
              <w:rPr>
                <w:sz w:val="22"/>
                <w:szCs w:val="22"/>
              </w:rPr>
              <w:t xml:space="preserve">56.376.000</w:t>
            </w:r>
            <w:r>
              <w:rPr>
                <w:sz w:val="22"/>
                <w:szCs w:val="22"/>
                <w14:ligatures w14:val="none"/>
              </w:rPr>
            </w:r>
            <w:r>
              <w:rPr>
                <w:sz w:val="22"/>
                <w:szCs w:val="22"/>
                <w14:ligatures w14:val="none"/>
              </w:rPr>
            </w:r>
          </w:p>
        </w:tc>
        <w:tc>
          <w:tcPr>
            <w:shd w:val="clear" w:color="000000" w:fill="ffffff"/>
            <w:tcBorders/>
            <w:tcW w:w="1522" w:type="dxa"/>
            <w:vAlign w:val="center"/>
            <w:vMerge w:val="restart"/>
            <w:textDirection w:val="lrTb"/>
            <w:noWrap w:val="false"/>
          </w:tcPr>
          <w:p>
            <w:pPr>
              <w:pBdr/>
              <w:shd w:val="nil" w:color="auto"/>
              <w:spacing/>
              <w:ind/>
              <w:jc w:val="center"/>
              <w:rPr>
                <w:sz w:val="22"/>
                <w:szCs w:val="22"/>
                <w14:ligatures w14:val="none"/>
              </w:rPr>
            </w:pPr>
            <w:r>
              <w:rPr>
                <w:sz w:val="22"/>
                <w:szCs w:val="22"/>
              </w:rPr>
              <w:t xml:space="preserve">56.393.617</w:t>
            </w:r>
            <w:r>
              <w:rPr>
                <w:sz w:val="22"/>
                <w:szCs w:val="22"/>
                <w14:ligatures w14:val="none"/>
              </w:rPr>
            </w:r>
            <w:r>
              <w:rPr>
                <w:sz w:val="22"/>
                <w:szCs w:val="22"/>
                <w14:ligatures w14:val="none"/>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56.210.527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56.376.000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56.393.617</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56.326.715</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-0,21%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0,09%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0,12%</w:t>
            </w:r>
            <w:r>
              <w:rPr>
                <w:color w:val="000000"/>
                <w:sz w:val="22"/>
                <w:szCs w:val="22"/>
              </w:rPr>
            </w:r>
            <w:r>
              <w:rPr>
                <w:color w:val="000000"/>
                <w:sz w:val="22"/>
                <w:szCs w:val="22"/>
              </w:rPr>
            </w:r>
          </w:p>
        </w:tc>
      </w:tr>
      <w:tr>
        <w:trPr>
          <w:trHeight w:val="454"/>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22.105.264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17.496.000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16.372.341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- 12%</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6.947.368</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8.424.000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4.244.681</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-0,21</w:t>
      </w:r>
      <w:r>
        <w:t xml:space="preserve">% đến</w:t>
      </w:r>
      <w:r>
        <w:t xml:space="preserve"> </w:t>
      </w:r>
      <w:r>
        <w:t xml:space="preserve"> </w:t>
      </w:r>
      <w:r>
        <w:t xml:space="preserve">0,12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56.210.527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18.740.590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56.376.000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18.790.121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56.393.617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18.795.993</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56.326.704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56.000.000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56.000.000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5"/>
        <w:gridCol w:w="2409"/>
        <w:gridCol w:w="1646"/>
        <w:gridCol w:w="2646"/>
        <w:gridCol w:w="2229"/>
      </w:tblGrid>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409"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646"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646"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01"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06, tờ bản đồ số: 03, có địa chỉ: Xóm 3, xã Văn Phú, huyện Thường Tín, thành phố Hà Nội (Nay là: xã Thường Tín, thành ph</w:t>
            </w:r>
            <w:r>
              <w:rPr>
                <w:b/>
                <w:bCs/>
                <w:color w:val="000000"/>
              </w:rPr>
              <w:t xml:space="preserve">ố Hà Nội) theo Giấy chứng nhận quyền sử dụng đất quyền sở hữu nhà ở và tài sản khác gắn liền với đất số: CK 997889, số vào sổ cấp GCN: CS - TTI 06179 do Sở Tài nguyên và Môi trường thành phố Hà Nội cấp ngày 06/02/2018; Chủ sử dụng đất là Ông Nguyễn Văn Pha</w:t>
            </w:r>
            <w:r>
              <w:rPr>
                <w:b/>
                <w:bCs/>
              </w:rPr>
              <w:t xml:space="preserve">.</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2409" w:type="dxa"/>
            <w:vAlign w:val="center"/>
            <w:textDirection w:val="lrTb"/>
            <w:noWrap w:val="false"/>
          </w:tcPr>
          <w:p>
            <w:pPr>
              <w:pBdr/>
              <w:spacing w:after="40" w:before="40" w:line="288" w:lineRule="auto"/>
              <w:ind/>
              <w:rPr>
                <w:b w:val="0"/>
                <w:bCs w:val="0"/>
              </w:rPr>
            </w:pPr>
            <w:r>
              <w:rPr>
                <w:b w:val="0"/>
                <w:bCs w:val="0"/>
              </w:rPr>
              <w:t xml:space="preserve">Quyền sử dụng đất ở</w:t>
            </w:r>
            <w:r>
              <w:rPr>
                <w:b w:val="0"/>
                <w:bCs w:val="0"/>
              </w:rPr>
            </w:r>
            <w:r>
              <w:rPr>
                <w:b w:val="0"/>
                <w:bCs w:val="0"/>
              </w:rPr>
            </w:r>
          </w:p>
        </w:tc>
        <w:tc>
          <w:tcPr>
            <w:tcBorders/>
            <w:tcW w:w="1646" w:type="dxa"/>
            <w:vAlign w:val="center"/>
            <w:textDirection w:val="lrTb"/>
            <w:noWrap/>
          </w:tcPr>
          <w:p>
            <w:pPr>
              <w:pBdr/>
              <w:spacing w:after="40" w:before="40" w:line="288" w:lineRule="auto"/>
              <w:ind/>
              <w:jc w:val="center"/>
              <w:rPr>
                <w:color w:val="000000"/>
              </w:rPr>
            </w:pPr>
            <w:r>
              <w:rPr>
                <w:color w:val="000000" w:themeColor="text1"/>
              </w:rPr>
              <w:t xml:space="preserve">170</w:t>
            </w:r>
            <w:r>
              <w:rPr>
                <w:color w:val="000000"/>
              </w:rPr>
            </w:r>
            <w:r>
              <w:rPr>
                <w:color w:val="000000"/>
              </w:rPr>
            </w:r>
          </w:p>
        </w:tc>
        <w:tc>
          <w:tcPr>
            <w:shd w:val="clear" w:color="000000" w:fill="ffffff"/>
            <w:tcBorders/>
            <w:tcW w:w="2646" w:type="dxa"/>
            <w:vAlign w:val="center"/>
            <w:textDirection w:val="lrTb"/>
            <w:noWrap w:val="false"/>
          </w:tcPr>
          <w:p>
            <w:pPr>
              <w:pBdr/>
              <w:spacing w:after="40" w:before="40" w:line="288" w:lineRule="auto"/>
              <w:ind/>
              <w:jc w:val="center"/>
              <w:rPr/>
            </w:pPr>
            <w:r>
              <w:rPr>
                <w:color w:val="000000" w:themeColor="text1"/>
              </w:rPr>
              <w:t xml:space="preserve">56.000.000</w:t>
            </w:r>
            <w:r/>
          </w:p>
        </w:tc>
        <w:tc>
          <w:tcPr>
            <w:shd w:val="clear" w:color="000000" w:fill="ffffff"/>
            <w:tcBorders/>
            <w:tcW w:w="2229" w:type="dxa"/>
            <w:vAlign w:val="center"/>
            <w:textDirection w:val="lrTb"/>
            <w:noWrap w:val="false"/>
          </w:tcPr>
          <w:p>
            <w:pPr>
              <w:pBdr/>
              <w:spacing w:after="40" w:before="40" w:line="288" w:lineRule="auto"/>
              <w:ind/>
              <w:jc w:val="center"/>
              <w:rPr/>
            </w:pPr>
            <w:r>
              <w:rPr>
                <w:color w:val="000000" w:themeColor="text1"/>
              </w:rPr>
              <w:t xml:space="preserve">9.520.000.000</w:t>
            </w:r>
            <w:r/>
          </w:p>
        </w:tc>
      </w:tr>
      <w:tr>
        <w:trPr>
          <w:trHeight w:val="20"/>
        </w:trPr>
        <w:tc>
          <w:tcPr>
            <w:gridSpan w:val="4"/>
            <w:tcBorders/>
            <w:tcW w:w="729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pPr>
              <w:pBdr/>
              <w:spacing w:after="40" w:before="40" w:line="288" w:lineRule="auto"/>
              <w:ind/>
              <w:jc w:val="center"/>
              <w:rPr>
                <w:b/>
                <w:bCs/>
                <w:color w:val="000000"/>
              </w:rPr>
            </w:pPr>
            <w:r>
              <w:rPr>
                <w:b/>
                <w:bCs/>
              </w:rPr>
              <w:t xml:space="preserve">9.520.000.000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Chín tỷ năm trăm hai mươi triệu đồng</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275/2026/0851/VFI-CT.36.A</w:t>
      </w:r>
      <w:r>
        <w:rPr>
          <w:color w:val="ff0000"/>
          <w:lang w:val="vi-VN"/>
        </w:rPr>
        <w:t xml:space="preserve"> </w:t>
      </w:r>
      <w:r>
        <w:rPr>
          <w:color w:val="000000" w:themeColor="text1"/>
        </w:rPr>
        <w:t xml:space="preserve">ngày 05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jc w:val="left"/>
        <w:rPr>
          <w:lang w:val="vi-VN"/>
        </w:rPr>
      </w:pPr>
      <w:r>
        <w:rPr>
          <w:b/>
          <w:u w:val="single"/>
          <w:lang w:val="vi-VN"/>
        </w:rPr>
      </w:r>
      <w:r>
        <w:rPr>
          <w:b/>
          <w:highlight w:val="none"/>
          <w:lang w:val="pt-BR"/>
        </w:rPr>
        <w:br w:type="page" w:clear="all"/>
      </w:r>
      <w:r>
        <w:rPr>
          <w:lang w:val="vi-VN"/>
        </w:rPr>
      </w:r>
      <w:r>
        <w:rPr>
          <w:lang w:val="vi-VN"/>
        </w:rPr>
      </w:r>
    </w:p>
    <w:p>
      <w:pPr>
        <w:pBdr/>
        <w:spacing w:after="200" w:line="276" w:lineRule="auto"/>
        <w:ind/>
        <w:jc w:val="center"/>
        <w:rPr>
          <w:b/>
          <w:bCs/>
          <w:highlight w:val="none"/>
          <w:lang w:val="pt-BR"/>
        </w:rPr>
      </w:pPr>
      <w:r>
        <w:rPr>
          <w:lang w:val="vi-VN"/>
        </w:rPr>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bCs/>
          <w:highlight w:val="none"/>
          <w:lang w:val="pt-BR"/>
        </w:rPr>
      </w:r>
      <w:r>
        <w:rPr>
          <w:b/>
          <w:bCs/>
          <w:highlight w:val="none"/>
          <w:lang w:val="pt-BR"/>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275/2026/0851/VFI-BC.36.A ngày</w:t>
      </w:r>
      <w:r>
        <w:rPr>
          <w:i/>
          <w:lang w:val="pt-BR"/>
        </w:rPr>
        <w:t xml:space="preserve"> </w:t>
      </w:r>
      <w:r>
        <w:rPr>
          <w:i/>
          <w:lang w:val="pt-BR"/>
        </w:rPr>
        <w:t xml:space="preserve">5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rHeight w:val="4480"/>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70187" cy="277311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54350" name=""/>
                              <pic:cNvPicPr>
                                <a:picLocks noChangeAspect="1"/>
                              </pic:cNvPicPr>
                              <pic:nvPr/>
                            </pic:nvPicPr>
                            <pic:blipFill rotWithShape="1">
                              <a:blip r:embed="rId19"/>
                              <a:stretch/>
                            </pic:blipFill>
                            <pic:spPr bwMode="auto">
                              <a:xfrm flipH="0" flipV="0">
                                <a:off x="0" y="0"/>
                                <a:ext cx="2570187" cy="27731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2.38pt;height:218.36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41351" cy="279099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60453" name=""/>
                              <pic:cNvPicPr>
                                <a:picLocks noChangeAspect="1"/>
                              </pic:cNvPicPr>
                              <pic:nvPr/>
                            </pic:nvPicPr>
                            <pic:blipFill rotWithShape="1">
                              <a:blip r:embed="rId20"/>
                              <a:stretch/>
                            </pic:blipFill>
                            <pic:spPr bwMode="auto">
                              <a:xfrm flipH="0" flipV="0">
                                <a:off x="0" y="0"/>
                                <a:ext cx="2941350" cy="27909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60pt;height:219.7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12652" cy="245497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40" name=""/>
                              <pic:cNvPicPr>
                                <a:picLocks noChangeAspect="1"/>
                              </pic:cNvPicPr>
                              <pic:nvPr/>
                            </pic:nvPicPr>
                            <pic:blipFill rotWithShape="1">
                              <a:blip r:embed="rId21"/>
                              <a:stretch/>
                            </pic:blipFill>
                            <pic:spPr bwMode="auto">
                              <a:xfrm flipH="0" flipV="0">
                                <a:off x="0" y="0"/>
                                <a:ext cx="2812651" cy="24549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1.47pt;height:193.3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26867" cy="241792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27572" name=""/>
                              <pic:cNvPicPr>
                                <a:picLocks noChangeAspect="1"/>
                              </pic:cNvPicPr>
                              <pic:nvPr/>
                            </pic:nvPicPr>
                            <pic:blipFill rotWithShape="1">
                              <a:blip r:embed="rId22"/>
                              <a:stretch/>
                            </pic:blipFill>
                            <pic:spPr bwMode="auto">
                              <a:xfrm flipH="0" flipV="0">
                                <a:off x="0" y="0"/>
                                <a:ext cx="2926867" cy="2417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0.46pt;height:190.3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w:rPr>
                <w:b/>
                <w:bCs/>
                <w:i/>
                <w:lang w:val="pt-BR"/>
              </w:rPr>
            </w:r>
            <w:r>
              <w:rPr>
                <w:b/>
                <w:bCs/>
                <w:i/>
                <w:lang w:val="pt-BR"/>
              </w:rPr>
            </w:r>
          </w:p>
        </w:tc>
      </w:tr>
      <w:tr>
        <w:trPr>
          <w:trHeight w:val="2126"/>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54985" cy="240326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61135" name=""/>
                              <pic:cNvPicPr>
                                <a:picLocks noChangeAspect="1"/>
                              </pic:cNvPicPr>
                              <pic:nvPr/>
                            </pic:nvPicPr>
                            <pic:blipFill rotWithShape="1">
                              <a:blip r:embed="rId23"/>
                              <a:stretch/>
                            </pic:blipFill>
                            <pic:spPr bwMode="auto">
                              <a:xfrm flipH="0" flipV="0">
                                <a:off x="0" y="0"/>
                                <a:ext cx="2854984" cy="24032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4.80pt;height:189.23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12505" cy="245414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59722" name=""/>
                              <pic:cNvPicPr>
                                <a:picLocks noChangeAspect="1"/>
                              </pic:cNvPicPr>
                              <pic:nvPr/>
                            </pic:nvPicPr>
                            <pic:blipFill rotWithShape="1">
                              <a:blip r:embed="rId24"/>
                              <a:stretch/>
                            </pic:blipFill>
                            <pic:spPr bwMode="auto">
                              <a:xfrm flipH="0" flipV="0">
                                <a:off x="0" y="0"/>
                                <a:ext cx="3012505" cy="24541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7.21pt;height:193.24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hd w:val="nil" w:color="auto"/>
        <w:spacing/>
        <w:ind/>
        <w:jc w:val="center"/>
        <w:rPr>
          <w:b/>
          <w:bCs/>
          <w:highlight w:val="none"/>
        </w:rPr>
      </w:pPr>
      <w:r>
        <w:rPr>
          <w:b/>
          <w:highlight w:val="none"/>
        </w:rPr>
        <w:t xml:space="preserve">GIẤY CHỨNG NHẬN QUYỀN SỬ DỤNG ĐẤT</w:t>
      </w:r>
      <w:r>
        <w:rPr>
          <w:b/>
          <w:bCs/>
          <w:highlight w:val="none"/>
        </w:rPr>
      </w:r>
      <w:r>
        <w:rPr>
          <w:b/>
          <w:bCs/>
          <w:highlight w:val="none"/>
        </w:rPr>
      </w:r>
    </w:p>
    <w:p>
      <w:pPr>
        <w:pBdr/>
        <w:shd w:val="nil" w:color="000000"/>
        <w:spacing/>
        <w:ind/>
        <w:jc w:val="center"/>
        <w:rPr>
          <w:b/>
          <w:bCs/>
          <w:highlight w:val="none"/>
        </w:rPr>
      </w:pPr>
      <w:r>
        <w:rPr>
          <w:b/>
          <w:highlight w:val="none"/>
        </w:rPr>
      </w:r>
      <w:r>
        <w:rPr>
          <w:b/>
          <w:bCs/>
          <w:highlight w:val="none"/>
        </w:rPr>
      </w:r>
      <w:r>
        <w:rPr>
          <w:b/>
          <w:bCs/>
          <w:highlight w:val="none"/>
        </w:rPr>
      </w:r>
    </w:p>
    <w:p>
      <w:pPr>
        <w:pBdr/>
        <w:shd w:val="nil" w:color="000000"/>
        <w:spacing/>
        <w:ind/>
        <w:jc w:val="center"/>
        <w:rPr/>
      </w:pPr>
      <w:r>
        <w:rPr>
          <w:b/>
          <w:highlight w:val="none"/>
        </w:rPr>
      </w:r>
      <w:r>
        <mc:AlternateContent>
          <mc:Choice Requires="wpg">
            <w:drawing>
              <wp:inline xmlns:wp="http://schemas.openxmlformats.org/drawingml/2006/wordprocessingDrawing" distT="0" distB="0" distL="0" distR="0">
                <wp:extent cx="8555419" cy="590771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9353" name=""/>
                        <pic:cNvPicPr>
                          <a:picLocks noChangeAspect="1"/>
                        </pic:cNvPicPr>
                        <pic:nvPr/>
                      </pic:nvPicPr>
                      <pic:blipFill rotWithShape="1">
                        <a:blip r:embed="rId25"/>
                        <a:stretch/>
                      </pic:blipFill>
                      <pic:spPr bwMode="auto">
                        <a:xfrm rot="16199969" flipH="0" flipV="0">
                          <a:off x="0" y="0"/>
                          <a:ext cx="8555419" cy="59077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673.66pt;height:465.17pt;mso-wrap-distance-left:0.00pt;mso-wrap-distance-top:0.00pt;mso-wrap-distance-right:0.00pt;mso-wrap-distance-bottom:0.00pt;rotation:269;z-index:1;" stroked="false">
                <v:imagedata r:id="rId25" o:title=""/>
                <o:lock v:ext="edit" rotation="t"/>
              </v:shape>
            </w:pict>
          </mc:Fallback>
        </mc:AlternateContent>
      </w:r>
      <w:r>
        <w:rPr>
          <w:b/>
          <w:bCs/>
          <w:highlight w:val="none"/>
        </w:rPr>
      </w:r>
      <w:r/>
    </w:p>
    <w:p>
      <w:pPr>
        <w:pBdr/>
        <w:shd w:val="nil" w:color="000000"/>
        <w:spacing/>
        <w:ind/>
        <w:jc w:val="left"/>
        <w:rPr>
          <w:b/>
          <w:bCs/>
          <w:highlight w:val="none"/>
        </w:rPr>
      </w:pPr>
      <w:r>
        <w:rPr>
          <w:b/>
          <w:highlight w:val="none"/>
        </w:rPr>
      </w:r>
      <w:r>
        <w:rPr>
          <w:b/>
          <w:bCs/>
          <w:highlight w:val="none"/>
        </w:rPr>
      </w:r>
      <w:r>
        <w:rPr>
          <w:b/>
          <w:bCs/>
          <w:highlight w:val="none"/>
        </w:rPr>
      </w:r>
    </w:p>
    <w:p>
      <w:pPr>
        <w:pBdr/>
        <w:shd w:val="nil" w:color="000000"/>
        <w:spacing/>
        <w:ind/>
        <w:jc w:val="center"/>
        <w:rPr>
          <w:b/>
          <w:bCs/>
          <w:highlight w:val="none"/>
        </w:rPr>
      </w:pPr>
      <w:r>
        <mc:AlternateContent>
          <mc:Choice Requires="wpg">
            <w:drawing>
              <wp:inline xmlns:wp="http://schemas.openxmlformats.org/drawingml/2006/wordprocessingDrawing" distT="0" distB="0" distL="0" distR="0">
                <wp:extent cx="9128160" cy="591505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77324" name=""/>
                        <pic:cNvPicPr>
                          <a:picLocks noChangeAspect="1"/>
                        </pic:cNvPicPr>
                        <pic:nvPr/>
                      </pic:nvPicPr>
                      <pic:blipFill rotWithShape="1">
                        <a:blip r:embed="rId26"/>
                        <a:stretch/>
                      </pic:blipFill>
                      <pic:spPr bwMode="auto">
                        <a:xfrm rot="16199969" flipH="0" flipV="0">
                          <a:off x="0" y="0"/>
                          <a:ext cx="9128159" cy="59150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718.75pt;height:465.75pt;mso-wrap-distance-left:0.00pt;mso-wrap-distance-top:0.00pt;mso-wrap-distance-right:0.00pt;mso-wrap-distance-bottom:0.00pt;rotation:269;z-index:1;" stroked="false">
                <v:imagedata r:id="rId26" o:title=""/>
                <o:lock v:ext="edit" rotation="t"/>
              </v:shape>
            </w:pict>
          </mc:Fallback>
        </mc:AlternateContent>
      </w:r>
      <w:r>
        <w:rPr>
          <w:b/>
          <w:highlight w:val="none"/>
        </w:rPr>
        <w:br w:type="page" w:clear="all"/>
      </w:r>
      <w:r>
        <w:rPr>
          <w:b/>
          <w:bCs/>
          <w:highlight w:val="none"/>
        </w:rPr>
      </w:r>
      <w:r>
        <w:rPr>
          <w:b/>
          <w:bCs/>
          <w:highlight w:val="none"/>
        </w:rPr>
      </w:r>
    </w:p>
    <w:p>
      <w:pPr>
        <w:pBdr/>
        <w:shd w:val="nil" w:color="auto"/>
        <w:spacing/>
        <w:ind/>
        <w:jc w:val="center"/>
        <w:rPr>
          <w:b/>
          <w:bCs/>
          <w:highlight w:val="none"/>
        </w:rPr>
      </w:pPr>
      <w:r>
        <w:rPr>
          <w:b/>
          <w:highlight w:val="none"/>
        </w:rPr>
        <w:t xml:space="preserve">BIÊN BẢN KHẢO SÁT HIỆN TRẠNG TÀI SẢN</w:t>
      </w:r>
      <w:r>
        <w:rPr>
          <w:b/>
          <w:bCs/>
          <w:highlight w:val="none"/>
        </w:rPr>
      </w:r>
      <w:r>
        <w:rPr>
          <w:b/>
          <w:bCs/>
          <w:highlight w:val="none"/>
        </w:rPr>
      </w:r>
    </w:p>
    <w:p>
      <w:pPr>
        <w:pBdr/>
        <w:shd w:val="nil" w:color="000000"/>
        <w:spacing/>
        <w:ind/>
        <w:jc w:val="center"/>
        <w:rPr>
          <w:b/>
          <w:bCs/>
          <w:highlight w:val="none"/>
        </w:rPr>
      </w:pPr>
      <w:r>
        <w:rPr>
          <w:b/>
          <w:highlight w:val="none"/>
        </w:rPr>
      </w:r>
      <w:r>
        <w:rPr>
          <w:b/>
          <w:bCs/>
          <w:highlight w:val="none"/>
        </w:rPr>
      </w:r>
      <w:r>
        <w:rPr>
          <w:b/>
          <w:bCs/>
          <w:highlight w:val="none"/>
        </w:rPr>
      </w:r>
    </w:p>
    <w:p>
      <w:pPr>
        <w:pBdr/>
        <w:shd w:val="nil" w:color="000000"/>
        <w:spacing/>
        <w:ind/>
        <w:jc w:val="center"/>
        <w:rPr>
          <w:b/>
          <w:bCs/>
          <w:highlight w:val="none"/>
        </w:rPr>
      </w:pPr>
      <w:r>
        <w:rPr>
          <w:b/>
          <w:highlight w:val="none"/>
        </w:rPr>
      </w:r>
      <w:r>
        <mc:AlternateContent>
          <mc:Choice Requires="wpg">
            <w:drawing>
              <wp:inline xmlns:wp="http://schemas.openxmlformats.org/drawingml/2006/wordprocessingDrawing" distT="0" distB="0" distL="0" distR="0">
                <wp:extent cx="5754971" cy="847671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54470" name=""/>
                        <pic:cNvPicPr>
                          <a:picLocks noChangeAspect="1"/>
                        </pic:cNvPicPr>
                        <pic:nvPr/>
                      </pic:nvPicPr>
                      <pic:blipFill rotWithShape="1">
                        <a:blip r:embed="rId27"/>
                        <a:stretch/>
                      </pic:blipFill>
                      <pic:spPr bwMode="auto">
                        <a:xfrm flipH="0" flipV="0">
                          <a:off x="0" y="0"/>
                          <a:ext cx="5754971" cy="84767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53.15pt;height:667.46pt;mso-wrap-distance-left:0.00pt;mso-wrap-distance-top:0.00pt;mso-wrap-distance-right:0.00pt;mso-wrap-distance-bottom:0.00pt;z-index:1;" stroked="false">
                <v:imagedata r:id="rId27" o:title=""/>
                <o:lock v:ext="edit" rotation="t"/>
              </v:shape>
            </w:pict>
          </mc:Fallback>
        </mc:AlternateContent>
      </w:r>
      <w:r>
        <w:rPr>
          <w:b/>
          <w:highlight w:val="none"/>
        </w:rPr>
        <w:br w:type="page" w:clear="all"/>
      </w:r>
      <w:r>
        <w:rPr>
          <w:b/>
          <w:bCs/>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ind/>
        <w:jc w:val="center"/>
        <w:rPr>
          <w:i/>
          <w:lang w:val="pt-BR"/>
        </w:rPr>
      </w:pPr>
      <w:r>
        <w:rPr>
          <w:i/>
          <w:lang w:val="pt-BR"/>
        </w:rPr>
        <w:t xml:space="preserve">(Kèm theo Báo cáo thẩm định số </w:t>
      </w:r>
      <w:r>
        <w:rPr>
          <w:i/>
        </w:rPr>
        <w:t xml:space="preserve">275/2026/0851/VFI-BC.36.A ngày</w:t>
      </w:r>
      <w:r>
        <w:rPr>
          <w:i/>
          <w:lang w:val="pt-BR"/>
        </w:rPr>
        <w:t xml:space="preserve"> </w:t>
      </w:r>
      <w:r>
        <w:rPr>
          <w:i/>
          <w:lang w:val="pt-BR"/>
        </w:rPr>
        <w:t xml:space="preserve">5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 - </w:t>
            </w:r>
            <w:r>
              <w:rPr>
                <w:color w:val="000000" w:themeColor="text1"/>
                <w:sz w:val="22"/>
                <w:szCs w:val="22"/>
              </w:rPr>
              <w:t xml:space="preserve">0984523831</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5.400.000.000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450m</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Bất lợi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Ngõ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2485415" cy="245315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11095" name=""/>
                              <pic:cNvPicPr>
                                <a:picLocks noChangeAspect="1"/>
                              </pic:cNvPicPr>
                              <pic:nvPr/>
                            </pic:nvPicPr>
                            <pic:blipFill rotWithShape="1">
                              <a:blip r:embed="rId28"/>
                              <a:stretch/>
                            </pic:blipFill>
                            <pic:spPr bwMode="auto">
                              <a:xfrm flipH="0" flipV="0">
                                <a:off x="0" y="0"/>
                                <a:ext cx="2485414" cy="2453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5.70pt;height:193.16pt;mso-wrap-distance-left:0.00pt;mso-wrap-distance-top:0.00pt;mso-wrap-distance-right:0.00pt;mso-wrap-distance-bottom:0.00pt;z-index:1;" stroked="false">
                      <v:imagedata r:id="rId28" o:title=""/>
                      <o:lock v:ext="edit" rotation="t"/>
                    </v:shape>
                  </w:pict>
                </mc:Fallback>
              </mc:AlternateContent>
            </w:r>
            <w:r>
              <w:t xml:space="preserve">   </w:t>
            </w:r>
            <w:r>
              <mc:AlternateContent>
                <mc:Choice Requires="wpg">
                  <w:drawing>
                    <wp:inline xmlns:wp="http://schemas.openxmlformats.org/drawingml/2006/wordprocessingDrawing" distT="0" distB="0" distL="0" distR="0">
                      <wp:extent cx="2910416" cy="2474317"/>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99333" name=""/>
                              <pic:cNvPicPr>
                                <a:picLocks noChangeAspect="1"/>
                              </pic:cNvPicPr>
                              <pic:nvPr/>
                            </pic:nvPicPr>
                            <pic:blipFill rotWithShape="1">
                              <a:blip r:embed="rId29"/>
                              <a:stretch/>
                            </pic:blipFill>
                            <pic:spPr bwMode="auto">
                              <a:xfrm flipH="0" flipV="0">
                                <a:off x="0" y="0"/>
                                <a:ext cx="2910416" cy="24743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9.17pt;height:194.83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357"/>
        <w:gridCol w:w="46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https://www.facebook.com/share/v/1DogYb3hCt/</w:t>
            </w:r>
            <w:r>
              <w:rPr>
                <w:color w:val="000000" w:themeColor="text1"/>
                <w:sz w:val="22"/>
                <w:szCs w:val="22"/>
              </w:rPr>
              <w:br/>
              <w:t xml:space="preserve">0788686797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7.056.000.000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6.350.400.000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500m</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98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4,4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color w:val="000000" w:themeColor="text1"/>
                <w:sz w:val="22"/>
                <w:szCs w:val="22"/>
              </w:rPr>
              <w:t xml:space="preserve">Nở hậu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Bất lợi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sz w:val="22"/>
                <w:szCs w:val="22"/>
              </w:rPr>
              <w:t xml:space="preserve">Ngõ thông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357"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697081" cy="2853365"/>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2697081" cy="285336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2.37pt;height:224.67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75915" cy="2921143"/>
                      <wp:effectExtent l="0" t="0" r="0" b="0"/>
                      <wp:docPr id="19" name=""/>
                      <wp:cNvGraphicFramePr/>
                      <a:graphic xmlns:a="http://schemas.openxmlformats.org/drawingml/2006/main">
                        <a:graphicData uri="http://schemas.openxmlformats.org/drawingml/2006/picture">
                          <pic:pic xmlns:pic="http://schemas.openxmlformats.org/drawingml/2006/picture">
                            <pic:nvPicPr>
                              <pic:cNvPr id="1011225482" name="" descr=""/>
                              <pic:cNvPicPr/>
                              <pic:nvPr/>
                            </pic:nvPicPr>
                            <pic:blipFill rotWithShape="1">
                              <a:blip r:embed="rId31"/>
                              <a:stretch/>
                            </pic:blipFill>
                            <pic:spPr bwMode="auto">
                              <a:xfrm flipH="0" flipV="0">
                                <a:off x="0" y="0"/>
                                <a:ext cx="2675914" cy="292114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0.70pt;height:230.01pt;mso-wrap-distance-left:0.00pt;mso-wrap-distance-top:0.00pt;mso-wrap-distance-right:0.00pt;mso-wrap-distance-bottom:0.00pt;z-index:1;" stroked="false">
                      <v:imagedata r:id="rId31"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https://www.facebook.com/groups/2111860102252192/permalink/25827160806962122/?mibextid=wwXIfr&amp;rdid=pUbe5NhksBtxpxjY#</w:t>
            </w:r>
            <w:r>
              <w:rPr>
                <w:color w:val="000000" w:themeColor="text1"/>
                <w:sz w:val="22"/>
                <w:szCs w:val="22"/>
              </w:rPr>
              <w:br/>
            </w:r>
            <w:r>
              <w:rPr>
                <w:sz w:val="22"/>
                <w:szCs w:val="22"/>
              </w:rPr>
              <w:t xml:space="preserve">SĐT: </w:t>
            </w:r>
            <w:r>
              <w:rPr>
                <w:color w:val="000000" w:themeColor="text1"/>
                <w:sz w:val="22"/>
                <w:szCs w:val="22"/>
              </w:rPr>
              <w:t xml:space="preserve">0987405793</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5.130.000.000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971"/>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pPr>
            <w:r>
              <w:rPr>
                <w:color w:val="000000" w:themeColor="text1"/>
                <w:sz w:val="22"/>
                <w:szCs w:val="22"/>
              </w:rPr>
              <w:t xml:space="preserve">Tài sản nằm tại Thôn Văn Trai, xã Thường Tín, thành phố Hà Nội, tài sản cách đường DT 427B khoảng 300m</w:t>
            </w:r>
            <w:r>
              <w:rPr>
                <w:sz w:val="22"/>
                <w:szCs w:val="22"/>
              </w:rPr>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6,97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19"/>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Nở hậu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Bất lợi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85415" cy="2409495"/>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485414" cy="24094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95.70pt;height:189.72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87582" cy="2356579"/>
                      <wp:effectExtent l="0" t="0" r="0" b="0"/>
                      <wp:docPr id="21" name=""/>
                      <wp:cNvGraphicFramePr/>
                      <a:graphic xmlns:a="http://schemas.openxmlformats.org/drawingml/2006/main">
                        <a:graphicData uri="http://schemas.openxmlformats.org/drawingml/2006/picture">
                          <pic:pic xmlns:pic="http://schemas.openxmlformats.org/drawingml/2006/picture">
                            <pic:nvPicPr>
                              <pic:cNvPr id="1571950395" name="" descr=""/>
                              <pic:cNvPicPr/>
                              <pic:nvPr/>
                            </pic:nvPicPr>
                            <pic:blipFill rotWithShape="1">
                              <a:blip r:embed="rId33"/>
                              <a:stretch/>
                            </pic:blipFill>
                            <pic:spPr bwMode="auto">
                              <a:xfrm flipH="0" flipV="0">
                                <a:off x="0" y="0"/>
                                <a:ext cx="2887581" cy="235657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27.37pt;height:185.56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jpg"/><Relationship Id="rId33" Type="http://schemas.openxmlformats.org/officeDocument/2006/relationships/image" Target="media/image1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283</cp:revision>
  <dcterms:created xsi:type="dcterms:W3CDTF">2025-09-15T09:58:00Z</dcterms:created>
  <dcterms:modified xsi:type="dcterms:W3CDTF">2026-06-08T07:49:35Z</dcterms:modified>
</cp:coreProperties>
</file>