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635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635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275/2026/0894/VFI-CT.44.A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SX và TM Cơ khí Huy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444, tờ bản đồ số: 20, có địa chỉ: Thôn Gia Vĩnh, xã Thanh Thùy, huyện Thanh Oai (nay là xã Tam Hưng), thành phố Hà Nội theo Giấy chứng nhận quyề</w:t>
                            </w:r>
                            <w:r>
                              <w:rPr>
                                <w:color w:val="000000"/>
                              </w:rPr>
                              <w:t xml:space="preserve">n sử dụng đất, quyền sở hữu nhà ở và tài sản khác gắn liền với đất số: DP 956437, Số vào sổ cấp GCN: CNTO/TT00143 do Chi nhánh văn phòng đăng ký đất đai Hà Nội - huyện Thanh Oai cấp ngày 25/09/2024; chủ sử dụng đất là Ông Hoàng Văn Đông và bà Lý Thị Thu Hà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6.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275/2026/0894/VFI-CT.44.A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SX và TM Cơ khí Huy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444, tờ bản đồ số: 20, có địa chỉ: Thôn Gia Vĩnh, xã Thanh Thùy, huyện Thanh Oai (nay là xã Tam Hưng), thành phố Hà Nội theo Giấy chứng nhận quyề</w:t>
                      </w:r>
                      <w:r>
                        <w:rPr>
                          <w:color w:val="000000"/>
                        </w:rPr>
                        <w:t xml:space="preserve">n sử dụng đất, quyền sở hữu nhà ở và tài sản khác gắn liền với đất số: DP 956437, Số vào sổ cấp GCN: CNTO/TT00143 do Chi nhánh văn phòng đăng ký đất đai Hà Nội - huyện Thanh Oai cấp ngày 25/09/2024; chủ sử dụng đất là Ông Hoàng Văn Đông và bà Lý Thị Thu Hà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21-24</w:t>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24-29</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275/2026/0894/VFI-CT.44.A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13 tháng 6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SX và TM Cơ khí Huy Hoàng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275/2026/0894/VFI-HĐTĐ.44.A</w:t>
      </w:r>
      <w:r>
        <w:rPr>
          <w:spacing w:val="-4"/>
          <w:lang w:val="vi-VN"/>
        </w:rPr>
        <w:t xml:space="preserve"> ký ngày </w:t>
      </w:r>
      <w:r>
        <w:rPr>
          <w:color w:val="000000" w:themeColor="text1"/>
          <w:spacing w:val="-4"/>
        </w:rPr>
        <w:t xml:space="preserve">2 tháng 6 năm 2026</w:t>
      </w:r>
      <w:r>
        <w:rPr>
          <w:spacing w:val="-4"/>
          <w:lang w:val="vi-VN"/>
        </w:rPr>
        <w:t xml:space="preserve"> </w:t>
      </w:r>
      <w:r>
        <w:rPr>
          <w:spacing w:val="-4"/>
          <w:lang w:val="vi-VN"/>
        </w:rPr>
        <w:t xml:space="preserve">giữa </w:t>
      </w:r>
      <w:r>
        <w:rPr>
          <w:color w:val="000000" w:themeColor="text1"/>
          <w:spacing w:val="-4"/>
        </w:rPr>
        <w:t xml:space="preserve">Công ty TNHH SX và TM Cơ khí Huy Hoàng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275/2026/0894/VFI-BC.44.A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4964" w:type="pct"/>
        <w:tblBorders/>
        <w:tblLayout w:type="fixed"/>
        <w:tblLook w:val="04A0" w:firstRow="1" w:lastRow="0" w:firstColumn="1" w:lastColumn="0" w:noHBand="0" w:noVBand="1"/>
      </w:tblPr>
      <w:tblGrid>
        <w:gridCol w:w="2234"/>
        <w:gridCol w:w="283"/>
        <w:gridCol w:w="6940"/>
      </w:tblGrid>
      <w:tr>
        <w:trPr>
          <w:trHeight w:val="20"/>
        </w:trPr>
        <w:tc>
          <w:tcPr>
            <w:shd w:val="clear" w:color="auto" w:fill="auto"/>
            <w:tcBorders/>
            <w:tcW w:w="2234" w:type="dxa"/>
            <w:vAlign w:val="center"/>
            <w:textDirection w:val="lrTb"/>
            <w:noWrap w:val="false"/>
          </w:tcPr>
          <w:p>
            <w:pPr>
              <w:pBdr>
                <w:top w:val="none" w:color="000000" w:sz="4" w:space="0"/>
                <w:left w:val="none" w:color="000000" w:sz="4" w:space="0"/>
                <w:bottom w:val="none" w:color="000000" w:sz="4" w:space="0"/>
                <w:right w:val="none" w:color="000000" w:sz="4" w:space="0"/>
              </w:pBdr>
              <w:tabs>
                <w:tab w:val="center" w:leader="none" w:pos="1009"/>
              </w:tabs>
              <w:spacing w:after="40" w:before="40" w:line="288" w:lineRule="auto"/>
              <w:ind w:right="-9" w:firstLine="0" w:left="0"/>
              <w:rPr/>
            </w:pPr>
            <w:r>
              <w:rPr>
                <w:rFonts w:ascii="Times New Roman" w:hAnsi="Times New Roman" w:eastAsia="Times New Roman" w:cs="Times New Roman"/>
                <w:b w:val="0"/>
                <w:bCs w:val="0"/>
                <w:color w:val="000000"/>
                <w:sz w:val="24"/>
                <w:u w:val="single"/>
              </w:rPr>
              <w:t xml:space="preserve">Tên khách hàng</w:t>
            </w:r>
            <w:r>
              <w:tab/>
            </w:r>
            <w:r/>
          </w:p>
        </w:tc>
        <w:tc>
          <w:tcPr>
            <w:shd w:val="clear" w:color="auto" w:fill="auto"/>
            <w:tcBorders/>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9" w:firstLine="0" w:left="0"/>
              <w:jc w:val="center"/>
              <w:rPr/>
            </w:pPr>
            <w:r>
              <w:rPr>
                <w:rFonts w:ascii="Times New Roman" w:hAnsi="Times New Roman" w:eastAsia="Times New Roman" w:cs="Times New Roman"/>
                <w:b/>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CÔNG TY CỔ PHẦN ĐẦU TƯ HẠ TẦNG KHU CÔNG NGHIỆP PHÁT TIẾN</w:t>
            </w:r>
            <w:r/>
          </w:p>
        </w:tc>
      </w:tr>
      <w:tr>
        <w:trPr>
          <w:trHeight w:val="20"/>
        </w:trPr>
        <w:tc>
          <w:tcPr>
            <w:shd w:val="clear" w:color="auto" w:fill="auto"/>
            <w:tcBorders/>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0202030857</w:t>
            </w:r>
            <w:r/>
          </w:p>
        </w:tc>
      </w:tr>
      <w:tr>
        <w:trPr>
          <w:trHeight w:val="20"/>
        </w:trPr>
        <w:tc>
          <w:tcPr>
            <w:shd w:val="clear" w:color="auto" w:fill="auto"/>
            <w:tcBorders/>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auto" w:fill="auto"/>
            <w:tcBorders/>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Tầng 1, tòa nhà Taiyo, số 97 Bạch Đằng, phường Hồng Bàng, thành phố Hải Phòng, Việt Nam</w:t>
            </w:r>
            <w:r/>
          </w:p>
        </w:tc>
      </w:tr>
      <w:tr>
        <w:trPr>
          <w:trHeight w:val="20"/>
        </w:trPr>
        <w:tc>
          <w:tcPr>
            <w:shd w:val="clear" w:color="auto" w:fill="auto"/>
            <w:tcBorders/>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Phạm Quang Khang</w:t>
            </w:r>
            <w:r/>
          </w:p>
        </w:tc>
      </w:tr>
      <w:tr>
        <w:trPr>
          <w:trHeight w:val="20"/>
        </w:trPr>
        <w:tc>
          <w:tcPr>
            <w:shd w:val="clear" w:color="ffffff" w:fill="ffffff"/>
            <w:tcBorders/>
            <w:tcW w:w="22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ffffff" w:fill="ffffff"/>
            <w:tcBorders/>
            <w:tcW w:w="2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Tổng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444, tờ bản đồ số: 20, có địa chỉ: Thôn Gia Vĩnh, xã Thanh Thùy, huyện Thanh Oai (nay là xã Tam Hưng), thành phố Hà Nội theo Giấy chứng nhận quyề</w:t>
      </w:r>
      <w:r>
        <w:rPr>
          <w:color w:val="000000" w:themeColor="text1"/>
        </w:rPr>
        <w:t xml:space="preserve">n sử dụng đất, quyền sở hữu nhà ở và tài sản khác gắn liền với đất số: DP 956437, Số vào sổ cấp GCN: CNTO/TT00143 do Chi nhánh văn phòng đăng ký đất đai Hà Nội - huyện Thanh Oai cấp ngày 25/09/2024; chủ sử dụng đất là Ông Hoàng Văn Đông và bà Lý Thị Thu Hà</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40"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40"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40"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40"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40" w:lineRule="auto"/>
              <w:ind/>
              <w:jc w:val="both"/>
              <w:rPr>
                <w:b/>
                <w:bCs/>
              </w:rPr>
            </w:pPr>
            <w:r>
              <w:rPr>
                <w:color w:val="000000"/>
              </w:rPr>
              <w:t xml:space="preserve">Quyền sử dụng đất tại thửa đất số: 444, tờ bản đồ số: 20, có địa chỉ: Thôn Gia Vĩnh, xã Thanh Thùy, huyện Thanh Oai (nay là xã Tam Hưng), thành phố Hà Nội theo Giấy chứng nhận quyề</w:t>
            </w:r>
            <w:r>
              <w:rPr>
                <w:color w:val="000000"/>
              </w:rPr>
              <w:t xml:space="preserve">n sử dụng đất, quyền sở hữu nhà ở và tài sản khác gắn liền với đất số: DP 956437, Số vào sổ cấp GCN: CNTO/TT00143 do Chi nhánh văn phòng đăng ký đất đai Hà Nội - huyện Thanh Oai cấp ngày 25/09/2024; chủ sử dụng đất là Ông Hoàng Văn Đông và bà Lý Thị Thu Hà</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40"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40" w:lineRule="auto"/>
              <w:ind/>
              <w:rPr/>
            </w:pPr>
            <w:r>
              <w:rPr>
                <w:b/>
                <w:bCs/>
              </w:rPr>
              <w:t xml:space="preserve">Đất ở nằm ngoài HLGT</w:t>
            </w:r>
            <w:r/>
          </w:p>
        </w:tc>
        <w:tc>
          <w:tcPr>
            <w:tcBorders/>
            <w:tcW w:w="1802" w:type="dxa"/>
            <w:vAlign w:val="center"/>
            <w:textDirection w:val="lrTb"/>
            <w:noWrap/>
          </w:tcPr>
          <w:p>
            <w:pPr>
              <w:pBdr/>
              <w:spacing w:after="40" w:before="40" w:line="240" w:lineRule="auto"/>
              <w:ind/>
              <w:jc w:val="center"/>
              <w:rPr>
                <w:color w:val="000000"/>
              </w:rPr>
            </w:pPr>
            <w:r>
              <w:rPr>
                <w:color w:val="000000" w:themeColor="text1"/>
              </w:rPr>
              <w:t xml:space="preserve">171</w:t>
            </w:r>
            <w:r>
              <w:rPr>
                <w:color w:val="000000"/>
              </w:rPr>
            </w:r>
            <w:r>
              <w:rPr>
                <w:color w:val="000000"/>
              </w:rPr>
            </w:r>
          </w:p>
        </w:tc>
        <w:tc>
          <w:tcPr>
            <w:shd w:val="clear" w:color="000000" w:fill="ffffff"/>
            <w:tcBorders/>
            <w:tcW w:w="2581" w:type="dxa"/>
            <w:vAlign w:val="center"/>
            <w:textDirection w:val="lrTb"/>
            <w:noWrap w:val="false"/>
          </w:tcPr>
          <w:p>
            <w:pPr>
              <w:pBdr/>
              <w:spacing w:after="40" w:before="40" w:line="240" w:lineRule="auto"/>
              <w:ind/>
              <w:jc w:val="center"/>
              <w:rPr/>
            </w:pPr>
            <w:r>
              <w:rPr>
                <w:color w:val="000000" w:themeColor="text1"/>
              </w:rPr>
              <w:t xml:space="preserve">122.800.000</w:t>
            </w:r>
            <w:r/>
          </w:p>
        </w:tc>
        <w:tc>
          <w:tcPr>
            <w:shd w:val="clear" w:color="000000" w:fill="ffffff"/>
            <w:tcBorders/>
            <w:tcW w:w="2164" w:type="dxa"/>
            <w:vAlign w:val="center"/>
            <w:textDirection w:val="lrTb"/>
            <w:noWrap w:val="false"/>
          </w:tcPr>
          <w:p>
            <w:pPr>
              <w:pBdr/>
              <w:spacing w:after="40" w:before="40" w:line="240" w:lineRule="auto"/>
              <w:ind/>
              <w:jc w:val="center"/>
              <w:rPr/>
            </w:pPr>
            <w:r>
              <w:rPr>
                <w:color w:val="000000" w:themeColor="text1"/>
              </w:rPr>
              <w:t xml:space="preserve">20.998.800.000</w:t>
            </w:r>
            <w:r/>
          </w:p>
        </w:tc>
      </w:tr>
      <w:tr>
        <w:trPr>
          <w:trHeight w:val="20"/>
        </w:trPr>
        <w:tc>
          <w:tcPr>
            <w:shd w:val="clear" w:color="000000" w:fill="ffffff"/>
            <w:tcBorders/>
            <w:tcW w:w="952" w:type="dxa"/>
            <w:vAlign w:val="center"/>
            <w:vMerge w:val="restart"/>
            <w:textDirection w:val="lrTb"/>
            <w:noWrap w:val="false"/>
          </w:tcPr>
          <w:p>
            <w:pPr>
              <w:pBdr/>
              <w:spacing w:after="40" w:before="40" w:line="240" w:lineRule="auto"/>
              <w:ind/>
              <w:jc w:val="center"/>
              <w:rPr>
                <w:b/>
                <w:bCs/>
              </w:rPr>
            </w:pPr>
            <w:r>
              <w:rPr>
                <w:b/>
                <w:bCs/>
              </w:rPr>
              <w:t xml:space="preserve">2</w:t>
            </w:r>
            <w:r>
              <w:rPr>
                <w:b/>
                <w:bCs/>
              </w:rPr>
            </w:r>
            <w:r>
              <w:rPr>
                <w:b/>
                <w:bCs/>
              </w:rPr>
            </w:r>
          </w:p>
        </w:tc>
        <w:tc>
          <w:tcPr>
            <w:shd w:val="clear" w:color="000000" w:fill="ffffff"/>
            <w:tcBorders/>
            <w:tcW w:w="2025" w:type="dxa"/>
            <w:vAlign w:val="center"/>
            <w:vMerge w:val="restart"/>
            <w:textDirection w:val="lrTb"/>
            <w:noWrap w:val="false"/>
          </w:tcPr>
          <w:p>
            <w:pPr>
              <w:pBdr/>
              <w:spacing w:after="40" w:before="40" w:line="240" w:lineRule="auto"/>
              <w:ind/>
              <w:rPr>
                <w:b/>
                <w:bCs/>
              </w:rPr>
            </w:pPr>
            <w:r>
              <w:rPr>
                <w:b/>
                <w:bCs/>
              </w:rPr>
              <w:t xml:space="preserve">Đất ở nằm trong HLGT</w:t>
            </w:r>
            <w:r>
              <w:rPr>
                <w:b/>
                <w:bCs/>
              </w:rPr>
            </w:r>
            <w:r>
              <w:rPr>
                <w:b/>
                <w:bCs/>
              </w:rPr>
            </w:r>
          </w:p>
        </w:tc>
        <w:tc>
          <w:tcPr>
            <w:tcBorders/>
            <w:tcW w:w="1802" w:type="dxa"/>
            <w:vAlign w:val="center"/>
            <w:vMerge w:val="restart"/>
            <w:textDirection w:val="lrTb"/>
            <w:noWrap/>
          </w:tcPr>
          <w:p>
            <w:pPr>
              <w:pBdr/>
              <w:spacing w:after="40" w:before="40" w:line="240" w:lineRule="auto"/>
              <w:ind/>
              <w:jc w:val="center"/>
              <w:rPr>
                <w:color w:val="000000" w:themeColor="text1"/>
              </w:rPr>
            </w:pPr>
            <w:r>
              <w:rPr>
                <w:color w:val="000000" w:themeColor="text1"/>
              </w:rPr>
              <w:t xml:space="preserve">45</w:t>
            </w:r>
            <w:r>
              <w:rPr>
                <w:color w:val="000000" w:themeColor="text1"/>
              </w:rPr>
            </w:r>
            <w:r>
              <w:rPr>
                <w:color w:val="000000" w:themeColor="text1"/>
              </w:rPr>
            </w:r>
          </w:p>
        </w:tc>
        <w:tc>
          <w:tcPr>
            <w:shd w:val="clear" w:color="000000" w:fill="ffffff"/>
            <w:tcBorders/>
            <w:tcW w:w="2581" w:type="dxa"/>
            <w:vAlign w:val="center"/>
            <w:vMerge w:val="restart"/>
            <w:textDirection w:val="lrTb"/>
            <w:noWrap w:val="false"/>
          </w:tcPr>
          <w:p>
            <w:pPr>
              <w:pBdr/>
              <w:spacing w:after="40" w:before="40" w:line="240" w:lineRule="auto"/>
              <w:ind/>
              <w:jc w:val="center"/>
              <w:rPr>
                <w:color w:val="000000" w:themeColor="text1"/>
              </w:rPr>
            </w:pPr>
            <w:r>
              <w:rPr>
                <w:color w:val="000000" w:themeColor="text1"/>
              </w:rPr>
            </w:r>
            <w:r>
              <w:rPr>
                <w:color w:val="000000" w:themeColor="text1"/>
              </w:rPr>
              <w:t xml:space="preserve">23.354.000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40" w:lineRule="auto"/>
              <w:ind/>
              <w:jc w:val="center"/>
              <w:rPr>
                <w:color w:val="000000" w:themeColor="text1"/>
              </w:rPr>
            </w:pPr>
            <w:r>
              <w:rPr>
                <w:color w:val="000000" w:themeColor="text1"/>
              </w:rPr>
            </w:r>
            <w:r>
              <w:rPr>
                <w:color w:val="000000" w:themeColor="text1"/>
              </w:rPr>
              <w:t xml:space="preserve">1.050.930.000</w:t>
            </w:r>
            <w:r>
              <w:rPr>
                <w:color w:val="000000" w:themeColor="text1"/>
              </w:rPr>
            </w:r>
            <w:r>
              <w:rPr>
                <w:color w:val="000000" w:themeColor="text1"/>
              </w:rPr>
            </w:r>
          </w:p>
        </w:tc>
      </w:tr>
      <w:tr>
        <w:trPr>
          <w:trHeight w:val="20"/>
        </w:trPr>
        <w:tc>
          <w:tcPr>
            <w:gridSpan w:val="4"/>
            <w:tcBorders/>
            <w:tcW w:w="7361"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40" w:lineRule="auto"/>
              <w:ind/>
              <w:jc w:val="center"/>
              <w:rPr>
                <w:b/>
                <w:bCs/>
                <w:color w:val="000000"/>
              </w:rPr>
            </w:pPr>
            <w:r>
              <w:t xml:space="preserve">22.049.730.000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Hai mươi hai tỷ bốn mươi chín triệu bảy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275/2026/0894/VFI-BC.44.A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13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275/2026/0894/VFI-CT.44.A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tabs>
                <w:tab w:val="center" w:leader="none" w:pos="1009"/>
              </w:tabs>
              <w:spacing w:after="40" w:before="40" w:line="288" w:lineRule="auto"/>
              <w:ind w:right="-9" w:firstLine="0" w:left="0"/>
              <w:rPr/>
            </w:pPr>
            <w:r>
              <w:rPr>
                <w:rFonts w:ascii="Times New Roman" w:hAnsi="Times New Roman" w:eastAsia="Times New Roman" w:cs="Times New Roman"/>
                <w:b w:val="0"/>
                <w:bCs w:val="0"/>
                <w:color w:val="000000"/>
                <w:sz w:val="24"/>
                <w:u w:val="single"/>
              </w:rPr>
              <w:t xml:space="preserve">Tên khách hàng</w:t>
            </w:r>
            <w:r>
              <w:tab/>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9" w:firstLine="0" w:left="0"/>
              <w:jc w:val="center"/>
              <w:rPr/>
            </w:pPr>
            <w:r>
              <w:rPr>
                <w:rFonts w:ascii="Times New Roman" w:hAnsi="Times New Roman" w:eastAsia="Times New Roman" w:cs="Times New Roman"/>
                <w:b/>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CÔNG TY CỔ PHẦN ĐẦU TƯ HẠ TẦNG KHU CÔNG NGHIỆP PHÁT TIẾN</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0202030857</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Tầng 1, tòa nhà Taiyo, số 97 Bạch Đằng, phường Hồng Bàng, thành phố Hải Phòng, Việt Nam</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Phạm Quang Khang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Chức vụ</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Tổng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Tam Hưng,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20.868555555556, 105.80775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w:t>
      </w:r>
      <w:r>
        <w:rPr>
          <w:bCs/>
          <w:color w:val="000000" w:themeColor="text1"/>
          <w:lang w:val="pt-BR"/>
        </w:rPr>
        <w:t xml:space="preserve">n sử dụng đất, quyền sở hữu nhà ở và tài sản khác gắn liền với đất số: DP 956437, Số vào sổ cấp GCN: CNTO/TT00143 do Chi nhánh văn phòng đăng ký đất đai Hà Nội - huyện Thanh Oai cấp ngày 25/09/2024; chủ sử dụng đất là Ông Hoàng Văn Đông và bà Lý Thị Thu Hà</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275/2026/0894/VFI-HĐTĐ.44.A ngày 02/06/2026 giữa </w:t>
      </w:r>
      <w:r>
        <w:rPr>
          <w:color w:val="000000" w:themeColor="text1"/>
          <w:spacing w:val="-4"/>
        </w:rPr>
        <w:t xml:space="preserve">Công ty TNHH SX và TM Cơ khí Huy Hoàng</w:t>
      </w:r>
      <w:r>
        <w:rPr>
          <w:color w:val="000000" w:themeColor="text1"/>
          <w:lang w:val="pt-BR"/>
        </w:rPr>
        <w:t xml:space="preserve">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240" w:before="180"/>
        <w:ind w:right="0" w:firstLine="0" w:left="0"/>
        <w:rPr/>
      </w:pPr>
      <w:r>
        <w:rPr>
          <w:lang w:val="pt-BR"/>
        </w:rPr>
        <w:tab/>
      </w:r>
      <w:r>
        <w:rPr>
          <w:rFonts w:ascii="Times New Roman" w:hAnsi="Times New Roman" w:eastAsia="Times New Roman" w:cs="Times New Roman"/>
          <w:color w:val="000000"/>
          <w:sz w:val="24"/>
          <w:highlight w:val="white"/>
        </w:rPr>
        <w:t xml:space="preserve">Thị trường bất động sản (BĐS) Hà Nội năm 2026 đang bước vào một chu kỳ phát triển mới, thực chất và bền vững hơn, chấm dứt thời kỳ đầu cơ hay các cơn "sốt ảo" ngắn hạn.</w:t>
      </w:r>
      <w:r/>
    </w:p>
    <w:p>
      <w:pPr>
        <w:pBdr>
          <w:top w:val="none" w:color="000000" w:sz="4" w:space="0"/>
          <w:left w:val="none" w:color="000000" w:sz="4" w:space="0"/>
          <w:bottom w:val="none" w:color="000000" w:sz="4" w:space="0"/>
          <w:right w:val="none" w:color="000000" w:sz="4" w:space="0"/>
        </w:pBdr>
        <w:spacing w:after="240" w:before="180"/>
        <w:ind w:right="0" w:firstLine="0" w:left="0"/>
        <w:rPr/>
      </w:pPr>
      <w:r>
        <w:rPr>
          <w:rFonts w:ascii="Times New Roman" w:hAnsi="Times New Roman" w:eastAsia="Times New Roman" w:cs="Times New Roman"/>
          <w:color w:val="000000"/>
          <w:sz w:val="24"/>
          <w:highlight w:val="white"/>
        </w:rPr>
        <w:t xml:space="preserve">Dưới tác động mạnh mẽ của khung pháp lý hoàn thiện và các dự án hạ tầng giao thông lớn, dòng tiền trên thị trường hiện đang hướng thẳng vào các sản phẩm đáp ứng nhu cầu ở thực. </w:t>
      </w:r>
      <w:r/>
    </w:p>
    <w:p>
      <w:pPr>
        <w:pBdr>
          <w:top w:val="none" w:color="000000" w:sz="4" w:space="0"/>
          <w:left w:val="none" w:color="000000" w:sz="4" w:space="0"/>
          <w:bottom w:val="none" w:color="000000" w:sz="4" w:space="0"/>
          <w:right w:val="none" w:color="000000" w:sz="4" w:space="0"/>
        </w:pBdr>
        <w:spacing w:after="180" w:before="360"/>
        <w:ind w:right="0" w:firstLine="0" w:left="0"/>
        <w:rPr/>
      </w:pPr>
      <w:r>
        <w:rPr>
          <w:rFonts w:ascii="Times New Roman" w:hAnsi="Times New Roman" w:eastAsia="Times New Roman" w:cs="Times New Roman"/>
          <w:b/>
          <w:color w:val="000000"/>
          <w:sz w:val="24"/>
          <w:highlight w:val="white"/>
        </w:rPr>
        <w:t xml:space="preserve">1. Xu hướng dịch chuyển "phi tập trung" ra vùng ven</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Quỹ đất nội đô khan hiếm đẩy làn sóng đầu tư mạnh mẽ ra các trục đô thị ngoại thành.</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Các khu vực phía Đông (Gia Lâm, Long Biên), phía Bắc (Đông Anh) và phía Tây đang hình thành các cực tăng trưởng mới.</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Hạ tầng kết nối như đường Vành đai 4, các tuyến Metro và những cây cầu mới qua sông Hồng là "xương sống" thúc đẩy xu hướng này.</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Các đô thị vệ tinh lân cận (Hưng Yên, Bắc Ninh) cũng tham gia mạnh mẽ để giải tỏa áp lực nhà ở cho vùng lõi.</w:t>
      </w:r>
      <w:r/>
    </w:p>
    <w:p>
      <w:pPr>
        <w:pBdr>
          <w:top w:val="none" w:color="000000" w:sz="4" w:space="0"/>
          <w:left w:val="none" w:color="000000" w:sz="4" w:space="0"/>
          <w:bottom w:val="none" w:color="000000" w:sz="4" w:space="0"/>
          <w:right w:val="none" w:color="000000" w:sz="4" w:space="0"/>
        </w:pBdr>
        <w:spacing w:after="180" w:before="360"/>
        <w:ind w:right="0" w:firstLine="0" w:left="0"/>
        <w:rPr/>
      </w:pPr>
      <w:r>
        <w:rPr>
          <w:rFonts w:ascii="Times New Roman" w:hAnsi="Times New Roman" w:eastAsia="Times New Roman" w:cs="Times New Roman"/>
          <w:b/>
          <w:color w:val="000000"/>
          <w:sz w:val="24"/>
          <w:highlight w:val="white"/>
        </w:rPr>
        <w:t xml:space="preserve">2. Tâm lý người mua và dòng tiền hiện tại</w:t>
      </w:r>
      <w:r/>
    </w:p>
    <w:p>
      <w:pPr>
        <w:numPr>
          <w:ilvl w:val="0"/>
          <w:numId w:val="40"/>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b/>
          <w:color w:val="000000"/>
          <w:sz w:val="24"/>
          <w:highlight w:val="white"/>
        </w:rPr>
        <w:t xml:space="preserve">Thận trọng và thực tế</w:t>
      </w:r>
      <w:r>
        <w:rPr>
          <w:rFonts w:ascii="Times New Roman" w:hAnsi="Times New Roman" w:eastAsia="Times New Roman" w:cs="Times New Roman"/>
          <w:color w:val="000000"/>
          <w:sz w:val="24"/>
          <w:highlight w:val="white"/>
        </w:rPr>
        <w:t xml:space="preserve">: Dòng tiền đầu cơ ngắn hạn sụt giảm mạnh, lượng giao dịch căn hộ đầu năm giảm do các nhà đầu tư rút lui. Người mua nhà hiện tại đặt tiêu chuẩn rất cao về hệ sinh thái, tiện ích sống và uy tín của chủ đầu tư. </w:t>
      </w:r>
      <w:r/>
    </w:p>
    <w:p>
      <w:pPr>
        <w:numPr>
          <w:ilvl w:val="0"/>
          <w:numId w:val="40"/>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b/>
          <w:color w:val="000000"/>
          <w:sz w:val="24"/>
          <w:highlight w:val="white"/>
        </w:rPr>
        <w:t xml:space="preserve">Thanh khoản tập trung</w:t>
      </w:r>
      <w:r>
        <w:rPr>
          <w:rFonts w:ascii="Times New Roman" w:hAnsi="Times New Roman" w:eastAsia="Times New Roman" w:cs="Times New Roman"/>
          <w:color w:val="000000"/>
          <w:sz w:val="24"/>
          <w:highlight w:val="white"/>
        </w:rPr>
        <w:t xml:space="preserve">: Gần 30% tổng lượng giao dịch toàn thị trường tiếp tục đổ dồn về các đại đô thị quy hoạch bài bản sẵn có (như các dự án Vinhomes Smart City hay Vinhomes Ocean Park). </w:t>
      </w:r>
      <w:r/>
    </w:p>
    <w:p>
      <w:pPr>
        <w:numPr>
          <w:ilvl w:val="0"/>
          <w:numId w:val="40"/>
        </w:num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Pr/>
      </w:pPr>
      <w:r>
        <w:rPr>
          <w:rFonts w:ascii="Times New Roman" w:hAnsi="Times New Roman" w:eastAsia="Times New Roman" w:cs="Times New Roman"/>
          <w:b/>
          <w:color w:val="000000"/>
          <w:sz w:val="24"/>
          <w:highlight w:val="white"/>
        </w:rPr>
        <w:t xml:space="preserve">Điểm tựa pháp lý</w:t>
      </w:r>
      <w:r>
        <w:rPr>
          <w:rFonts w:ascii="Times New Roman" w:hAnsi="Times New Roman" w:eastAsia="Times New Roman" w:cs="Times New Roman"/>
          <w:color w:val="000000"/>
          <w:sz w:val="24"/>
          <w:highlight w:val="white"/>
        </w:rPr>
        <w:t xml:space="preserve">: Việc thắt chặt tín dụng và thanh lọc thị trường giúp giữ chân các chủ đầu tư có năng lực tài chính lành mạnh. Thành phố cũng đang đẩy mạnh quy hoạch hạ tầng và phát triển nhà ở xã hội (gần 1.000ha) để cân bằng nguồn cung</w:t>
      </w:r>
      <w:r>
        <w:rPr>
          <w:rFonts w:ascii="Times New Roman" w:hAnsi="Times New Roman" w:eastAsia="Times New Roman" w:cs="Times New Roman"/>
          <w:sz w:val="24"/>
        </w:rPr>
      </w:r>
      <w:r/>
    </w:p>
    <w:p>
      <w:pPr>
        <w:pStyle w:val="1033"/>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113"/>
        <w:gridCol w:w="2268"/>
        <w:gridCol w:w="2236"/>
        <w:gridCol w:w="2441"/>
      </w:tblGrid>
      <w:tr>
        <w:trPr>
          <w:trHeight w:val="238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Quyền sử dụng đất tại thửa đất số: 444, tờ bản đồ số: 20, có địa chỉ: Thôn Gia Vĩnh, xã Thanh Thùy, huyện Thanh Oai (nay là xã Tam Hưng), thành phố Hà Nội theo Giấy chứng nhận quyền sử dụng đất, quyền sở hữu nhà ở và tài sản khác gắn liền với đất số: DP 9</w:t>
            </w:r>
            <w:r>
              <w:rPr>
                <w:rFonts w:ascii="Times New Roman" w:hAnsi="Times New Roman" w:eastAsia="Times New Roman" w:cs="Times New Roman"/>
                <w:b/>
                <w:color w:val="000000"/>
                <w:sz w:val="24"/>
              </w:rPr>
              <w:t xml:space="preserve">56437, Số vào sổ cấp GCN: CNTO/TT00143 do Chi nhánh văn phòng đăng ký đất đai Hà Nội - huyện Thanh Oai cấp ngày 25/09/2024; chủ sử dụng đất là Ông Hoàng Văn Đông và bà Lý Thị Thu Hà</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444</w:t>
            </w:r>
            <w:r/>
          </w:p>
        </w:tc>
        <w:tc>
          <w:tcPr>
            <w:shd w:val="clear" w:color="ffffff" w:fill="ffffff"/>
            <w:tcBorders>
              <w:bottom w:val="single" w:color="000000" w:sz="6" w:space="0"/>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Gia Vĩnh, xã Thanh Thùy, huyện Thanh Oai </w:t>
            </w:r>
            <w:r>
              <w:rPr>
                <w:rFonts w:ascii="Times New Roman" w:hAnsi="Times New Roman" w:eastAsia="Times New Roman" w:cs="Times New Roman"/>
                <w:i/>
                <w:color w:val="000000"/>
                <w:sz w:val="24"/>
              </w:rPr>
              <w:t xml:space="preserve">(nay là xã Tam Hưng</w:t>
            </w:r>
            <w:r>
              <w:rPr>
                <w:rFonts w:ascii="Times New Roman" w:hAnsi="Times New Roman" w:eastAsia="Times New Roman" w:cs="Times New Roman"/>
                <w:color w:val="000000"/>
                <w:sz w:val="24"/>
              </w:rPr>
              <w:t xml:space="preserve">), thành phố Hà Nội</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216,00</w:t>
            </w:r>
            <w:r/>
          </w:p>
        </w:tc>
        <w:tc>
          <w:tcPr>
            <w:tcBorders>
              <w:bottom w:val="single" w:color="000000" w:sz="6" w:space="0"/>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chung</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w:t>
            </w:r>
            <w:r/>
          </w:p>
        </w:tc>
      </w:tr>
      <w:tr>
        <w:trPr>
          <w:trHeight w:val="27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484"/>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bCs/>
                <w:i/>
              </w:rPr>
            </w:pPr>
            <w:r>
              <w:rPr>
                <w:rFonts w:ascii="Times New Roman" w:hAnsi="Times New Roman" w:eastAsia="Times New Roman" w:cs="Times New Roman"/>
                <w:b/>
                <w:color w:val="000000"/>
                <w:sz w:val="24"/>
              </w:rPr>
              <w:t xml:space="preserve">Ghi chú:</w:t>
              <w:br/>
              <w:t xml:space="preserve"> </w:t>
            </w:r>
            <w:r>
              <w:rPr>
                <w:rFonts w:ascii="Times New Roman" w:hAnsi="Times New Roman" w:eastAsia="Times New Roman" w:cs="Times New Roman"/>
                <w:i/>
                <w:iCs/>
                <w:color w:val="000000"/>
                <w:sz w:val="24"/>
              </w:rPr>
              <w:t xml:space="preserve">+ Số tờ bản đồ, số thửa xác định theo bản đồ địa chính do đo đạc tổng thể.</w:t>
              <w:br/>
              <w:t xml:space="preserve"> + Bản đồ đo đạc năm 1995-1997: Một phần thửa đất số 257, tờ bản đồ số 5.</w:t>
              <w:br/>
              <w:t xml:space="preserve"> + Giấy chứng nhận này được cấp đổi từ Giấy chứng nhận số DO 913150 do Chi nhánh Văn phòng đăng ký đất đai </w:t>
            </w:r>
            <w:r>
              <w:rPr>
                <w:rFonts w:ascii="Times New Roman" w:hAnsi="Times New Roman" w:eastAsia="Times New Roman" w:cs="Times New Roman"/>
                <w:i/>
                <w:iCs/>
                <w:color w:val="000000"/>
                <w:sz w:val="24"/>
              </w:rPr>
              <w:t xml:space="preserve">Hà Nội huyện Thanh Oai cấp ngày 09/8/2024; theo hồ sơ số 2425001824BDCD.</w:t>
              <w:br/>
              <w:t xml:space="preserve"> + Thửa đất có 45,0m2 đất thuộc hành lang an toàn công trình đường tỉnh lộ 427 được giới hạn bởi các điểm 5,6,7,8,5</w:t>
            </w:r>
            <w:r>
              <w:rPr>
                <w:bCs/>
                <w:i/>
              </w:rPr>
            </w:r>
            <w:r>
              <w:rPr>
                <w:bCs/>
                <w:i/>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Theo GCN QSDĐ số: DP 956437, thửa đất có 45m2 thuộc hành lang an toàn giao thông đường tỉnh lộ 427</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51"/>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Gia Vĩnh, xã Tam Hưng, thành phố Hà Nội</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Tỉnh lộ 427</w:t>
            </w:r>
            <w:r/>
          </w:p>
        </w:tc>
        <w:tc>
          <w:tcPr>
            <w:tcBorders>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Lòng đường 9m + vỉa hè 2,5m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Lòng đường 9m + vỉa hè</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Tiếp giáp đường Tỉnh lộ 427</w:t>
            </w:r>
            <w:r/>
          </w:p>
        </w:tc>
      </w:tr>
      <w:tr>
        <w:trPr>
          <w:trHeight w:val="162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Đông Bắc tiếp giáp đường giao thông;</w:t>
              <w:br/>
              <w:t xml:space="preserve">Các hường còn lại tiếp giáp thửa đất khác.</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51755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230633431" name="" descr=""/>
                              <pic:cNvPicPr/>
                              <pic:nvPr/>
                            </pic:nvPicPr>
                            <pic:blipFill rotWithShape="1">
                              <a:blip r:embed="rId17"/>
                              <a:stretch/>
                            </pic:blipFill>
                            <pic:spPr bwMode="auto">
                              <a:xfrm rot="0" flipH="0" flipV="0">
                                <a:off x="0" y="0"/>
                                <a:ext cx="5517554"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4.45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216,00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7,43</w:t>
            </w:r>
            <w:r/>
          </w:p>
        </w:tc>
        <w:tc>
          <w:tcPr>
            <w:shd w:val="clear" w:color="ffffff" w:fill="ffffff"/>
            <w:tcBorders>
              <w:bottom w:val="single" w:color="000000" w:sz="6" w:space="0"/>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29,95</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Bắc</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01"/>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w:t>
            </w:r>
            <w:r/>
          </w:p>
        </w:tc>
        <w:tc>
          <w:tcPr>
            <w:tcBorders>
              <w:bottom w:val="single" w:color="000000" w:sz="6" w:space="0"/>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2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12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5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khảo sát, dưới sự hướng dẫn của chủ tài sản, trên đất có CTXD Nhà xưởng lợp tôn 01 tầng, diện tích xây dựng khoảng 216m2. Công trình chưa được công nhận trên GCN QSDĐ số: DP 956437</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spacing w:after="0" w:before="0" w:line="276" w:lineRule="auto"/>
        <w:ind/>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xưởng lợp tôn 01 tầng, diện tích xây dựng khoảng 216m2. Công trình chưa được công nhận trên GCN QSDĐ số: DP 956437</w:t>
      </w:r>
      <w:r>
        <w:rPr>
          <w:spacing w:val="-2"/>
          <w:highlight w:val="none"/>
          <w:lang w:val="pt-BR"/>
        </w:rPr>
        <w:t xml:space="preserve">, Đồng thời Tổ thẩm định cũng không thu thập được bất kỳ giấy tờ pháp lý nào liên quan đến CTXD trên. Theo đề nghị của Khách hàng/ Ngân hàng, tổ thẩm định không xác định giá trị CTXD nhưng vẫn coi đó là phần không thể thiếu của tài sản thẩm định. </w:t>
      </w: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nằm ngoài HLGT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Hưng,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https://batdongsan.com.vn/ban-dat-xa-thanh-thuy-1/-mat-duong-dau-canh-ha-cienco-pr44054567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https://batdongsan.com.vn/ban-dat-duong-dt-427b-xa-tam-hung-tp-ha-noi/ban-dau-gia-khu-ao-dau-voi-75m2-mat-tl427b-trung-vin-olympic-pr45032524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https://www.facebook.com/groups/291379267732827/permalink/3389189961285060/?rdid=QXeEGr1meSirrGN4#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0398789654</w:t>
            </w:r>
            <w:r>
              <w:rPr>
                <w:sz w:val="22"/>
                <w:szCs w:val="22"/>
              </w:rPr>
              <w:t xml:space="preserve"> </w:t>
            </w:r>
            <w:r>
              <w:rPr>
                <w:sz w:val="22"/>
                <w:szCs w:val="22"/>
              </w:rPr>
              <w:br/>
              <w:t xml:space="preserve">(</w:t>
            </w:r>
            <w:r>
              <w:rPr>
                <w:sz w:val="22"/>
                <w:szCs w:val="22"/>
              </w:rPr>
              <w:t xml:space="preserve">Thanh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0362542999</w:t>
            </w:r>
            <w:r>
              <w:rPr>
                <w:sz w:val="22"/>
                <w:szCs w:val="22"/>
              </w:rPr>
              <w:br/>
            </w:r>
            <w:r>
              <w:rPr>
                <w:sz w:val="22"/>
                <w:szCs w:val="22"/>
              </w:rPr>
              <w:t xml:space="preserve">(</w:t>
            </w:r>
            <w:r>
              <w:rPr>
                <w:sz w:val="22"/>
                <w:szCs w:val="22"/>
              </w:rPr>
              <w:t xml:space="preserve">Bùi Thanh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0328649286</w:t>
            </w:r>
            <w:r>
              <w:rPr>
                <w:sz w:val="22"/>
                <w:szCs w:val="22"/>
              </w:rPr>
              <w:br/>
            </w:r>
            <w:r>
              <w:rPr>
                <w:sz w:val="22"/>
                <w:szCs w:val="22"/>
              </w:rPr>
              <w:t xml:space="preserve">(</w:t>
            </w:r>
            <w:r>
              <w:rPr>
                <w:sz w:val="22"/>
                <w:szCs w:val="22"/>
              </w:rPr>
              <w:t xml:space="preserve">Yến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Tiếp giáp đường tỉnh 427B, </w:t>
            </w:r>
            <w:r>
              <w:rPr>
                <w:color w:val="000000" w:themeColor="text1"/>
                <w:sz w:val="22"/>
                <w:szCs w:val="22"/>
              </w:rPr>
              <w:t xml:space="preserve">Xã Tam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Tiếp giáp đường Rùa Hạ, cách DT427B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Tiếp giáp đường tỉnh 427B, </w:t>
            </w:r>
            <w:r>
              <w:rPr>
                <w:color w:val="000000" w:themeColor="text1"/>
                <w:sz w:val="22"/>
                <w:szCs w:val="22"/>
              </w:rPr>
              <w:t xml:space="preserve">Xã Tam Hưng, Thành phố Hà Nộ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Tiếp giáp đường tỉnh 427B, </w:t>
            </w:r>
            <w:r>
              <w:rPr>
                <w:color w:val="000000" w:themeColor="text1"/>
                <w:sz w:val="22"/>
                <w:szCs w:val="22"/>
              </w:rPr>
              <w:t xml:space="preserve">Xã Tam Hưng, Thành phố Hà Nộ</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148.453.608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12.150.000.000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14.400.000.000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148.453.608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148.453.608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148.453.608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148.453.608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Tiếp giáp đường tỉnh 427B, </w:t>
            </w:r>
            <w:r>
              <w:rPr>
                <w:color w:val="000000" w:themeColor="text1"/>
                <w:sz w:val="22"/>
                <w:szCs w:val="22"/>
              </w:rPr>
              <w:t xml:space="preserve">Xã Tam Hưng,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Tiếp giáp đường Rùa Hạ, cách DT427B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Tiếp giáp đường tỉnh 427B, </w:t>
            </w:r>
            <w:r>
              <w:rPr>
                <w:color w:val="000000" w:themeColor="text1"/>
                <w:sz w:val="22"/>
                <w:szCs w:val="22"/>
              </w:rPr>
              <w:t xml:space="preserve">Xã Tam Hưng, Thành phố Hà Nộ</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Tiếp giáp đường tỉnh 427B, </w:t>
            </w:r>
            <w:r>
              <w:rPr>
                <w:color w:val="000000" w:themeColor="text1"/>
                <w:sz w:val="22"/>
                <w:szCs w:val="22"/>
              </w:rPr>
              <w:t xml:space="preserve">Xã Tam Hưng, Thành phố Hà Nộ</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148.453.608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148.453.608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148.453.608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-7.422.680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141.030.928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-14.845.361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126.185.567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2.969.072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132.840.000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129.154.639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129.154.639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129.154.639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-7.422.680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125.280.000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121.731.959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125.280.000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121.731.959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125.280.000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121.500.000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121.731.959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122.837.320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24.480.000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46.980.000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32.659.793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18.720.000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40.500.000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26.721.649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-1,09</w:t>
      </w:r>
      <w:r>
        <w:t xml:space="preserve">% đến</w:t>
      </w:r>
      <w:r>
        <w:t xml:space="preserve"> </w:t>
      </w:r>
      <w:r>
        <w:t xml:space="preserve"> </w:t>
      </w:r>
      <w:r>
        <w:t xml:space="preserve">1,99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125.280.000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41.768.352</w:t>
            </w:r>
            <w:r>
              <w:rPr>
                <w:color w:val="000000"/>
              </w:rPr>
            </w:r>
            <w:r>
              <w:rPr>
                <w:color w:val="000000"/>
              </w:rPr>
            </w:r>
          </w:p>
        </w:tc>
      </w:tr>
      <w:tr>
        <w:trPr>
          <w:trHeight w:val="336"/>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121.500.000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40.495.950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121.731.959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40.573.262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122.837.564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122.800.000</w:t>
            </w:r>
            <w:r>
              <w:rPr>
                <w:b/>
                <w:bCs/>
                <w:color w:val="000000"/>
              </w:rPr>
            </w:r>
            <w:r>
              <w:rPr>
                <w:b/>
                <w:bCs/>
                <w:color w:val="000000"/>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360"/>
        <w:jc w:val="both"/>
        <w:rPr>
          <w:b/>
          <w:bCs/>
          <w14:ligatures w14: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122.8</w:t>
      </w:r>
      <w:r>
        <w:rPr>
          <w:b/>
          <w:bCs/>
        </w:rPr>
        <w:t xml:space="preserve">00.000</w:t>
      </w:r>
      <w:r>
        <w:rPr>
          <w:b/>
          <w:bCs/>
        </w:rPr>
        <w:t xml:space="preserve"> </w:t>
      </w:r>
      <w:r>
        <w:rPr>
          <w:b/>
          <w:bCs/>
        </w:rPr>
        <w:t xml:space="preserve">đồng/m².</w:t>
      </w:r>
      <w:r>
        <w:rPr>
          <w:b/>
          <w:bCs/>
          <w14:ligatures w14:val="none"/>
        </w:rPr>
      </w:r>
      <w:r>
        <w:rPr>
          <w:b/>
          <w:bCs/>
          <w14:ligatures w14: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360"/>
        <w:jc w:val="both"/>
        <w:rPr>
          <w:b/>
          <w:bCs/>
          <w14:ligatures w14:val="none"/>
        </w:rPr>
      </w:pPr>
      <w:r>
        <w:rPr>
          <w:b/>
          <w:bCs/>
        </w:rPr>
        <w:t xml:space="preserve">Xác địn</w:t>
      </w:r>
      <w:r>
        <w:rPr>
          <w:b/>
          <w:bCs/>
        </w:rPr>
        <w:t xml:space="preserve">h đơn giá  đất ở nằm trong HLGT:</w:t>
      </w:r>
      <w:r>
        <w:rPr>
          <w:b/>
          <w:bCs/>
          <w14:ligatures w14:val="none"/>
        </w:rPr>
      </w:r>
      <w:r>
        <w:rPr>
          <w:b/>
          <w:bCs/>
          <w14:ligatures w14: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rFonts w:ascii="Times New Roman" w:hAnsi="Times New Roman" w:cs="Times New Roman"/>
          <w:szCs w:val="24"/>
        </w:rPr>
      </w:pPr>
      <w:r>
        <w:rPr>
          <w:rFonts w:ascii="Times New Roman" w:hAnsi="Times New Roman" w:eastAsia="Times New Roman" w:cs="Times New Roman"/>
          <w:color w:val="000000"/>
          <w:sz w:val="24"/>
          <w:szCs w:val="24"/>
        </w:rPr>
        <w:t xml:space="preserve">Vận dụng </w:t>
      </w:r>
      <w:r>
        <w:rPr>
          <w:rFonts w:ascii="Times New Roman" w:hAnsi="Times New Roman" w:eastAsia="Times New Roman" w:cs="Times New Roman"/>
          <w:color w:val="000000"/>
          <w:sz w:val="24"/>
          <w:szCs w:val="24"/>
          <w:highlight w:val="white"/>
        </w:rPr>
        <w:t xml:space="preserve"> Nghi quyết 52/2025/NQ-HĐND</w:t>
      </w:r>
      <w:r>
        <w:rPr>
          <w:rFonts w:ascii="Times New Roman" w:hAnsi="Times New Roman" w:eastAsia="Times New Roman" w:cs="Times New Roman"/>
          <w:color w:val="000000"/>
          <w:sz w:val="24"/>
          <w:szCs w:val="24"/>
        </w:rPr>
        <w:t xml:space="preserve"> của Hội đồng nhân dân thành phố Hà Nội quy định bảng giá đất lần đầu áp dụng từ ngày 01 tháng 01 năm 2026 trên địa bàn thành phố Hà Nội: </w:t>
        <w:tab/>
      </w:r>
      <w:r>
        <w:rPr>
          <w:rFonts w:ascii="Times New Roman" w:hAnsi="Times New Roman" w:cs="Times New Roman"/>
          <w:szCs w:val="24"/>
        </w:rPr>
      </w:r>
      <w:r>
        <w:rPr>
          <w:rFonts w:ascii="Times New Roman" w:hAnsi="Times New Roman" w:cs="Times New Roman"/>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rPr>
        <w:t xml:space="preserve">+ Đơn giá đất ở tại vị trí </w:t>
      </w:r>
      <w:r>
        <w:rPr>
          <w:rFonts w:ascii="Times New Roman" w:hAnsi="Times New Roman" w:eastAsia="Times New Roman" w:cs="Times New Roman"/>
          <w:color w:val="000000"/>
          <w:sz w:val="24"/>
          <w:szCs w:val="24"/>
        </w:rPr>
        <w:t xml:space="preserve">Đường 427: Đoạn giáp Quốc lộ 21B đến hết địa phận xã Tam Hưng</w:t>
      </w:r>
      <w:r>
        <w:rPr>
          <w:rFonts w:ascii="Times New Roman" w:hAnsi="Times New Roman" w:eastAsia="Times New Roman" w:cs="Times New Roman"/>
          <w:color w:val="000000"/>
          <w:sz w:val="24"/>
          <w:szCs w:val="24"/>
        </w:rPr>
        <w:t xml:space="preserve"> là </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color w:val="000000"/>
          <w:sz w:val="24"/>
          <w:szCs w:val="24"/>
        </w:rPr>
        <w:t xml:space="preserve">23.354.000</w:t>
      </w:r>
      <w:r>
        <w:rPr>
          <w:rFonts w:ascii="Times New Roman" w:hAnsi="Times New Roman" w:eastAsia="Times New Roman" w:cs="Times New Roman"/>
          <w:b/>
          <w:bCs/>
          <w:color w:val="000000"/>
          <w:sz w:val="24"/>
          <w:szCs w:val="24"/>
        </w:rPr>
        <w:t xml:space="preserve"> đồng</w:t>
      </w:r>
      <w:r>
        <w:rPr>
          <w:rFonts w:ascii="Times New Roman" w:hAnsi="Times New Roman" w:eastAsia="Times New Roman" w:cs="Times New Roman"/>
          <w:color w:val="000000"/>
          <w:szCs w:val="24"/>
          <w14:ligatures w14:val="none"/>
        </w:rPr>
      </w:r>
      <w:r>
        <w:rPr>
          <w:rFonts w:ascii="Times New Roman" w:hAnsi="Times New Roman" w:eastAsia="Times New Roman" w:cs="Times New Roman"/>
          <w:color w:val="000000"/>
          <w:szCs w:val="24"/>
          <w14:ligatures w14:val="none"/>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025" w:type="dxa"/>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802" w:type="dxa"/>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581" w:type="dxa"/>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6408" w:type="dxa"/>
            <w:vAlign w:val="center"/>
            <w:textDirection w:val="lrTb"/>
            <w:noWrap w:val="false"/>
          </w:tcPr>
          <w:p>
            <w:pPr>
              <w:pBdr/>
              <w:spacing w:after="40" w:before="40" w:line="288" w:lineRule="auto"/>
              <w:ind/>
              <w:jc w:val="both"/>
              <w:rPr>
                <w:b/>
                <w:bCs/>
                <w:highlight w:val="white"/>
              </w:rPr>
            </w:pPr>
            <w:r>
              <w:rPr>
                <w:color w:val="000000"/>
                <w:highlight w:val="white"/>
              </w:rPr>
              <w:t xml:space="preserve">Quyền sử dụng đất tại thửa đất số: 444, tờ bản đồ số: 20, có địa chỉ: Thôn Gia Vĩnh, xã Thanh Thùy, huyện Thanh Oai (nay là xã Tam Hưng), thành phố Hà Nội theo Giấy chứng nhận quyề</w:t>
            </w:r>
            <w:r>
              <w:rPr>
                <w:color w:val="000000"/>
                <w:highlight w:val="white"/>
              </w:rPr>
              <w:t xml:space="preserve">n sử dụng đất, quyền sở hữu nhà ở và tài sản khác gắn liền với đất số: DP 956437, Số vào sổ cấp GCN: CNTO/TT00143 do Chi nhánh văn phòng đăng ký đất đai Hà Nội - huyện Thanh Oai cấp ngày 25/09/2024; chủ sử dụng đất là Ông Hoàng Văn Đông và bà Lý Thị Thu Hà</w:t>
            </w:r>
            <w:r>
              <w:rPr>
                <w:b/>
                <w:bCs/>
                <w:highlight w:val="white"/>
              </w:rPr>
              <w:t xml:space="preserve">.</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highlight w:val="white"/>
              </w:rPr>
            </w:pPr>
            <w:r>
              <w:rPr>
                <w:b/>
                <w:bCs/>
                <w:highlight w:val="white"/>
              </w:rPr>
              <w:t xml:space="preserve">1</w:t>
            </w:r>
            <w:r>
              <w:rPr>
                <w:highlight w:val="white"/>
              </w:rPr>
            </w:r>
          </w:p>
        </w:tc>
        <w:tc>
          <w:tcPr>
            <w:shd w:val="clear" w:color="000000" w:fill="ffffff"/>
            <w:tcBorders/>
            <w:tcW w:w="2025" w:type="dxa"/>
            <w:vAlign w:val="center"/>
            <w:textDirection w:val="lrTb"/>
            <w:noWrap w:val="false"/>
          </w:tcPr>
          <w:p>
            <w:pPr>
              <w:pBdr/>
              <w:spacing w:after="40" w:before="40" w:line="288" w:lineRule="auto"/>
              <w:ind/>
              <w:rPr>
                <w:highlight w:val="white"/>
              </w:rPr>
            </w:pPr>
            <w:r>
              <w:rPr>
                <w:b/>
                <w:bCs/>
                <w:highlight w:val="white"/>
              </w:rPr>
              <w:t xml:space="preserve">Đất ở nằm ngoài HLGT</w:t>
            </w:r>
            <w:r>
              <w:rPr>
                <w:highlight w:val="white"/>
              </w:rPr>
            </w:r>
          </w:p>
        </w:tc>
        <w:tc>
          <w:tcPr>
            <w:tcBorders/>
            <w:tcW w:w="1802"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171</w:t>
            </w:r>
            <w:r>
              <w:rPr>
                <w:color w:val="000000"/>
                <w:highlight w:val="white"/>
              </w:rPr>
            </w:r>
            <w:r>
              <w:rPr>
                <w:color w:val="000000"/>
                <w:highlight w:val="white"/>
              </w:rPr>
            </w:r>
          </w:p>
        </w:tc>
        <w:tc>
          <w:tcPr>
            <w:shd w:val="clear" w:color="000000" w:fill="ffffff"/>
            <w:tcBorders/>
            <w:tcW w:w="2581"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122.800.000</w:t>
            </w:r>
            <w:r>
              <w:rPr>
                <w:highlight w:val="white"/>
              </w:rPr>
            </w:r>
          </w:p>
        </w:tc>
        <w:tc>
          <w:tcPr>
            <w:shd w:val="clear" w:color="000000" w:fill="ffffff"/>
            <w:tcBorders/>
            <w:tcW w:w="2164"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20.998.800.000</w:t>
            </w:r>
            <w:r>
              <w:rPr>
                <w:highlight w:val="white"/>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highlight w:val="white"/>
              </w:rPr>
            </w:pPr>
            <w:r>
              <w:rPr>
                <w:b/>
                <w:bCs/>
                <w:highlight w:val="white"/>
              </w:rPr>
              <w:t xml:space="preserve">2</w:t>
            </w:r>
            <w:r>
              <w:rPr>
                <w:b/>
                <w:bCs/>
                <w:highlight w:val="white"/>
              </w:rPr>
            </w:r>
            <w:r>
              <w:rPr>
                <w:b/>
                <w:bCs/>
                <w:highlight w:val="white"/>
              </w:rPr>
            </w:r>
          </w:p>
        </w:tc>
        <w:tc>
          <w:tcPr>
            <w:shd w:val="clear" w:color="000000" w:fill="ffffff"/>
            <w:tcBorders/>
            <w:tcW w:w="2025" w:type="dxa"/>
            <w:vAlign w:val="center"/>
            <w:vMerge w:val="restart"/>
            <w:textDirection w:val="lrTb"/>
            <w:noWrap w:val="false"/>
          </w:tcPr>
          <w:p>
            <w:pPr>
              <w:pBdr/>
              <w:spacing w:after="40" w:before="40" w:line="288" w:lineRule="auto"/>
              <w:ind/>
              <w:rPr>
                <w:b/>
                <w:bCs/>
                <w:highlight w:val="white"/>
              </w:rPr>
            </w:pPr>
            <w:r>
              <w:rPr>
                <w:b/>
                <w:bCs/>
                <w:highlight w:val="white"/>
              </w:rPr>
              <w:t xml:space="preserve">Đất ở nằm trong HLGT</w:t>
            </w:r>
            <w:r>
              <w:rPr>
                <w:b/>
                <w:bCs/>
                <w:highlight w:val="white"/>
              </w:rPr>
            </w:r>
            <w:r>
              <w:rPr>
                <w:b/>
                <w:bCs/>
                <w:highlight w:val="white"/>
              </w:rPr>
            </w:r>
          </w:p>
        </w:tc>
        <w:tc>
          <w:tcPr>
            <w:tcBorders/>
            <w:tcW w:w="1802" w:type="dxa"/>
            <w:vAlign w:val="center"/>
            <w:vMerge w:val="restart"/>
            <w:textDirection w:val="lrTb"/>
            <w:noWrap/>
          </w:tcPr>
          <w:p>
            <w:pPr>
              <w:pBdr/>
              <w:spacing w:after="40" w:before="40" w:line="288" w:lineRule="auto"/>
              <w:ind/>
              <w:jc w:val="center"/>
              <w:rPr>
                <w:color w:val="000000" w:themeColor="text1"/>
                <w:highlight w:val="white"/>
              </w:rPr>
            </w:pPr>
            <w:r>
              <w:rPr>
                <w:color w:val="000000" w:themeColor="text1"/>
                <w:highlight w:val="white"/>
              </w:rPr>
              <w:t xml:space="preserve">45</w:t>
            </w:r>
            <w:r>
              <w:rPr>
                <w:color w:val="000000" w:themeColor="text1"/>
                <w:highlight w:val="white"/>
              </w:rPr>
            </w:r>
            <w:r>
              <w:rPr>
                <w:color w:val="000000" w:themeColor="text1"/>
                <w:highlight w:val="white"/>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highlight w:val="white"/>
              </w:rPr>
            </w:pPr>
            <w:r>
              <w:rPr>
                <w:color w:val="000000" w:themeColor="text1"/>
                <w:highlight w:val="white"/>
              </w:rPr>
            </w:r>
            <w:r>
              <w:rPr>
                <w:color w:val="000000" w:themeColor="text1"/>
                <w:highlight w:val="white"/>
              </w:rPr>
              <w:t xml:space="preserve">23.354.000</w:t>
            </w:r>
            <w:r>
              <w:rPr>
                <w:color w:val="000000" w:themeColor="text1"/>
                <w:highlight w:val="white"/>
              </w:rPr>
            </w:r>
            <w:r>
              <w:rPr>
                <w:color w:val="000000" w:themeColor="text1"/>
                <w:highlight w:val="white"/>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highlight w:val="white"/>
              </w:rPr>
            </w:pPr>
            <w:r>
              <w:rPr>
                <w:color w:val="000000" w:themeColor="text1"/>
                <w:highlight w:val="white"/>
              </w:rPr>
            </w:r>
            <w:r>
              <w:rPr>
                <w:color w:val="000000" w:themeColor="text1"/>
                <w:highlight w:val="white"/>
              </w:rPr>
              <w:t xml:space="preserve">1.050.930.000</w:t>
            </w:r>
            <w:r>
              <w:rPr>
                <w:color w:val="000000" w:themeColor="text1"/>
                <w:highlight w:val="white"/>
              </w:rPr>
            </w:r>
            <w:r>
              <w:rPr>
                <w:color w:val="000000" w:themeColor="text1"/>
                <w:highlight w:val="white"/>
              </w:rPr>
            </w:r>
          </w:p>
        </w:tc>
      </w:tr>
      <w:tr>
        <w:trPr>
          <w:trHeight w:val="20"/>
        </w:trPr>
        <w:tc>
          <w:tcPr>
            <w:gridSpan w:val="4"/>
            <w:shd w:val="clear" w:color="000000" w:fill="ffffff"/>
            <w:tcBorders/>
            <w:tcW w:w="7361" w:type="dxa"/>
            <w:vAlign w:val="center"/>
            <w:vMerge w:val="restart"/>
            <w:textDirection w:val="lrTb"/>
            <w:noWrap w:val="false"/>
          </w:tcPr>
          <w:p>
            <w:pPr>
              <w:pBdr/>
              <w:spacing w:after="40" w:before="40" w:line="288" w:lineRule="auto"/>
              <w:ind/>
              <w:jc w:val="center"/>
              <w:rPr>
                <w:color w:val="000000" w:themeColor="text1"/>
                <w:highlight w:val="white"/>
              </w:rPr>
            </w:pPr>
            <w:r>
              <w:rPr>
                <w:color w:val="000000" w:themeColor="text1"/>
                <w:highlight w:val="white"/>
              </w:rPr>
            </w:r>
            <w:r>
              <w:rPr>
                <w:b/>
                <w:bCs/>
                <w:color w:val="000000"/>
                <w:highlight w:val="white"/>
              </w:rPr>
              <w:t xml:space="preserve">TỔNG CỘNG:</w:t>
            </w:r>
            <w:r>
              <w:rPr>
                <w:highlight w:val="white"/>
              </w:rPr>
            </w:r>
            <w:r>
              <w:rPr>
                <w:color w:val="000000" w:themeColor="text1"/>
                <w:highlight w:val="white"/>
              </w:rPr>
            </w:r>
            <w:r>
              <w:rPr>
                <w:color w:val="000000" w:themeColor="text1"/>
                <w:highlight w:val="white"/>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22.049.730.000</w:t>
            </w:r>
            <w:r>
              <w:rPr>
                <w:color w:val="000000" w:themeColor="text1"/>
                <w:highlight w:val="white"/>
              </w:rPr>
            </w:r>
          </w:p>
        </w:tc>
      </w:tr>
      <w:tr>
        <w:trPr>
          <w:trHeight w:val="20"/>
        </w:trPr>
        <w:tc>
          <w:tcPr>
            <w:gridSpan w:val="4"/>
            <w:tcBorders/>
            <w:tcW w:w="7361" w:type="dxa"/>
            <w:vAlign w:val="center"/>
            <w:textDirection w:val="lrTb"/>
            <w:noWrap/>
          </w:tcPr>
          <w:p>
            <w:pPr>
              <w:pBdr/>
              <w:tabs>
                <w:tab w:val="left" w:leader="none" w:pos="4693"/>
              </w:tabs>
              <w:spacing w:after="40" w:before="40" w:line="288" w:lineRule="auto"/>
              <w:ind/>
              <w:jc w:val="center"/>
              <w:rPr>
                <w:b/>
                <w:bCs/>
                <w:color w:val="000000"/>
                <w:highlight w:val="white"/>
              </w:rPr>
            </w:pPr>
            <w:r>
              <w:rPr>
                <w:b/>
                <w:bCs/>
                <w:color w:val="000000"/>
                <w:highlight w:val="white"/>
              </w:rPr>
              <w:t xml:space="preserve">                            LÀM TRÒN:</w:t>
            </w:r>
            <w:r>
              <w:rPr>
                <w:b/>
                <w:bCs/>
                <w:color w:val="000000"/>
                <w:highlight w:val="white"/>
              </w:rPr>
              <w:tab/>
            </w:r>
            <w:r>
              <w:rPr>
                <w:b/>
                <w:bCs/>
                <w:color w:val="000000"/>
                <w:highlight w:val="white"/>
              </w:rPr>
            </w:r>
          </w:p>
        </w:tc>
        <w:tc>
          <w:tcPr>
            <w:tcBorders/>
            <w:tcW w:w="2164" w:type="dxa"/>
            <w:vAlign w:val="center"/>
            <w:textDirection w:val="lrTb"/>
            <w:noWrap/>
          </w:tcPr>
          <w:p>
            <w:pPr>
              <w:pBdr/>
              <w:spacing w:after="40" w:before="40" w:line="288" w:lineRule="auto"/>
              <w:ind/>
              <w:jc w:val="center"/>
              <w:rPr>
                <w:b/>
                <w:bCs/>
                <w:color w:val="000000"/>
                <w:highlight w:val="white"/>
              </w:rPr>
            </w:pPr>
            <w:r>
              <w:rPr>
                <w:highlight w:val="white"/>
              </w:rPr>
              <w:t xml:space="preserve">22.049.700.000</w:t>
            </w:r>
            <w:r>
              <w:rPr>
                <w:b/>
                <w:bCs/>
                <w:color w:val="000000"/>
                <w:highlight w:val="white"/>
              </w:rPr>
            </w:r>
            <w:r>
              <w:rPr>
                <w:b/>
                <w:bCs/>
                <w:color w:val="000000"/>
                <w:highlight w:val="whit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Hai mươi hai tỷ bốn mươi chín triệu bảy trăm nghìn đồng</w:t>
            </w:r>
            <w:r>
              <w:rPr>
                <w:b/>
                <w:bCs/>
                <w:i/>
                <w:iCs/>
                <w:color w:val="000000"/>
                <w:highlight w:val="white"/>
              </w:rPr>
              <w:t xml:space="preserve">./.)</w:t>
            </w:r>
            <w:r>
              <w:rPr>
                <w:b/>
                <w:bCs/>
                <w:i/>
                <w:iCs/>
                <w:color w:val="000000"/>
                <w:highlight w:val="white"/>
              </w:rPr>
            </w:r>
            <w:r>
              <w:rPr>
                <w:b/>
                <w:bCs/>
                <w:i/>
                <w:iCs/>
                <w:color w:val="000000"/>
                <w:highlight w:val="white"/>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42"/>
        </w:numPr>
        <w:pBdr/>
        <w:spacing w:after="0" w:before="0" w:line="276" w:lineRule="auto"/>
        <w:ind/>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xưởng lợp tôn 01 tầng, diện tích xây dựng khoảng 216m2. Công trình chưa được công nhận trên GCN QSDĐ số: DP 956437</w:t>
      </w:r>
      <w:r>
        <w:rPr>
          <w:spacing w:val="-2"/>
          <w:highlight w:val="none"/>
          <w:lang w:val="pt-BR"/>
        </w:rPr>
        <w:t xml:space="preserve">, Đồng thời Tổ thẩm định cũng không thu thập được bất kỳ giấy tờ pháp lý nào liên quan đến CTXD trên. Theo đề nghị của Khách hàng/ Ngân hàng, tổ thẩm định không xác định giá trị CTXD nhưng vẫn coi đó là phần không thể thiếu của tài sản thẩm định.</w:t>
      </w:r>
      <w:r>
        <w:rPr>
          <w:highlight w:val="none"/>
          <w:lang w:val="vi-VN"/>
        </w:rPr>
      </w:r>
      <w:r/>
    </w:p>
    <w:p>
      <w:pPr>
        <w:pStyle w:val="1033"/>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76"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33"/>
        <w:pBdr/>
        <w:tabs>
          <w:tab w:val="left" w:leader="none" w:pos="993"/>
        </w:tabs>
        <w:spacing w:after="120" w:before="120" w:line="276"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275/2026/0894/VFI-CT.44.A</w:t>
      </w:r>
      <w:r>
        <w:rPr>
          <w:color w:val="ff0000"/>
          <w:lang w:val="vi-VN"/>
        </w:rPr>
        <w:t xml:space="preserve"> </w:t>
      </w:r>
      <w:r>
        <w:rPr>
          <w:color w:val="000000" w:themeColor="text1"/>
        </w:rPr>
        <w:t xml:space="preserve">ngày 13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76" w:lineRule="auto"/>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275/2026/0894/VFI-BC.44.A ngày </w:t>
      </w:r>
      <w:r>
        <w:rPr>
          <w:i/>
          <w:lang w:val="pt-BR"/>
        </w:rPr>
        <w:t xml:space="preserve"> </w:t>
      </w:r>
      <w:r>
        <w:rPr>
          <w:i/>
          <w:lang w:val="pt-BR"/>
        </w:rPr>
        <w:t xml:space="preserve">13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79357" cy="277194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335749" name=""/>
                              <pic:cNvPicPr>
                                <a:picLocks noChangeAspect="1"/>
                              </pic:cNvPicPr>
                              <pic:nvPr/>
                            </pic:nvPicPr>
                            <pic:blipFill rotWithShape="1">
                              <a:blip r:embed="rId18"/>
                              <a:stretch/>
                            </pic:blipFill>
                            <pic:spPr bwMode="auto">
                              <a:xfrm flipH="0" flipV="0">
                                <a:off x="0" y="0"/>
                                <a:ext cx="1279356" cy="2771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0.74pt;height:218.26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0354" cy="222776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03761" name=""/>
                              <pic:cNvPicPr>
                                <a:picLocks noChangeAspect="1"/>
                              </pic:cNvPicPr>
                              <pic:nvPr/>
                            </pic:nvPicPr>
                            <pic:blipFill rotWithShape="1">
                              <a:blip r:embed="rId19"/>
                              <a:stretch/>
                            </pic:blipFill>
                            <pic:spPr bwMode="auto">
                              <a:xfrm flipH="0" flipV="0">
                                <a:off x="0" y="0"/>
                                <a:ext cx="2970353" cy="22277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3.89pt;height:175.4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3840" cy="222288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39894" name=""/>
                              <pic:cNvPicPr>
                                <a:picLocks noChangeAspect="1"/>
                              </pic:cNvPicPr>
                              <pic:nvPr/>
                            </pic:nvPicPr>
                            <pic:blipFill rotWithShape="1">
                              <a:blip r:embed="rId20"/>
                              <a:stretch/>
                            </pic:blipFill>
                            <pic:spPr bwMode="auto">
                              <a:xfrm flipH="0" flipV="0">
                                <a:off x="0" y="0"/>
                                <a:ext cx="2963839" cy="22228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3.37pt;height:175.0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9698" cy="206227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10763" name=""/>
                              <pic:cNvPicPr>
                                <a:picLocks noChangeAspect="1"/>
                              </pic:cNvPicPr>
                              <pic:nvPr/>
                            </pic:nvPicPr>
                            <pic:blipFill rotWithShape="1">
                              <a:blip r:embed="rId21"/>
                              <a:stretch/>
                            </pic:blipFill>
                            <pic:spPr bwMode="auto">
                              <a:xfrm flipH="0" flipV="0">
                                <a:off x="0" y="0"/>
                                <a:ext cx="2749697" cy="20622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51pt;height:162.3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7280" cy="22854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87017" name=""/>
                              <pic:cNvPicPr>
                                <a:picLocks noChangeAspect="1"/>
                              </pic:cNvPicPr>
                              <pic:nvPr/>
                            </pic:nvPicPr>
                            <pic:blipFill rotWithShape="1">
                              <a:blip r:embed="rId22"/>
                              <a:stretch/>
                            </pic:blipFill>
                            <pic:spPr bwMode="auto">
                              <a:xfrm flipH="0" flipV="0">
                                <a:off x="0" y="0"/>
                                <a:ext cx="3047279" cy="22854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9.94pt;height:179.96pt;mso-wrap-distance-left:0.00pt;mso-wrap-distance-top:0.00pt;mso-wrap-distance-right:0.00pt;mso-wrap-distance-bottom:0.00pt;z-index:1;" stroked="false">
                      <v:imagedata r:id="rId22" o:title=""/>
                      <o:lock v:ext="edit" rotation="t"/>
                    </v:shape>
                  </w:pict>
                </mc:Fallback>
              </mc:AlternateContent>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17493" cy="233811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52755" name=""/>
                              <pic:cNvPicPr>
                                <a:picLocks noChangeAspect="1"/>
                              </pic:cNvPicPr>
                              <pic:nvPr/>
                            </pic:nvPicPr>
                            <pic:blipFill rotWithShape="1">
                              <a:blip r:embed="rId23"/>
                              <a:stretch/>
                            </pic:blipFill>
                            <pic:spPr bwMode="auto">
                              <a:xfrm flipH="0" flipV="0">
                                <a:off x="0" y="0"/>
                                <a:ext cx="3117492" cy="23381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5.47pt;height:184.1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mc:AlternateContent>
          <mc:Choice Requires="wpg">
            <w:drawing>
              <wp:inline xmlns:wp="http://schemas.openxmlformats.org/drawingml/2006/wordprocessingDrawing" distT="0" distB="0" distL="0" distR="0">
                <wp:extent cx="5207388" cy="694318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11042" name=""/>
                        <pic:cNvPicPr>
                          <a:picLocks noChangeAspect="1"/>
                        </pic:cNvPicPr>
                        <pic:nvPr/>
                      </pic:nvPicPr>
                      <pic:blipFill rotWithShape="1">
                        <a:blip r:embed="rId24"/>
                        <a:stretch/>
                      </pic:blipFill>
                      <pic:spPr bwMode="auto">
                        <a:xfrm flipH="0" flipV="0">
                          <a:off x="0" y="0"/>
                          <a:ext cx="5207388" cy="69431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0.03pt;height:546.71pt;mso-wrap-distance-left:0.00pt;mso-wrap-distance-top:0.00pt;mso-wrap-distance-right:0.00pt;mso-wrap-distance-bottom:0.00pt;z-index:1;" stroked="false">
                <v:imagedata r:id="rId24"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18287"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5" o:title=""/>
                <o:lock v:ext="edit" rotation="t"/>
              </v:shape>
            </w:pict>
          </mc:Fallback>
        </mc:AlternateContent>
      </w:r>
      <w:r/>
    </w:p>
    <w:p>
      <w:pPr>
        <w:pBdr/>
        <w:spacing w:after="200" w:line="276" w:lineRule="auto"/>
        <w:ind/>
        <w:rPr/>
      </w:p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76882"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6" o:title=""/>
                <o:lock v:ext="edit" rotation="t"/>
              </v:shape>
            </w:pict>
          </mc:Fallback>
        </mc:AlternateContent>
      </w:r>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275/2026/0894/VFI-BC.44.A</w:t>
      </w:r>
      <w:r>
        <w:rPr>
          <w:i/>
          <w:lang w:val="pt-BR"/>
        </w:rPr>
        <w:t xml:space="preserve"> </w:t>
      </w:r>
      <w:r>
        <w:rPr>
          <w:i/>
          <w:lang w:val="pt-BR"/>
        </w:rPr>
        <w:t xml:space="preserve">13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https://batdongsan.com.vn/ban-dat-xa-thanh-thuy-1/-mat-duong-dau-canh-ha-cienco-pr44054567</w:t>
            </w:r>
            <w:r>
              <w:rPr>
                <w:color w:val="000000" w:themeColor="text1"/>
                <w:sz w:val="22"/>
                <w:szCs w:val="22"/>
              </w:rPr>
              <w:br/>
              <w:t xml:space="preserve">0398789654</w:t>
            </w:r>
            <w:r>
              <w:rPr>
                <w:sz w:val="22"/>
                <w:szCs w:val="22"/>
              </w:rPr>
              <w:t xml:space="preserve"> </w:t>
            </w:r>
            <w:r>
              <w:rPr>
                <w:sz w:val="22"/>
                <w:szCs w:val="22"/>
              </w:rPr>
              <w:br/>
              <w:t xml:space="preserve">(Thanh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right" w:leader="none" w:pos="4278"/>
              </w:tabs>
              <w:spacing w:line="276" w:lineRule="auto"/>
              <w:ind/>
              <w:jc w:val="center"/>
              <w:rPr>
                <w:sz w:val="22"/>
                <w:szCs w:val="22"/>
              </w:rPr>
            </w:pPr>
            <w:r>
              <w:rPr>
                <w:color w:val="000000" w:themeColor="text1"/>
                <w:sz w:val="22"/>
                <w:szCs w:val="22"/>
              </w:rPr>
              <w:t xml:space="preserve">Tài sản tại: Xã Tam Hưng, Thành phố Hà Nội, khoảng cách ra đường chính Tiếp giáp đường Rùa Hạ, cách DT427B khoảng 100mm, độ rộng đường trước mặt tài sản 8m, mặt tiền 5m</w:t>
            </w:r>
            <w:r>
              <w:rPr>
                <w:sz w:val="22"/>
                <w:szCs w:val="22"/>
              </w:rPr>
              <w:tab/>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40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6474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4.6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8664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1866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8.4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https://batdongsan.com.vn/ban-dat-duong-dt-427b-xa-tam-hung-tp-ha-noi/ban-dau-gia-khu-ao-dau-voi-75m2-mat-tl427b-trung-vin-olympic-pr45032524</w:t>
            </w:r>
            <w:r>
              <w:rPr>
                <w:color w:val="000000" w:themeColor="text1"/>
                <w:sz w:val="22"/>
                <w:szCs w:val="22"/>
              </w:rPr>
              <w:br/>
              <w:t xml:space="preserve">0362542999</w:t>
            </w:r>
            <w:r>
              <w:rPr>
                <w:sz w:val="22"/>
                <w:szCs w:val="22"/>
              </w:rPr>
              <w:t xml:space="preserve"> </w:t>
            </w:r>
            <w:r>
              <w:rPr>
                <w:sz w:val="22"/>
                <w:szCs w:val="22"/>
              </w:rPr>
              <w:br/>
              <w:t xml:space="preserve">(Bùi Thanh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Hưng, Thành phố Hà Nội, khoảng cách ra đường chính Tiếp giáp đường 427B, độ rộng đường trước mặt tài sản 9m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5963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3596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2.0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21884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621884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89.67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https://www.facebook.com/groups/291379267732827/permalink/3389189961285060/?rdid=QXeEGr1meSirrGN4#</w:t>
            </w:r>
            <w:r>
              <w:rPr>
                <w:color w:val="000000" w:themeColor="text1"/>
                <w:sz w:val="22"/>
                <w:szCs w:val="22"/>
              </w:rPr>
              <w:br/>
            </w:r>
            <w:r>
              <w:rPr>
                <w:sz w:val="22"/>
                <w:szCs w:val="22"/>
              </w:rPr>
              <w:t xml:space="preserve">SĐT: </w:t>
            </w:r>
            <w:r>
              <w:rPr>
                <w:color w:val="000000" w:themeColor="text1"/>
                <w:sz w:val="22"/>
                <w:szCs w:val="22"/>
              </w:rPr>
              <w:t xml:space="preserve">0328649286</w:t>
            </w:r>
            <w:r>
              <w:rPr>
                <w:sz w:val="22"/>
                <w:szCs w:val="22"/>
              </w:rPr>
              <w:t xml:space="preserve"> </w:t>
            </w:r>
            <w:r>
              <w:rPr>
                <w:sz w:val="22"/>
                <w:szCs w:val="22"/>
              </w:rPr>
              <w:br/>
              <w:t xml:space="preserve">(Yến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Hưng, Thành phố Hà Nội, khoảng cách ra đường chính Tiếp giáp đường 427B, độ rộng đường trước mặt tài sản 9m,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3647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5364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57.2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19974"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1199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45.6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4B0BF1C"/>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53ECEF87"/>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38DD08D"/>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284</cp:revision>
  <dcterms:created xsi:type="dcterms:W3CDTF">2025-09-15T09:58:00Z</dcterms:created>
  <dcterms:modified xsi:type="dcterms:W3CDTF">2026-07-02T07:07:01Z</dcterms:modified>
</cp:coreProperties>
</file>