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Hải 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74A, tờ bản đồ số 36 có địa chỉ: Tổ 2, khu 1, P. Cửa Ông, TP. Cẩm Phả, T. Quảng Ninh (Nay là phường Cửa Ông, tỉ</w:t>
                            </w:r>
                            <w:r>
                              <w:rPr>
                                <w:color w:val="000000"/>
                              </w:rPr>
                              <w:t xml:space="preserve">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Hải 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74A, tờ bản đồ số 36 có địa chỉ: Tổ 2, khu 1, P. Cửa Ông, TP. Cẩm Phả, T. Quảng Ninh (Nay là phường Cửa Ông, tỉ</w:t>
                      </w:r>
                      <w:r>
                        <w:rPr>
                          <w:color w:val="000000"/>
                        </w:rPr>
                        <w:t xml:space="preserve">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commentRangeStart w:id="0"/>
      <w:r>
        <w:rPr>
          <w:b/>
          <w:sz w:val="28"/>
        </w:rPr>
        <w:t xml:space="preserve">MỤC LỤC</w:t>
      </w:r>
      <w:r>
        <w:rPr>
          <w:sz w:val="28"/>
        </w:rPr>
      </w:r>
      <w:commentRangeEnd w:id="0"/>
      <w:r>
        <w:commentReference w:id="0"/>
      </w: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21-24</w:t>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r>
              <w:rPr>
                <w:b/>
                <w:bCs/>
              </w:rPr>
            </w:r>
          </w:p>
        </w:tc>
      </w:tr>
    </w:tbl>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 </w:t>
            </w:r>
            <w:r>
              <w:rPr>
                <w:rStyle w:val="1034"/>
                <w:rFonts w:ascii="Times New Roman" w:hAnsi="Times New Roman"/>
                <w:color w:val="000000" w:themeColor="text1"/>
                <w:lang w:val="pt-BR"/>
              </w:rPr>
              <w:t xml:space="preserve">275/2026/0837/VFI-CT.44.A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35"/>
        <w:pBdr/>
        <w:spacing w:after="120" w:before="200" w:line="288" w:lineRule="auto"/>
        <w:ind/>
        <w:jc w:val="center"/>
        <w:rPr>
          <w:rStyle w:val="1034"/>
          <w:rFonts w:ascii="Times New Roman" w:hAnsi="Times New Roman"/>
          <w:b/>
          <w:bCs/>
          <w:color w:val="auto"/>
          <w:sz w:val="30"/>
          <w:szCs w:val="30"/>
          <w:lang w:val="vi-VN"/>
        </w:rPr>
      </w:pP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lang w:val="vi-VN"/>
        </w:rPr>
      </w:r>
      <w:r>
        <w:rPr>
          <w:rStyle w:val="103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Vũ Hải Yến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275/2026/0837/VFI-HĐTĐ.44.A</w:t>
      </w:r>
      <w:r>
        <w:rPr>
          <w:spacing w:val="-4"/>
          <w:lang w:val="vi-VN"/>
        </w:rPr>
        <w:t xml:space="preserve"> ký ngày </w:t>
      </w:r>
      <w:r>
        <w:rPr>
          <w:color w:val="000000" w:themeColor="text1"/>
          <w:spacing w:val="-4"/>
        </w:rPr>
        <w:t xml:space="preserve">1 tháng 6 năm 2026</w:t>
      </w:r>
      <w:r>
        <w:rPr>
          <w:spacing w:val="-4"/>
          <w:lang w:val="vi-VN"/>
        </w:rPr>
        <w:t xml:space="preserve"> </w:t>
      </w:r>
      <w:r>
        <w:rPr>
          <w:spacing w:val="-4"/>
          <w:lang w:val="vi-VN"/>
        </w:rPr>
        <w:t xml:space="preserve">giữa </w:t>
      </w:r>
      <w:r>
        <w:rPr>
          <w:color w:val="000000" w:themeColor="text1"/>
          <w:spacing w:val="-4"/>
        </w:rPr>
        <w:t xml:space="preserve">Bà Vũ Hải Yến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275/2026/0837/VFI-BC.44.A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highlight w:val="white"/>
              </w:rPr>
            </w:pPr>
            <w:r>
              <w:rPr>
                <w:b/>
                <w:bCs/>
                <w:highlight w:val="white"/>
              </w:rPr>
              <w:t xml:space="preserve">BÀ</w:t>
            </w:r>
            <w:commentRangeStart w:id="1"/>
            <w:r>
              <w:rPr>
                <w:b/>
                <w:bCs/>
                <w:highlight w:val="white"/>
              </w:rPr>
              <w:t xml:space="preserve"> </w:t>
            </w:r>
            <w:r>
              <w:rPr>
                <w:b/>
                <w:bCs/>
                <w:highlight w:val="white"/>
              </w:rPr>
              <w:t xml:space="preserve">VŨ T</w:t>
            </w:r>
            <w:r>
              <w:rPr>
                <w:b/>
                <w:bCs/>
                <w:highlight w:val="white"/>
              </w:rPr>
              <w:t xml:space="preserve">HỊ HẢI YẾN</w:t>
            </w:r>
            <w:r>
              <w:rPr>
                <w:highlight w:val="white"/>
              </w:rPr>
            </w:r>
            <w:commentRangeEnd w:id="1"/>
            <w:r>
              <w:commentReference w:id="1"/>
            </w:r>
            <w:r>
              <w:rPr>
                <w:highlight w:val="white"/>
              </w:rPr>
            </w:r>
            <w:r>
              <w:rPr>
                <w:highlight w:val="white"/>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030180004095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74A, tờ bản đồ số 36 có địa chỉ: Tổ 2, khu 1, P. Cửa Ông, TP. Cẩm Phả, T. Quảng Ninh (Nay là phường Cửa Ông, tỉ</w:t>
      </w:r>
      <w:r>
        <w:rPr>
          <w:color w:val="000000" w:themeColor="text1"/>
        </w:rPr>
        <w:t xml:space="preserve">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74A, tờ bản đồ số 36 có địa chỉ: Tổ 2, khu 1, P. Cửa Ông, TP. Cẩm Phả, T. Quảng Ninh (Nay là phường Cửa Ông, tỉ</w:t>
            </w:r>
            <w:r>
              <w:rPr>
                <w:color w:val="000000"/>
              </w:rPr>
              <w:t xml:space="preserve">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27.394.990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3.287.398.765</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754,6</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17.664.990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13.330.001.235</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16.617.400.000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sáu trăm mười bảy triệu bốn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 </w:t>
            </w:r>
            <w:r>
              <w:rPr>
                <w:rStyle w:val="1034"/>
                <w:rFonts w:ascii="Times New Roman" w:hAnsi="Times New Roman"/>
                <w:color w:val="000000" w:themeColor="text1"/>
                <w:lang w:val="pt-BR"/>
              </w:rPr>
              <w:t xml:space="preserve">275/2026/0837/VFI-</w:t>
            </w:r>
            <w:r>
              <w:rPr>
                <w:rStyle w:val="1034"/>
                <w:rFonts w:ascii="Times New Roman" w:hAnsi="Times New Roman"/>
                <w:color w:val="000000" w:themeColor="text1"/>
                <w:lang w:val="pt-BR"/>
              </w:rPr>
              <w:t xml:space="preserve">BC.</w:t>
            </w:r>
            <w:r>
              <w:rPr>
                <w:rStyle w:val="1034"/>
                <w:rFonts w:ascii="Times New Roman" w:hAnsi="Times New Roman"/>
                <w:color w:val="000000" w:themeColor="text1"/>
                <w:lang w:val="pt-BR"/>
              </w:rPr>
              <w:t xml:space="preserve">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5"/>
              <w:pBdr/>
              <w:spacing w:after="60"/>
              <w:ind/>
              <w:rPr>
                <w:rStyle w:val="1034"/>
                <w:rFonts w:ascii="Times New Roman" w:hAnsi="Times New Roman"/>
                <w:color w:val="000000" w:themeColor="text1"/>
                <w:lang w:val="pt-BR"/>
              </w:rPr>
            </w:pPr>
            <w:r>
              <w:rPr>
                <w:rStyle w:val="1034"/>
                <w:rFonts w:ascii="Times New Roman" w:hAnsi="Times New Roman"/>
                <w:color w:val="000000" w:themeColor="text1"/>
                <w:lang w:val="pt-BR"/>
              </w:rPr>
            </w:r>
            <w:r>
              <w:rPr>
                <w:rStyle w:val="1034"/>
                <w:rFonts w:ascii="Times New Roman" w:hAnsi="Times New Roman"/>
                <w:color w:val="000000" w:themeColor="text1"/>
                <w:lang w:val="pt-BR"/>
              </w:rPr>
            </w:r>
            <w:r>
              <w:rPr>
                <w:rStyle w:val="103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5"/>
              <w:pBdr/>
              <w:spacing w:after="60"/>
              <w:ind w:right="-56"/>
              <w:rPr>
                <w:rStyle w:val="1034"/>
                <w:rFonts w:ascii="Times New Roman" w:hAnsi="Times New Roman"/>
                <w:i/>
                <w:color w:val="auto"/>
              </w:rPr>
            </w:pPr>
            <w:r>
              <w:rPr>
                <w:rFonts w:ascii="Times New Roman" w:hAnsi="Times New Roman"/>
                <w:i/>
                <w:color w:val="auto"/>
              </w:rPr>
            </w:r>
            <w:r>
              <w:rPr>
                <w:rStyle w:val="1034"/>
                <w:rFonts w:ascii="Times New Roman" w:hAnsi="Times New Roman"/>
                <w:i/>
                <w:color w:val="auto"/>
              </w:rPr>
            </w:r>
            <w:r>
              <w:rPr>
                <w:rStyle w:val="1034"/>
                <w:rFonts w:ascii="Times New Roman" w:hAnsi="Times New Roman"/>
                <w:i/>
                <w:color w:val="auto"/>
              </w:rPr>
            </w:r>
          </w:p>
        </w:tc>
      </w:tr>
    </w:tbl>
    <w:p>
      <w:pPr>
        <w:pStyle w:val="103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275/2026/0837/VFI-CT.44.A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highlight w:val="white"/>
              </w:rPr>
            </w:pPr>
            <w:r>
              <w:rPr>
                <w:b/>
                <w:bCs/>
                <w:highlight w:val="white"/>
              </w:rPr>
              <w:t xml:space="preserve">B</w:t>
            </w:r>
            <w:r>
              <w:rPr>
                <w:b/>
                <w:bCs/>
                <w:highlight w:val="white"/>
              </w:rPr>
              <w:t xml:space="preserve">À</w:t>
            </w:r>
            <w:r>
              <w:rPr>
                <w:b/>
                <w:bCs/>
                <w:highlight w:val="white"/>
              </w:rPr>
              <w:t xml:space="preserve"> </w:t>
            </w:r>
            <w:r>
              <w:rPr>
                <w:b/>
                <w:bCs/>
                <w:highlight w:val="white"/>
              </w:rPr>
              <w:t xml:space="preserve">VŨ THỊ HẢI YẾN</w:t>
            </w:r>
            <w:r>
              <w:rPr>
                <w:highlight w:val="white"/>
              </w:rPr>
            </w:r>
            <w:r>
              <w:rPr>
                <w:b/>
                <w:bCs/>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030180004095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74A, tờ bản đồ số 36 có địa chỉ: Tổ 2, khu 1, P. Cửa Ông, TP. Cẩm Phả, T. Quảng Ninh (Nay là phường Cửa Ông, tỉ</w:t>
            </w:r>
            <w:r>
              <w:rPr>
                <w:bCs/>
                <w:color w:val="000000" w:themeColor="text1"/>
                <w:lang w:val="pt-BR"/>
              </w:rPr>
              <w:t xml:space="preserve">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Cửa Ông,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21.044638888889, 107.35988888889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6"/>
        <w:numPr>
          <w:ilvl w:val="0"/>
          <w:numId w:val="1"/>
        </w:numPr>
        <w:pBdr/>
        <w:tabs>
          <w:tab w:val="left" w:leader="none" w:pos="993"/>
        </w:tabs>
        <w:spacing w:after="120" w:before="120" w:line="276" w:lineRule="auto"/>
        <w:ind/>
        <w:jc w:val="both"/>
        <w:rPr>
          <w:spacing w:val="-4"/>
          <w:lang w:val="pt-BR"/>
          <w14:ligatures w14:val="none"/>
        </w:rPr>
      </w:pPr>
      <w:r>
        <w:rPr>
          <w:spacing w:val="-4"/>
          <w:lang w:val="pt-BR" w:bidi="pt-BR"/>
        </w:rPr>
      </w:r>
      <w:r>
        <w:rPr>
          <w:spacing w:val="-4"/>
          <w:lang w:val="pt-BR"/>
        </w:rPr>
        <w:t xml:space="preserve"> </w:t>
      </w:r>
      <w:hyperlink r:id="rId17" w:tooltip="https://thuvienphapluat.vn/chinh-sach-phap-luat-moi/vn/ho-tro-phap-luat/chinh-sach-moi/101037/da-co-nghi-quyet-100-2025-nq-hdnd-ve-bang-gia-dat-quang-ninh-ap-dung-tu-1-1-2026" w:history="1">
        <w:r>
          <w:rPr>
            <w:spacing w:val="-4"/>
            <w:lang w:val="pt-BR"/>
          </w:rPr>
          <w:t xml:space="preserve">Nghị quyết 100/2025/NQ-HĐND</w:t>
        </w:r>
      </w:hyperlink>
      <w:r>
        <w:rPr>
          <w:spacing w:val="-4"/>
          <w:lang w:val="pt-BR"/>
        </w:rPr>
        <w:t xml:space="preserve"> quy định bảng giá đất lần đầu áp dụng từ ngày 01 tháng 01 năm 2026 trên địa bàn tỉnh Quảng Ninh.</w:t>
      </w:r>
      <w:r>
        <w:rPr>
          <w:spacing w:val="-4"/>
          <w:lang w:val="pt-BR"/>
        </w:rPr>
      </w:r>
      <w:r>
        <w:rPr>
          <w:spacing w:val="-4"/>
          <w:lang w:val="pt-BR"/>
          <w14:ligatures w14:val="none"/>
        </w:rPr>
      </w:r>
    </w:p>
    <w:p>
      <w:pPr>
        <w:pStyle w:val="103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275/2026/0837/VFI-HĐTĐ.44.A ngày </w:t>
      </w:r>
      <w:r>
        <w:rPr>
          <w:color w:val="000000" w:themeColor="text1"/>
          <w:lang w:val="pt-BR"/>
        </w:rPr>
        <w:t xml:space="preserve">01/06/2026</w:t>
      </w:r>
      <w:r>
        <w:rPr>
          <w:color w:val="000000" w:themeColor="text1"/>
          <w:lang w:val="pt-BR"/>
        </w:rPr>
        <w:t xml:space="preserve"> giữa Bà Vũ Hải Yến với Công ty Cổ phần Thẩm định và Đầu tư Tài chính Hoa Sen.</w:t>
      </w:r>
      <w:r>
        <w:rPr>
          <w:b/>
          <w:lang w:val="pt-BR"/>
        </w:rPr>
      </w:r>
      <w:r>
        <w:rPr>
          <w:b/>
          <w:lang w:val="pt-BR"/>
        </w:rPr>
      </w:r>
    </w:p>
    <w:p>
      <w:pPr>
        <w:pStyle w:val="103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w:t>
      </w:r>
      <w:r>
        <w:rPr>
          <w:b/>
          <w:bCs/>
          <w:lang w:val="pt-BR"/>
        </w:rPr>
        <w:t xml:space="preserve">UAN VỀ THỊ TRƯỜN</w:t>
      </w:r>
      <w:r>
        <w:rPr>
          <w:b/>
          <w:bCs/>
          <w:lang w:val="pt-BR"/>
        </w:rPr>
        <w:t xml:space="preserve">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lang w:val="pt-BR"/>
        </w:rPr>
        <w:t xml:space="preserve">T</w:t>
      </w:r>
      <w:r>
        <w:rPr>
          <w:color w:val="000000" w:themeColor="text1"/>
          <w:lang w:val="pt-BR"/>
        </w:rPr>
        <w:t xml:space="preserve">hị trường </w:t>
      </w:r>
      <w:r>
        <w:rPr>
          <w:color w:val="000000" w:themeColor="text1"/>
          <w:lang w:val="pt-BR"/>
        </w:rPr>
        <w:t xml:space="preserve">bất động sản (BĐS) Quảng Ninh</w:t>
      </w:r>
      <w:r>
        <w:rPr>
          <w:color w:val="000000" w:themeColor="text1"/>
          <w:lang w:val="pt-BR"/>
        </w:rPr>
        <w:t xml:space="preserve"> là một trong những thị trường sôi động và phát triển toàn diện nhất tại khu vực phía Bắc. Với nền tảng hạ tầng kết nối vượt trội và tốc độ đô thị hóa nhanh chóng, Quảng Ninh đã thiết lập một chu kỳ phát triển mới vững chắc.</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Dưới đây là tổng quan toàn diện về thị trường BĐS Quảng Ninh:</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Động Lực Phát Triển Thị Trường</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Kinh tế dẫn đầu</w:t>
      </w:r>
      <w:r>
        <w:rPr>
          <w:color w:val="000000" w:themeColor="text1"/>
          <w:lang w:val="pt-BR"/>
        </w:rPr>
        <w:t xml:space="preserve">: Thu nhập bình quân đầu người của tỉnh đạt trên 10.400 USD, đưa Quảng Ninh thành địa phương có thu nhập cao nhất cả nước.</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Đô thị hóa mạnh</w:t>
      </w:r>
      <w:r>
        <w:rPr>
          <w:color w:val="000000" w:themeColor="text1"/>
          <w:lang w:val="pt-BR"/>
        </w:rPr>
        <w:t xml:space="preserve">: Tỉ lệ đô thị hóa đạt khoảng 76%, nằm trong nhóm cao nhất cả nước với xu hướng tăng dân số cơ học liên tục.</w:t>
      </w:r>
      <w:r>
        <w:rPr>
          <w:color w:val="000000" w:themeColor="text1"/>
          <w:lang w:val="pt-BR"/>
        </w:rPr>
        <w:t xml:space="preserve"> </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Hạ tầng đồng bộ</w:t>
      </w:r>
      <w:r>
        <w:rPr>
          <w:color w:val="000000" w:themeColor="text1"/>
          <w:lang w:val="pt-BR"/>
        </w:rPr>
        <w:t xml:space="preserve">: Sở hữu trục cao tốc xuyên suốt, sân bay quốc tế Vân Đồn, hệ thống cảng biển quốc tế và hạ tầng giao thông kết nối liên vùng hoàn chỉnh.</w:t>
      </w:r>
      <w:r>
        <w:rPr>
          <w:color w:val="000000" w:themeColor="text1"/>
          <w:lang w:val="pt-BR"/>
        </w:rPr>
        <w:t xml:space="preserve"> </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Thu hút "đại bàng"</w:t>
      </w:r>
      <w:r>
        <w:rPr>
          <w:color w:val="000000" w:themeColor="text1"/>
          <w:lang w:val="pt-BR"/>
        </w:rPr>
        <w:t xml:space="preserve">: Sự đổ bộ của các chủ đầu tư lớn hàng đầu như Vinhomes, Sun Group, Bim Group... với hàng loạt dự án đại đô thị thay đổi diện mạo vùng biển.</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 Phân Vùng Thị Trường BĐS Quảng Ninh</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360" w:left="0"/>
        <w:jc w:val="both"/>
        <w:rPr>
          <w:color w:val="000000" w:themeColor="text1"/>
          <w:lang w:val="pt-BR"/>
          <w14:ligatures w14:val="none"/>
        </w:rPr>
      </w:pPr>
      <w:r>
        <w:rPr>
          <w:color w:val="000000" w:themeColor="text1"/>
          <w:lang w:val="pt-BR"/>
        </w:rPr>
        <w:t xml:space="preserve">Thị trường được chia tách rõ ràng thành 3 khu vực phát triển với các đặc tính đầu tư riêng biệt: </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0"/>
        <w:jc w:val="both"/>
        <w:rPr>
          <w:b/>
          <w:bCs/>
          <w:color w:val="000000" w:themeColor="text1"/>
          <w14:ligatures w14:val="none"/>
        </w:rPr>
      </w:pPr>
      <w:r>
        <w:rPr>
          <w:b/>
          <w:bCs/>
          <w:color w:val="000000" w:themeColor="text1"/>
          <w:lang w:val="pt-BR"/>
        </w:rPr>
        <w:t xml:space="preserve">1. Khu Vực Lõi Truyền Thống &amp; Du Lịch (Hạ Long, Cẩm Phả)</w:t>
      </w:r>
      <w:r>
        <w:rPr>
          <w:b/>
          <w:bCs/>
          <w:color w:val="000000" w:themeColor="text1"/>
          <w:lang w:val="pt-BR"/>
        </w:rPr>
      </w:r>
      <w:r>
        <w:rPr>
          <w:b/>
          <w:bCs/>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Đặc điểm</w:t>
      </w:r>
      <w:r>
        <w:rPr>
          <w:color w:val="000000" w:themeColor="text1"/>
          <w:lang w:val="pt-BR"/>
        </w:rPr>
        <w:t xml:space="preserve">: Trung tâm hành chính, kinh tế và là bộ mặt du lịch của toàn tỉnh.</w:t>
      </w:r>
      <w:r>
        <w:rPr>
          <w:color w:val="000000" w:themeColor="text1"/>
          <w:lang w:val="pt-BR"/>
        </w:rPr>
      </w:r>
      <w:r>
        <w:rPr>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Loại hình chủ đạo</w:t>
      </w:r>
      <w:r>
        <w:rPr>
          <w:color w:val="000000" w:themeColor="text1"/>
          <w:lang w:val="pt-BR"/>
        </w:rPr>
        <w:t xml:space="preserve">: Căn hộ hạng sang, shophouse ven biển, biệt thự nghỉ dưỡng và đất nền đô thị trung tâm.</w:t>
      </w:r>
      <w:r>
        <w:rPr>
          <w:color w:val="000000" w:themeColor="text1"/>
          <w:lang w:val="pt-BR"/>
        </w:rPr>
      </w:r>
      <w:r>
        <w:rPr>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Khu vực tiêu biểu</w:t>
      </w:r>
      <w:r>
        <w:rPr>
          <w:color w:val="000000" w:themeColor="text1"/>
          <w:lang w:val="pt-BR"/>
        </w:rPr>
        <w:t xml:space="preserve">: Bãi Cháy, Hòn Gai, tuyến bao biển Trần Quốc Nghiễn, khu đô thị mở rộng Cao Xanh - Hà Khánh.</w:t>
      </w:r>
      <w:r>
        <w:rPr>
          <w:color w:val="000000" w:themeColor="text1"/>
          <w:lang w:val="pt-BR"/>
        </w:rPr>
        <w:t xml:space="preserve"> </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0"/>
        <w:jc w:val="both"/>
        <w:rPr>
          <w:color w:val="000000" w:themeColor="text1"/>
          <w:lang w:val="pt-BR"/>
          <w14:ligatures w14:val="none"/>
        </w:rPr>
      </w:pPr>
      <w:r>
        <w:rPr>
          <w:b/>
          <w:bCs/>
          <w:color w:val="000000" w:themeColor="text1"/>
          <w:lang w:val="pt-BR"/>
        </w:rPr>
        <w:t xml:space="preserve">2. Khu Vực Công Nghiệp &amp; Mới Nổi (Quảng Yên, Uông Bí, Đông Triều</w:t>
      </w:r>
      <w:r>
        <w:rPr>
          <w:color w:val="000000" w:themeColor="text1"/>
          <w:lang w:val="pt-BR"/>
        </w:rPr>
        <w:t xml:space="preserve">)</w:t>
      </w:r>
      <w:r>
        <w:rPr>
          <w:color w:val="000000" w:themeColor="text1"/>
          <w:lang w:val="pt-BR"/>
        </w:rPr>
      </w:r>
      <w:r>
        <w:rPr>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Đặc điểm</w:t>
      </w:r>
      <w:r>
        <w:rPr>
          <w:color w:val="000000" w:themeColor="text1"/>
          <w:lang w:val="pt-BR"/>
        </w:rPr>
        <w:t xml:space="preserve">: Đón sóng dịch chuyển công nghiệp và dòng vốn FDI lớn nhất miền Bắc.</w:t>
      </w:r>
      <w:r>
        <w:rPr>
          <w:color w:val="000000" w:themeColor="text1"/>
          <w:lang w:val="pt-BR"/>
        </w:rPr>
      </w:r>
      <w:r>
        <w:rPr>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Loại hình chủ đạo</w:t>
      </w:r>
      <w:r>
        <w:rPr>
          <w:color w:val="000000" w:themeColor="text1"/>
          <w:lang w:val="pt-BR"/>
        </w:rPr>
        <w:t xml:space="preserve">: Đất nền ven các khu công nghiệp, nhà ở chuyên gia, nhà ở xã hội và bất động sản công nghiệp.</w:t>
      </w:r>
      <w:r>
        <w:rPr>
          <w:color w:val="000000" w:themeColor="text1"/>
          <w:lang w:val="pt-BR"/>
        </w:rPr>
      </w:r>
      <w:r>
        <w:rPr>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Khu vực tiêu biểu</w:t>
      </w:r>
      <w:r>
        <w:rPr>
          <w:color w:val="000000" w:themeColor="text1"/>
          <w:lang w:val="pt-BR"/>
        </w:rPr>
        <w:t xml:space="preserve">: Thị xã Quảng Yên (đích ngắm của các siêu dự án công nghiệp), thành phố Uông Bí.</w:t>
      </w:r>
      <w:r>
        <w:rPr>
          <w:color w:val="000000" w:themeColor="text1"/>
          <w:lang w:val="pt-BR"/>
        </w:rPr>
        <w:t xml:space="preserve"> </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0"/>
        <w:jc w:val="both"/>
        <w:rPr>
          <w:b/>
          <w:bCs/>
          <w:color w:val="000000" w:themeColor="text1"/>
          <w14:ligatures w14:val="none"/>
        </w:rPr>
      </w:pPr>
      <w:r>
        <w:rPr>
          <w:b/>
          <w:bCs/>
          <w:color w:val="000000" w:themeColor="text1"/>
          <w:lang w:val="pt-BR"/>
        </w:rPr>
        <w:t xml:space="preserve">3. Khu Vực Cửa Khẩu &amp; Nghỉ Dưỡng Sinh Thái (Vân Đồn, Móng Cái)</w:t>
      </w:r>
      <w:r>
        <w:rPr>
          <w:b/>
          <w:bCs/>
          <w:color w:val="000000" w:themeColor="text1"/>
          <w:lang w:val="pt-BR"/>
        </w:rPr>
      </w:r>
      <w:r>
        <w:rPr>
          <w:b/>
          <w:bCs/>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Đặc điểm</w:t>
      </w:r>
      <w:r>
        <w:rPr>
          <w:color w:val="000000" w:themeColor="text1"/>
          <w:lang w:val="pt-BR"/>
        </w:rPr>
        <w:t xml:space="preserve">: Tận dụng lợi thế kinh tế đêm, thương mại biên mậu và mô hình casino, nghỉ dưỡng cao cấp.</w:t>
      </w:r>
      <w:r>
        <w:rPr>
          <w:color w:val="000000" w:themeColor="text1"/>
          <w:lang w:val="pt-BR"/>
        </w:rPr>
      </w:r>
      <w:r>
        <w:rPr>
          <w:color w:val="000000" w:themeColor="text1"/>
          <w:lang w:val="pt-BR"/>
          <w14:ligatures w14:val="none"/>
        </w:rPr>
      </w:r>
    </w:p>
    <w:p>
      <w:pPr>
        <w:pStyle w:val="103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Loại hình chủ đạo</w:t>
      </w:r>
      <w:r>
        <w:rPr>
          <w:color w:val="000000" w:themeColor="text1"/>
          <w:lang w:val="pt-BR"/>
        </w:rPr>
        <w:t xml:space="preserve">: Biệt thự sinh thái biển, shophouse thương mại cửa khẩu, đất nền đón sóng quy hoạch</w:t>
      </w:r>
      <w:r>
        <w:rPr>
          <w:color w:val="000000" w:themeColor="text1"/>
          <w:lang w:val="pt-BR"/>
        </w:rPr>
      </w:r>
      <w:r>
        <w:rPr>
          <w:color w:val="000000" w:themeColor="text1"/>
          <w:lang w:val="pt-BR"/>
          <w14:ligatures w14:val="none"/>
        </w:rPr>
      </w:r>
    </w:p>
    <w:p>
      <w:pPr>
        <w:pStyle w:val="103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3"/>
        <w:gridCol w:w="2533"/>
        <w:gridCol w:w="1984"/>
        <w:gridCol w:w="2126"/>
        <w:gridCol w:w="214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74A, tờ bản đồ số 36 có địa chỉ: Tổ 2, khu 1, P. Cửa Ông, TP. Cẩm Phả, T. Quảng Ninh </w:t>
            </w:r>
            <w:r>
              <w:rPr>
                <w:rFonts w:ascii="Times New Roman" w:hAnsi="Times New Roman" w:eastAsia="Times New Roman" w:cs="Times New Roman"/>
                <w:b/>
                <w:i/>
                <w:color w:val="000000"/>
                <w:sz w:val="24"/>
              </w:rPr>
              <w:t xml:space="preserve">(Nay là phường Cửa Ông, tỉnh Quảng Ninh)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74A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2, khu 1, P. Cửa Ông, TP. Cẩm Phả, T. Quảng Ninh </w:t>
            </w:r>
            <w:r>
              <w:rPr>
                <w:rFonts w:ascii="Times New Roman" w:hAnsi="Times New Roman" w:eastAsia="Times New Roman" w:cs="Times New Roman"/>
                <w:i/>
                <w:color w:val="000000"/>
                <w:sz w:val="24"/>
              </w:rPr>
              <w:t xml:space="preserve">(nay là phường Cửa Ông, tỉnh Quảng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874,6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120m2 và đất trồng cây lâu năm: 754,6m2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Lâu dài; Đất trồng cây lâu năm: Sử dụng đến ngày 01/07/2064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nhận QSD đất như giao đất có thu tiền sử dụng đất: 874,6m2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Tách thửa từ GCNQSD đất số DD 068533 cấp ngày 30/05/2022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2, khu 1, P. Cửa Ông, TP. Cẩm Phả, T. Quảng Ninh (nay là phường Cửa Ông, tỉnh Quảng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QL18A (Vị trí 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trước mặt 20m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20m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Tổ 2, khu 1, P. Cửa Ông, TP. Cẩm Phả, T. Quảng Ninh (nay là phường Cửa Ông, tỉnh Quảng Ninh); nằm trên đường QL18A (Vị trí 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Bắc: Tiếp giáp đường nhựa khoảng 20m</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(21.044628, 107.359883)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448300" cy="29908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9610" name=""/>
                              <pic:cNvPicPr>
                                <a:picLocks noChangeAspect="1"/>
                              </pic:cNvPicPr>
                              <pic:nvPr/>
                            </pic:nvPicPr>
                            <pic:blipFill rotWithShape="1">
                              <a:blip r:embed="rId18"/>
                              <a:stretch/>
                            </pic:blipFill>
                            <pic:spPr bwMode="auto">
                              <a:xfrm>
                                <a:off x="0" y="0"/>
                                <a:ext cx="5448299" cy="2990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00pt;height:235.50pt;mso-wrap-distance-left:0.00pt;mso-wrap-distance-top:0.00pt;mso-wrap-distance-right:0.00pt;mso-wrap-distance-bottom:0.00pt;z-index:1;" stroked="false">
                      <v:imagedata r:id="rId18"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874,6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17,41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51,24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1 tầng, mái tôn, diện tích xây dựng khoảng 30m2 và 1 nhà mái tôn diện tích xây dựng khoảng 12m2, công trình được thể hiện tại sơ đồ trang 3 GCN, tuy nhiên không mô tả </w:t>
            </w:r>
            <w:r>
              <w:rPr>
                <w:rFonts w:ascii="Times New Roman" w:hAnsi="Times New Roman" w:eastAsia="Times New Roman" w:cs="Times New Roman"/>
                <w:color w:val="000000"/>
                <w:sz w:val="24"/>
              </w:rPr>
              <w:t xml:space="preserve">rõ thông số diện tích.</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1 tầng, mái tôn, diện tích xây dựng khoảng 30m2 và 1 nhà mái tôn diện tích xây dựng khoảng 12m2, công trình được thể hiện tại sơ đồ trang 3 GCN, tuy nhiên không mô tả </w:t>
      </w:r>
      <w:r>
        <w:rPr>
          <w:rFonts w:ascii="Times New Roman" w:hAnsi="Times New Roman" w:eastAsia="Times New Roman" w:cs="Times New Roman"/>
          <w:color w:val="000000"/>
          <w:sz w:val="24"/>
        </w:rPr>
        <w:t xml:space="preserve">rõ thông số diện tích.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hỗn hợp:</w:t>
      </w:r>
      <w:r>
        <w:rPr>
          <w:b/>
          <w:lang w:val="pt-BR"/>
        </w:rPr>
      </w:r>
    </w:p>
    <w:p>
      <w:pPr>
        <w:pStyle w:val="103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QL18. phường Cửa Ông,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DT334, Xã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DT334, Xã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DT334, Xã Hạ Long,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https://www.facebook.com/share/p/1DrTtr3VUN/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0388.079.889.</w:t>
            </w:r>
            <w:r>
              <w:rPr>
                <w:sz w:val="22"/>
                <w:szCs w:val="22"/>
              </w:rPr>
              <w:t xml:space="preserve"> </w:t>
            </w:r>
            <w:r>
              <w:rPr>
                <w:sz w:val="22"/>
                <w:szCs w:val="22"/>
              </w:rPr>
              <w:br/>
              <w:t xml:space="preserve">(</w:t>
            </w:r>
            <w:r>
              <w:rPr>
                <w:sz w:val="22"/>
                <w:szCs w:val="22"/>
              </w:rPr>
              <w:t xml:space="preserve">Thảo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0989843626</w:t>
            </w:r>
            <w:r>
              <w:rPr>
                <w:sz w:val="22"/>
                <w:szCs w:val="22"/>
              </w:rPr>
              <w:br/>
            </w:r>
            <w:r>
              <w:rPr>
                <w:sz w:val="22"/>
                <w:szCs w:val="22"/>
              </w:rPr>
              <w:t xml:space="preserve">(</w:t>
            </w:r>
            <w:r>
              <w:rPr>
                <w:sz w:val="22"/>
                <w:szCs w:val="22"/>
              </w:rPr>
              <w:t xml:space="preserve">Diệp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0989843626</w:t>
            </w:r>
            <w:r>
              <w:rPr>
                <w:sz w:val="22"/>
                <w:szCs w:val="22"/>
              </w:rPr>
              <w:br/>
            </w:r>
            <w:r>
              <w:rPr>
                <w:sz w:val="22"/>
                <w:szCs w:val="22"/>
              </w:rPr>
              <w:t xml:space="preserve">(</w:t>
            </w:r>
            <w:r>
              <w:rPr>
                <w:sz w:val="22"/>
                <w:szCs w:val="22"/>
              </w:rPr>
              <w:t xml:space="preserve">Diệp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(120m²), Đất trồng cây lâu năm (754,6m²)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Đất ở nông thôn (45m²), Đất trồng cây lâu năm (63.7m²)</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Đất ở nông thôn (400m²), Đất trồng cây lâu năm (770m²)</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Đất ở nông thôn (300m²), Đất trồng cây lâu năm (532m²)</w:t>
            </w:r>
            <w:r>
              <w:rPr>
                <w:color w:val="000000" w:themeColor="text1"/>
                <w:sz w:val="22"/>
                <w:szCs w:val="22"/>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Tiếp giáp đường QL18. phường Cửa Ông,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Tiếp giáp đường</w:t>
            </w:r>
            <w:r/>
            <w:r>
              <w:rPr>
                <w:color w:val="000000" w:themeColor="text1"/>
                <w:sz w:val="22"/>
                <w:szCs w:val="22"/>
              </w:rPr>
              <w:t xml:space="preserve"> DT334, Xã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Tiếp giáp đường</w:t>
            </w:r>
            <w:r/>
            <w:r>
              <w:rPr>
                <w:color w:val="000000" w:themeColor="text1"/>
                <w:sz w:val="22"/>
                <w:szCs w:val="22"/>
              </w:rPr>
              <w:t xml:space="preserve"> DT334, Xã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Tiếp giáp đường</w:t>
            </w:r>
            <w:r/>
            <w:r>
              <w:rPr>
                <w:color w:val="000000" w:themeColor="text1"/>
                <w:sz w:val="22"/>
                <w:szCs w:val="22"/>
              </w:rPr>
              <w:t xml:space="preserve"> DT334, Xã Hạ Long,  Tỉnh Quảng Ninh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 (hiện hữu)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 (đang giải phóng mặt bằng làm đường 33m)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 (hiện hữu)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 (đang giải phóng mặt bằng làm đường 33m)</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spacing/>
              <w:ind/>
              <w:rPr>
                <w:highlight w:val="white"/>
                <w14:ligatures w14:val="none"/>
              </w:rPr>
            </w:pPr>
            <w:r>
              <w:rPr>
                <w:highlight w:val="white"/>
              </w:rPr>
              <w:t xml:space="preserve">Số lượng </w:t>
            </w:r>
            <w:r>
              <w:rPr>
                <w:highlight w:val="white"/>
              </w:rPr>
              <w:t xml:space="preserve">mặt</w:t>
            </w:r>
            <w:r>
              <w:rPr>
                <w:highlight w:val="white"/>
              </w:rPr>
              <w:t xml:space="preserve"> tiếp giáp</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r>
              <w:rPr>
                <w:color w:val="000000" w:themeColor="text1"/>
                <w:sz w:val="22"/>
                <w:szCs w:val="22"/>
                <w:highlight w:val="yellow"/>
              </w:rPr>
            </w:r>
            <w:r>
              <w:rPr>
                <w:color w:val="000000"/>
                <w:sz w:val="22"/>
                <w:szCs w:val="22"/>
                <w:highlight w:val="yellow"/>
              </w:rPr>
            </w:r>
            <w:r>
              <w:rPr>
                <w:color w:val="000000"/>
                <w:sz w:val="22"/>
                <w:szCs w:val="22"/>
                <w:highlight w:val="yellow"/>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spacing/>
              <w:ind/>
              <w:rPr>
                <w:highlight w:val="white"/>
                <w14:ligatures w14:val="none"/>
              </w:rPr>
            </w:pPr>
            <w:r>
              <w:rPr>
                <w:highlight w:val="white"/>
              </w:rPr>
              <w:t xml:space="preserve">Hình dáng thửa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r>
              <w:rPr>
                <w:color w:val="000000" w:themeColor="text1"/>
                <w:sz w:val="22"/>
                <w:szCs w:val="22"/>
                <w:highlight w:val="yellow"/>
              </w:rPr>
            </w:r>
            <w:r>
              <w:rPr>
                <w:color w:val="000000"/>
                <w:sz w:val="22"/>
                <w:szCs w:val="22"/>
                <w:highlight w:val="yellow"/>
              </w:rPr>
            </w:r>
            <w:r>
              <w:rPr>
                <w:color w:val="000000"/>
                <w:sz w:val="22"/>
                <w:szCs w:val="22"/>
                <w:highlight w:val="yellow"/>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tỷ lệ đất ở/ tổng diện tích: 14%</w:t>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tỷ lệ đất ở/ tổng diện tích: 42%</w:t>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tỷ lệ đất ở/ tổng diện tích: 34%</w:t>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tỷ lệ đất ở/ tổng diện tích: 36%</w:t>
            </w:r>
            <w:r>
              <w:rPr>
                <w:color w:val="000000" w:themeColor="text1"/>
                <w:sz w:val="22"/>
                <w:szCs w:val="22"/>
                <w:lang w:val="undefined"/>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Công trình trên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31.590.000.000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18.304.000.000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28.431.000.000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16.473.600.000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28.431.000.000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16.473.600.000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22.355.106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28.431.000.000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16.473.600.000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22.355.106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(120m²), Đất trồng cây lâu năm (754,6m²)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Đất ở nông thôn (45m²), Đất trồng cây lâu năm (63.7m²)</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Đất ở nông thôn (400m²), Đất trồng cây lâu năm (770m²)</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Đất ở nông thôn (300m²), Đất trồng cây lâu năm (532m²)</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rPr/>
            </w:pPr>
            <w:r/>
            <w:r>
              <w:rPr>
                <w:color w:val="000000" w:themeColor="text1"/>
                <w:sz w:val="22"/>
                <w:szCs w:val="22"/>
              </w:rPr>
              <w:t xml:space="preserve">Đất ở: lâu dài; Đất trồng cây lâu năm: có thời hạn</w:t>
            </w:r>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Tiếp giáp đường QL18. phường Cửa Ông, tỉnh Quảng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Tiếp giáp đường</w:t>
            </w:r>
            <w:r>
              <w:rPr>
                <w:color w:val="000000" w:themeColor="text1"/>
                <w:sz w:val="22"/>
                <w:szCs w:val="22"/>
              </w:rPr>
              <w:t xml:space="preserve"> DT334, Xã Hạ Long,  Tỉnh Quảng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Tiếp giáp đường</w:t>
            </w:r>
            <w:r>
              <w:rPr>
                <w:color w:val="000000" w:themeColor="text1"/>
                <w:sz w:val="22"/>
                <w:szCs w:val="22"/>
              </w:rPr>
              <w:t xml:space="preserve"> DT334, Xã Hạ Long,  Tỉnh Quảng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Tiếp giáp đường</w:t>
            </w:r>
            <w:r>
              <w:rPr>
                <w:color w:val="000000" w:themeColor="text1"/>
                <w:sz w:val="22"/>
                <w:szCs w:val="22"/>
              </w:rPr>
              <w:t xml:space="preserve"> DT334, Xã Hạ Long,  Tỉnh Quảng Ninh</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w:t>
            </w:r>
            <w:r>
              <w:rPr>
                <w:b/>
                <w:bCs/>
                <w:color w:val="000000" w:themeColor="text1"/>
                <w:sz w:val="22"/>
                <w:szCs w:val="22"/>
              </w:rPr>
              <w:t xml:space="preserve">tài</w:t>
            </w:r>
            <w:r>
              <w:rPr>
                <w:b/>
                <w:bCs/>
                <w:color w:val="000000" w:themeColor="text1"/>
                <w:sz w:val="22"/>
                <w:szCs w:val="22"/>
              </w:rPr>
              <w:t xml:space="preserve">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 (hiện hữu)</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 (đang giải phóng mặt bằng làm đường 33m)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 (hiện hữu)</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 (đang giải phóng mặt bằng làm đường 33m)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24.590.617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-3.353.266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21.237.351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894.204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22.131.555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20.592.000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22.131.555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20.592.000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22.131.555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20.592.000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val="0"/>
                <w:bCs w:val="0"/>
                <w:color w:val="000000" w:themeColor="text1"/>
                <w:sz w:val="22"/>
                <w:szCs w:val="22"/>
                <w14:ligatures w14:val="none"/>
              </w:rPr>
            </w:pPr>
            <w:r>
              <w:rPr>
                <w:b w:val="0"/>
                <w:bCs w:val="0"/>
                <w:color w:val="000000" w:themeColor="text1"/>
                <w:sz w:val="22"/>
                <w:szCs w:val="22"/>
                <w:lang w:val="undefined"/>
              </w:rPr>
              <w:t xml:space="preserve">Tỷ lệ đất ở/ tổng diện tích: 14%</w:t>
            </w:r>
            <w:r>
              <w:rPr>
                <w:b w:val="0"/>
                <w:bCs w:val="0"/>
                <w:color w:val="000000" w:themeColor="text1"/>
                <w:sz w:val="22"/>
                <w:szCs w:val="22"/>
                <w:lang w:val="undefined" w:bidi="undefined"/>
              </w:rPr>
            </w:r>
            <w:r>
              <w:rPr>
                <w:b w:val="0"/>
                <w:bCs w:val="0"/>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val="0"/>
                <w:bCs w:val="0"/>
                <w:color w:val="000000" w:themeColor="text1"/>
                <w:sz w:val="22"/>
                <w:szCs w:val="22"/>
                <w14:ligatures w14:val="none"/>
              </w:rPr>
            </w:pPr>
            <w:r>
              <w:rPr>
                <w:b w:val="0"/>
                <w:bCs w:val="0"/>
                <w:color w:val="000000" w:themeColor="text1"/>
                <w:sz w:val="22"/>
                <w:szCs w:val="22"/>
                <w:lang w:val="undefined"/>
              </w:rPr>
              <w:t xml:space="preserve">Tỷ lệ đất ở/ tổng diện tích: 42%</w:t>
            </w:r>
            <w:r>
              <w:rPr>
                <w:b w:val="0"/>
                <w:bCs w:val="0"/>
                <w:color w:val="000000" w:themeColor="text1"/>
                <w:sz w:val="22"/>
                <w:szCs w:val="22"/>
                <w:lang w:val="undefined" w:bidi="undefined"/>
              </w:rPr>
            </w:r>
            <w:r>
              <w:rPr>
                <w:b w:val="0"/>
                <w:bCs w:val="0"/>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val="0"/>
                <w:bCs w:val="0"/>
                <w:color w:val="000000" w:themeColor="text1"/>
                <w:sz w:val="22"/>
                <w:szCs w:val="22"/>
                <w14:ligatures w14:val="none"/>
              </w:rPr>
            </w:pPr>
            <w:r>
              <w:rPr>
                <w:b w:val="0"/>
                <w:bCs w:val="0"/>
                <w:color w:val="000000" w:themeColor="text1"/>
                <w:sz w:val="22"/>
                <w:szCs w:val="22"/>
                <w:lang w:val="undefined"/>
              </w:rPr>
              <w:t xml:space="preserve">Tỷ lệ đất ở/ tổng diện tích: 34%</w:t>
            </w:r>
            <w:r>
              <w:rPr>
                <w:b w:val="0"/>
                <w:bCs w:val="0"/>
                <w:color w:val="000000" w:themeColor="text1"/>
                <w:sz w:val="22"/>
                <w:szCs w:val="22"/>
                <w:lang w:val="undefined" w:bidi="undefined"/>
              </w:rPr>
            </w:r>
            <w:r>
              <w:rPr>
                <w:b w:val="0"/>
                <w:bCs w:val="0"/>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val="0"/>
                <w:bCs w:val="0"/>
                <w:color w:val="000000" w:themeColor="text1"/>
                <w:sz w:val="22"/>
                <w:szCs w:val="22"/>
                <w14:ligatures w14:val="none"/>
              </w:rPr>
            </w:pPr>
            <w:r>
              <w:rPr>
                <w:b w:val="0"/>
                <w:bCs w:val="0"/>
                <w:color w:val="000000" w:themeColor="text1"/>
                <w:sz w:val="22"/>
                <w:szCs w:val="22"/>
                <w:lang w:val="undefined"/>
              </w:rPr>
              <w:t xml:space="preserve">Tỷ lệ đất ở/ tổng diện tích: 36%</w:t>
            </w:r>
            <w:r>
              <w:rPr>
                <w:b w:val="0"/>
                <w:bCs w:val="0"/>
                <w:color w:val="000000" w:themeColor="text1"/>
                <w:sz w:val="22"/>
                <w:szCs w:val="22"/>
                <w:lang w:val="undefined" w:bidi="undefined"/>
              </w:rPr>
            </w:r>
            <w:r>
              <w:rPr>
                <w:b w:val="0"/>
                <w:bCs w:val="0"/>
                <w:color w:val="000000" w:themeColor="text1"/>
                <w:sz w:val="22"/>
                <w:szCs w:val="22"/>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-3.353.266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18.778.289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19.926.000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18.612.000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18.778.289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19.926.000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18.612.000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19.105.430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9.836.247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6.804.000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5.148.000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3.576.817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4.374.000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1.188.000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-2,58</w:t>
      </w:r>
      <w:r>
        <w:t xml:space="preserve">% đến</w:t>
      </w:r>
      <w:r>
        <w:t xml:space="preserve"> </w:t>
      </w:r>
      <w:r>
        <w:t xml:space="preserve"> </w:t>
      </w:r>
      <w:r>
        <w:t xml:space="preserve">4,29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18.778.289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6.260.682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19.926.000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6.641.336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18.612.000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6.203.380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19.105.398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19.000.000</w:t>
      </w:r>
      <w:r>
        <w:rPr>
          <w:b/>
          <w:bCs/>
          <w:color w:val="000000" w:themeColor="text1"/>
        </w:rPr>
        <w:t xml:space="preserve"> </w:t>
      </w:r>
      <w:r>
        <w:rPr>
          <w:b/>
          <w:bCs/>
        </w:rPr>
        <w:t xml:space="preserve">đồng/m².</w:t>
      </w:r>
      <w:r>
        <w:rPr>
          <w:b/>
          <w:bCs/>
        </w:rPr>
      </w:r>
      <w:r>
        <w:rPr>
          <w:b/>
          <w:bCs/>
        </w:rPr>
      </w:r>
    </w:p>
    <w:p>
      <w:pPr>
        <w:pBdr/>
        <w:spacing w:after="120" w:before="120" w:line="276" w:lineRule="auto"/>
        <w:ind/>
        <w:jc w:val="both"/>
        <w:rPr>
          <w:b/>
          <w:bCs/>
        </w:rPr>
      </w:pPr>
      <w:r>
        <w:rPr>
          <w:b/>
          <w:bCs/>
          <w:highlight w:val="none"/>
        </w:rPr>
        <w:t xml:space="preserve">2. Xác định đơn giá đất ở và đơn giá đất trồng cây lâu năm:</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249" w:firstLine="360" w:left="0"/>
        <w:jc w:val="both"/>
        <w:rPr>
          <w:rFonts w:ascii="Times New Roman" w:hAnsi="Times New Roman" w:eastAsia="Times New Roman" w:cs="Times New Roman"/>
        </w:rPr>
      </w:pPr>
      <w:r>
        <w:rPr>
          <w:rFonts w:ascii="Times New Roman" w:hAnsi="Times New Roman" w:eastAsia="Times New Roman" w:cs="Times New Roman"/>
          <w:color w:val="000000"/>
          <w:sz w:val="24"/>
        </w:rPr>
        <w:t xml:space="preserve">Vận dụng</w:t>
      </w:r>
      <w:r>
        <w:rPr>
          <w:rFonts w:ascii="Times New Roman" w:hAnsi="Times New Roman" w:eastAsia="Times New Roman" w:cs="Times New Roman"/>
          <w:color w:val="000000"/>
          <w:sz w:val="24"/>
          <w:szCs w:val="24"/>
          <w:lang w:val="undefined"/>
        </w:rPr>
        <w:t xml:space="preserve"> </w:t>
      </w:r>
      <w:hyperlink r:id="rId19" w:tooltip="https://thuvienphapluat.vn/chinh-sach-phap-luat-moi/vn/ho-tro-phap-luat/chinh-sach-moi/101037/da-co-nghi-quyet-100-2025-nq-hdnd-ve-bang-gia-dat-quang-ninh-ap-dung-tu-1-1-2026" w:history="1">
        <w:r>
          <w:rPr>
            <w:rFonts w:ascii="Times New Roman" w:hAnsi="Times New Roman" w:eastAsia="Times New Roman" w:cs="Times New Roman"/>
            <w:color w:val="000000"/>
            <w:sz w:val="24"/>
            <w:szCs w:val="24"/>
            <w:lang w:val="undefined"/>
          </w:rPr>
          <w:t xml:space="preserve">Nghị quyết 100/2025/NQ-HĐND</w:t>
        </w:r>
      </w:hyperlink>
      <w:r>
        <w:rPr>
          <w:rFonts w:ascii="Times New Roman" w:hAnsi="Times New Roman" w:eastAsia="Times New Roman" w:cs="Times New Roman"/>
          <w:color w:val="000000"/>
          <w:sz w:val="24"/>
          <w:szCs w:val="24"/>
          <w:lang w:val="undefined"/>
        </w:rPr>
        <w:t xml:space="preserve"> quy định bảng giá đất lần đầu áp dụng từ ngày 01 tháng 01 năm 2026 trên địa bàn tỉnh Quảng Ninh.</w:t>
      </w:r>
      <w:r>
        <w:rPr>
          <w:rFonts w:ascii="Times New Roman" w:hAnsi="Times New Roman" w:eastAsia="Times New Roman" w:cs="Times New Roman"/>
          <w:color w:val="000000"/>
          <w:sz w:val="24"/>
          <w:szCs w:val="24"/>
          <w:lang w:val="undefined"/>
        </w:rPr>
      </w:r>
      <w:r/>
    </w:p>
    <w:p>
      <w:pPr>
        <w:pBdr>
          <w:top w:val="none" w:color="000000" w:sz="4" w:space="0"/>
          <w:left w:val="none" w:color="000000" w:sz="4" w:space="0"/>
          <w:bottom w:val="none" w:color="000000" w:sz="4" w:space="0"/>
          <w:right w:val="none" w:color="000000" w:sz="4" w:space="0"/>
        </w:pBdr>
        <w:spacing w:after="120" w:before="120" w:line="276" w:lineRule="auto"/>
        <w:ind w:right="249" w:firstLine="284" w:left="0"/>
        <w:jc w:val="both"/>
        <w:rPr/>
      </w:pPr>
      <w:r>
        <w:rPr>
          <w:rFonts w:ascii="Times New Roman" w:hAnsi="Times New Roman" w:eastAsia="Times New Roman" w:cs="Times New Roman"/>
          <w:color w:val="000000"/>
          <w:sz w:val="24"/>
        </w:rPr>
        <w:t xml:space="preserve">+ Đơn giá đất ở tại vị trí mặt đường QL18A (VT1): Từ tiếp giáp nhà Nguyễn Hữu Nam (phía bên trái hướng đi Mông Dương, thửa đất số 01, TBĐ 48)) và từ đường rẽ vào tuyến tránh đến hết nhà ông Hoàng Trí Công (phía bên phải hướng đi Mông Dương, thửa số 14, TBĐ 42) đến hết Xí nghiệp than 790: </w:t>
      </w:r>
      <w:r>
        <w:rPr>
          <w:rFonts w:ascii="Times New Roman" w:hAnsi="Times New Roman" w:eastAsia="Times New Roman" w:cs="Times New Roman"/>
          <w:b/>
          <w:color w:val="000000"/>
          <w:sz w:val="24"/>
        </w:rPr>
        <w:t xml:space="preserve">9.800.000 đồng</w:t>
      </w:r>
      <w:r/>
    </w:p>
    <w:p>
      <w:pPr>
        <w:pBdr>
          <w:top w:val="none" w:color="000000" w:sz="4" w:space="0"/>
          <w:left w:val="none" w:color="000000" w:sz="4" w:space="0"/>
          <w:bottom w:val="none" w:color="000000" w:sz="4" w:space="0"/>
          <w:right w:val="none" w:color="000000" w:sz="4" w:space="0"/>
        </w:pBdr>
        <w:spacing w:after="120" w:before="120" w:line="276" w:lineRule="auto"/>
        <w:ind w:right="249" w:firstLine="284" w:left="0"/>
        <w:jc w:val="both"/>
        <w:rPr/>
      </w:pPr>
      <w:r>
        <w:rPr>
          <w:rFonts w:ascii="Times New Roman" w:hAnsi="Times New Roman" w:eastAsia="Times New Roman" w:cs="Times New Roman"/>
          <w:color w:val="000000"/>
          <w:sz w:val="24"/>
        </w:rPr>
        <w:t xml:space="preserve">+ Đơn giá đất trồng cây lâu năm tại phường Cửa Ông là: </w:t>
      </w:r>
      <w:r>
        <w:rPr>
          <w:rFonts w:ascii="Times New Roman" w:hAnsi="Times New Roman" w:eastAsia="Times New Roman" w:cs="Times New Roman"/>
          <w:b/>
          <w:color w:val="000000"/>
          <w:sz w:val="24"/>
        </w:rPr>
        <w:t xml:space="preserve">70.000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120*X + 754,6*Y = 19.000.000 * 874,6  tương đương với </w:t>
      </w:r>
      <w:r>
        <w:rPr>
          <w:rFonts w:ascii="Times New Roman" w:hAnsi="Times New Roman" w:eastAsia="Times New Roman" w:cs="Times New Roman"/>
          <w:color w:val="000000"/>
          <w:sz w:val="24"/>
        </w:rPr>
        <w:t xml:space="preserve">120*X + 754,6*Y = 16.617.400.000 </w:t>
      </w:r>
      <w:r>
        <w:rPr>
          <w:rFonts w:ascii="Times New Roman" w:hAnsi="Times New Roman" w:eastAsia="Times New Roman" w:cs="Times New Roman"/>
          <w:color w:val="000000"/>
          <w:sz w:val="20"/>
          <w:vertAlign w:val="superscript"/>
        </w:rPr>
        <w:t xml:space="preserve">(1)</w:t>
      </w:r>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284"/>
        <w:jc w:val="both"/>
        <w:rPr/>
      </w:pPr>
      <w:r>
        <w:rPr>
          <w:rFonts w:ascii="Wingdings" w:hAnsi="Wingdings" w:eastAsia="Wingdings" w:cs="Wingdings"/>
          <w:color w:val="000000"/>
          <w:sz w:val="24"/>
        </w:rPr>
      </w:r>
      <w:r>
        <w:rPr>
          <w:rFonts w:ascii="Times New Roman" w:hAnsi="Times New Roman" w:eastAsia="Times New Roman" w:cs="Times New Roman"/>
          <w:color w:val="000000"/>
          <w:sz w:val="24"/>
        </w:rPr>
        <w:tab/>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9.800.000 - 70.000 tương đương với </w:t>
      </w:r>
      <w:r>
        <w:rPr>
          <w:rFonts w:ascii="Times New Roman" w:hAnsi="Times New Roman" w:eastAsia="Times New Roman" w:cs="Times New Roman"/>
          <w:color w:val="000000"/>
          <w:sz w:val="24"/>
        </w:rPr>
        <w:t xml:space="preserve">X – Y = 9.730.000 </w:t>
      </w:r>
      <w:r>
        <w:rPr>
          <w:rFonts w:ascii="Times New Roman" w:hAnsi="Times New Roman" w:eastAsia="Times New Roman" w:cs="Times New Roman"/>
          <w:color w:val="000000"/>
          <w:sz w:val="20"/>
          <w:vertAlign w:val="superscript"/>
        </w:rPr>
        <w:t xml:space="preserve">(2)</w:t>
      </w:r>
      <w:r/>
      <w:r>
        <w:rPr>
          <w:rFonts w:ascii="Times New Roman" w:hAnsi="Times New Roman" w:eastAsia="Times New Roman" w:cs="Times New Roman"/>
          <w:color w:val="000000"/>
          <w:sz w:val="24"/>
        </w:rPr>
      </w:r>
      <w:r/>
      <w:r>
        <w:rPr>
          <w:rFonts w:ascii="Times New Roman" w:hAnsi="Times New Roman" w:eastAsia="Times New Roman" w:cs="Times New Roman"/>
          <w:color w:val="000000"/>
          <w:sz w:val="24"/>
        </w:rPr>
      </w:r>
      <w:r/>
      <w:r>
        <w:rPr>
          <w:rFonts w:ascii="Times New Roman" w:hAnsi="Times New Roman" w:eastAsia="Times New Roman" w:cs="Times New Roman"/>
          <w:sz w:val="24"/>
        </w:rPr>
      </w:r>
    </w:p>
    <w:p>
      <w:pPr>
        <w:pBdr/>
        <w:spacing w:after="40" w:before="40" w:line="288" w:lineRule="auto"/>
        <w:ind/>
        <w:jc w:val="center"/>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sz w:val="24"/>
        </w:rPr>
      </w:r>
      <w:r>
        <w:rPr>
          <w:b/>
          <w:bCs/>
          <w:color w:val="000000" w:themeColor="text1"/>
        </w:rPr>
        <w:t xml:space="preserve">27.394.990</w:t>
      </w:r>
      <w:r/>
      <w:r/>
      <w:r>
        <w:rPr>
          <w:rFonts w:ascii="Times New Roman" w:hAnsi="Times New Roman" w:eastAsia="Times New Roman" w:cs="Times New Roman"/>
          <w:color w:val="000000"/>
          <w:sz w:val="24"/>
        </w:rPr>
      </w:r>
      <w:r>
        <w:rPr>
          <w:rFonts w:ascii="Times New Roman" w:hAnsi="Times New Roman" w:eastAsia="Times New Roman" w:cs="Times New Roman"/>
          <w:b/>
          <w:color w:val="000000"/>
          <w:sz w:val="24"/>
        </w:rPr>
        <w:t xml:space="preserve">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w:t>
      </w:r>
      <w:r/>
      <w:r>
        <w:rPr>
          <w:b/>
          <w:bCs/>
          <w:color w:val="000000" w:themeColor="text1"/>
        </w:rPr>
        <w:t xml:space="preserve">17.664.990</w:t>
      </w:r>
      <w:r/>
      <w:r/>
      <w:r>
        <w:rPr>
          <w:rFonts w:ascii="Times New Roman" w:hAnsi="Times New Roman" w:eastAsia="Times New Roman" w:cs="Times New Roman"/>
          <w:b/>
          <w:color w:val="000000"/>
          <w:sz w:val="24"/>
        </w:rPr>
        <w:t xml:space="preserve"> đồng/m</w:t>
      </w:r>
      <w:r>
        <w:rPr>
          <w:rFonts w:ascii="Times New Roman" w:hAnsi="Times New Roman" w:eastAsia="Times New Roman" w:cs="Times New Roman"/>
          <w:b/>
          <w:color w:val="000000"/>
          <w:sz w:val="20"/>
          <w:vertAlign w:val="superscript"/>
        </w:rPr>
        <w:t xml:space="preserve">2 </w:t>
      </w:r>
      <w:r/>
      <w:r/>
      <w:r/>
    </w:p>
    <w:p>
      <w:pPr>
        <w:pStyle w:val="103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555"/>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74A, tờ bản đồ số 36 có địa chỉ: Tổ 2, khu 1, P. Cửa Ông, TP. Cẩm Phả, T. Quảng Ninh (Nay là phường Cửa Ông, tỉ</w:t>
            </w:r>
            <w:r>
              <w:rPr>
                <w:color w:val="000000"/>
              </w:rPr>
              <w:t xml:space="preserve">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27.394.990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3.287.398.765</w:t>
            </w: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754,6</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17.664.990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13.330.001.235</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16.617.400.000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sáu trăm mười bảy triệu bốn trăm nghìn</w:t>
            </w:r>
            <w:r>
              <w:rPr>
                <w:b/>
                <w:bCs/>
                <w:i/>
                <w:iCs/>
                <w:color w:val="000000"/>
              </w:rPr>
              <w:t xml:space="preserve">./.)</w:t>
            </w:r>
            <w:r>
              <w:rPr>
                <w:b/>
                <w:bCs/>
                <w:i/>
                <w:iCs/>
                <w:color w:val="000000"/>
              </w:rPr>
            </w:r>
            <w:r>
              <w:rPr>
                <w:b/>
                <w:bCs/>
                <w:i/>
                <w:iCs/>
                <w:color w:val="000000"/>
              </w:rPr>
            </w:r>
          </w:p>
        </w:tc>
      </w:tr>
    </w:tbl>
    <w:p>
      <w:pPr>
        <w:pStyle w:val="1036"/>
        <w:pBdr/>
        <w:tabs>
          <w:tab w:val="left" w:leader="none" w:pos="993"/>
        </w:tabs>
        <w:spacing w:after="120" w:before="120" w:line="288" w:lineRule="auto"/>
        <w:ind w:left="0"/>
        <w:jc w:val="both"/>
        <w:rPr>
          <w:b/>
          <w:bCs/>
          <w:lang w:val="pt-BR"/>
        </w:rPr>
      </w:pPr>
      <w:r>
        <w:rPr>
          <w:b/>
          <w:bCs/>
          <w:i/>
          <w:iCs/>
          <w:highlight w:val="none"/>
          <w:u w:val="single"/>
          <w:lang w:val="pt-BR"/>
        </w:rPr>
        <w:t xml:space="preserve">G</w:t>
      </w:r>
      <w:r>
        <w:rPr>
          <w:b/>
          <w:bCs/>
          <w:i/>
          <w:iCs/>
          <w:highlight w:val="none"/>
          <w:u w:val="single"/>
          <w:lang w:val="pt-BR"/>
        </w:rPr>
        <w:t xml:space="preserve">hi chú: </w:t>
      </w:r>
      <w:r>
        <w:rPr>
          <w:b w:val="0"/>
          <w:bCs w:val="0"/>
          <w:highlight w:val="none"/>
          <w:lang w:val="pt-BR"/>
        </w:rPr>
        <w:t xml:space="preserve"> </w:t>
      </w:r>
      <w:r>
        <w:rPr>
          <w:b w:val="0"/>
          <w:bCs w:val="0"/>
          <w:i/>
          <w:iCs/>
          <w:highlight w:val="none"/>
          <w:lang w:val="pt-BR"/>
        </w:rPr>
        <w:t xml:space="preserve">Trong quá trình sử dụng kết quả chứng thư và báo cáo thẩm định này, giá trị phần đất ở và đất trồng cây lâu năm không được tách rời nhau</w:t>
      </w:r>
      <w:r>
        <w:rPr>
          <w:b w:val="0"/>
          <w:bCs w:val="0"/>
          <w:i/>
          <w:iCs/>
          <w:highlight w:val="yellow"/>
          <w:lang w:val="pt-BR"/>
        </w:rPr>
      </w:r>
      <w:r>
        <w:rPr>
          <w:b/>
          <w:bCs/>
          <w:highlight w:val="none"/>
          <w:lang w:val="pt-BR"/>
        </w:rPr>
        <w:t xml:space="preserve">.</w:t>
      </w:r>
      <w:r>
        <w:rPr>
          <w:b/>
          <w:bCs/>
          <w:highlight w:val="none"/>
          <w:lang w:val="pt-BR"/>
        </w:rPr>
      </w:r>
    </w:p>
    <w:p>
      <w:pPr>
        <w:pStyle w:val="1036"/>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1 tầng, mái tôn, diện tích xây dựng khoảng 30m2 và 1 nhà mái tôn diện tích xây dựng khoảng 12m2, công trình được thể hiện tại sơ đồ trang 3 GCN, tuy nhiên không mô tả </w:t>
      </w:r>
      <w:r>
        <w:rPr>
          <w:rFonts w:ascii="Times New Roman" w:hAnsi="Times New Roman" w:eastAsia="Times New Roman" w:cs="Times New Roman"/>
          <w:color w:val="000000"/>
          <w:sz w:val="24"/>
        </w:rPr>
        <w:t xml:space="preserve">rõ thông số diện tích.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3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275/2026/0837/VFI-CT.44.A</w:t>
      </w:r>
      <w:r>
        <w:rPr>
          <w:color w:val="ff0000"/>
          <w:lang w:val="vi-VN"/>
        </w:rPr>
        <w:t xml:space="preserve"> </w:t>
      </w:r>
      <w:r>
        <w:rPr>
          <w:color w:val="000000" w:themeColor="text1"/>
        </w:rPr>
        <w:t xml:space="preserve">ngày 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275/2026/0837/VFI-BC.44.A ngày</w:t>
      </w:r>
      <w:r>
        <w:rPr>
          <w:i/>
          <w:lang w:val="pt-BR"/>
        </w:rPr>
        <w:t xml:space="preserve">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65"/>
        <w:gridCol w:w="4760"/>
      </w:tblGrid>
      <w:tr>
        <w:trPr/>
        <w:tc>
          <w:tcPr>
            <w:tcBorders/>
            <w:tcW w:w="4765"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344840" cy="162538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68431" name=""/>
                              <pic:cNvPicPr>
                                <a:picLocks noChangeAspect="1"/>
                              </pic:cNvPicPr>
                              <pic:nvPr/>
                            </pic:nvPicPr>
                            <pic:blipFill rotWithShape="1">
                              <a:blip r:embed="rId20"/>
                              <a:stretch/>
                            </pic:blipFill>
                            <pic:spPr bwMode="auto">
                              <a:xfrm flipH="0" flipV="0">
                                <a:off x="0" y="0"/>
                                <a:ext cx="3344839" cy="1625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63.37pt;height:127.98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60"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531830" cy="171624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24163" name=""/>
                              <pic:cNvPicPr>
                                <a:picLocks noChangeAspect="1"/>
                              </pic:cNvPicPr>
                              <pic:nvPr/>
                            </pic:nvPicPr>
                            <pic:blipFill rotWithShape="1">
                              <a:blip r:embed="rId21"/>
                              <a:stretch/>
                            </pic:blipFill>
                            <pic:spPr bwMode="auto">
                              <a:xfrm flipH="0" flipV="0">
                                <a:off x="0" y="0"/>
                                <a:ext cx="3531830" cy="17162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8.10pt;height:135.1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6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30565" cy="16670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16144" name=""/>
                              <pic:cNvPicPr>
                                <a:picLocks noChangeAspect="1"/>
                              </pic:cNvPicPr>
                              <pic:nvPr/>
                            </pic:nvPicPr>
                            <pic:blipFill rotWithShape="1">
                              <a:blip r:embed="rId22"/>
                              <a:stretch/>
                            </pic:blipFill>
                            <pic:spPr bwMode="auto">
                              <a:xfrm flipH="0" flipV="0">
                                <a:off x="0" y="0"/>
                                <a:ext cx="3430564" cy="1667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0.12pt;height:131.2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c>
          <w:tcPr>
            <w:tcBorders/>
            <w:tcW w:w="476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90520" cy="174476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34662" name=""/>
                              <pic:cNvPicPr>
                                <a:picLocks noChangeAspect="1"/>
                              </pic:cNvPicPr>
                              <pic:nvPr/>
                            </pic:nvPicPr>
                            <pic:blipFill rotWithShape="1">
                              <a:blip r:embed="rId23"/>
                              <a:stretch/>
                            </pic:blipFill>
                            <pic:spPr bwMode="auto">
                              <a:xfrm flipH="0" flipV="0">
                                <a:off x="0" y="0"/>
                                <a:ext cx="3590519" cy="17447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82.72pt;height:137.3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r>
              <w:rPr>
                <w:i/>
                <w:lang w:val="pt-BR"/>
              </w:rPr>
            </w:r>
          </w:p>
        </w:tc>
      </w:tr>
      <w:tr>
        <w:trPr/>
        <w:tc>
          <w:tcPr>
            <w:tcBorders/>
            <w:tcW w:w="4765"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602015" cy="175035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72029" name=""/>
                              <pic:cNvPicPr>
                                <a:picLocks noChangeAspect="1"/>
                              </pic:cNvPicPr>
                              <pic:nvPr/>
                            </pic:nvPicPr>
                            <pic:blipFill rotWithShape="1">
                              <a:blip r:embed="rId24"/>
                              <a:stretch/>
                            </pic:blipFill>
                            <pic:spPr bwMode="auto">
                              <a:xfrm flipH="0" flipV="0">
                                <a:off x="0" y="0"/>
                                <a:ext cx="3602014" cy="17503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83.62pt;height:137.8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tcBorders/>
            <w:tcW w:w="4760"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598047" cy="174842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35685" name=""/>
                              <pic:cNvPicPr>
                                <a:picLocks noChangeAspect="1"/>
                              </pic:cNvPicPr>
                              <pic:nvPr/>
                            </pic:nvPicPr>
                            <pic:blipFill rotWithShape="1">
                              <a:blip r:embed="rId25"/>
                              <a:stretch/>
                            </pic:blipFill>
                            <pic:spPr bwMode="auto">
                              <a:xfrm flipH="0" flipV="0">
                                <a:off x="0" y="0"/>
                                <a:ext cx="3598046" cy="1748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83.31pt;height:137.67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hd w:val="nil"/>
        <w:spacing/>
        <w:ind/>
        <w:rPr/>
      </w:pPr>
      <w:r>
        <w:rPr>
          <w:highlight w:val="none"/>
        </w:rPr>
        <w:br w:type="page" w:clear="all"/>
      </w:r>
      <w:r>
        <w:rPr>
          <w:highlight w:val="none"/>
        </w:rPr>
      </w:r>
      <w:r>
        <w:rPr>
          <w:highlight w:val="none"/>
        </w:rPr>
      </w:r>
    </w:p>
    <w:p>
      <w:pPr>
        <w:pBdr/>
        <w:spacing w:after="200" w:line="276" w:lineRule="auto"/>
        <w:ind/>
        <w:rPr/>
      </w:pPr>
      <w:r/>
      <w:r>
        <mc:AlternateContent>
          <mc:Choice Requires="wpg">
            <w:drawing>
              <wp:inline xmlns:wp="http://schemas.openxmlformats.org/drawingml/2006/wordprocessingDrawing" distT="0" distB="0" distL="0" distR="0">
                <wp:extent cx="5353050" cy="77057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36577" name=""/>
                        <pic:cNvPicPr>
                          <a:picLocks noChangeAspect="1"/>
                        </pic:cNvPicPr>
                        <pic:nvPr/>
                      </pic:nvPicPr>
                      <pic:blipFill rotWithShape="1">
                        <a:blip r:embed="rId26"/>
                        <a:stretch/>
                      </pic:blipFill>
                      <pic:spPr bwMode="auto">
                        <a:xfrm>
                          <a:off x="0" y="0"/>
                          <a:ext cx="5353049" cy="7705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1.50pt;height:606.75pt;mso-wrap-distance-left:0.00pt;mso-wrap-distance-top:0.00pt;mso-wrap-distance-right:0.00pt;mso-wrap-distance-bottom:0.00pt;z-index:1;" stroked="false">
                <v:imagedata r:id="rId26" o:title=""/>
                <o:lock v:ext="edit" rotation="t"/>
              </v:shape>
            </w:pict>
          </mc:Fallback>
        </mc:AlternateContent>
      </w:r>
      <w:r/>
      <w:r>
        <w:rPr>
          <w:highlight w:val="none"/>
        </w:rPr>
      </w:r>
    </w:p>
    <w:p>
      <w:pPr>
        <w:pBdr/>
        <w:spacing w:after="200" w:line="276" w:lineRule="auto"/>
        <w:ind/>
        <w:rPr/>
      </w:pPr>
      <w:r/>
      <w:r>
        <mc:AlternateContent>
          <mc:Choice Requires="wpg">
            <w:drawing>
              <wp:inline xmlns:wp="http://schemas.openxmlformats.org/drawingml/2006/wordprocessingDrawing" distT="0" distB="0" distL="0" distR="0">
                <wp:extent cx="5695950" cy="92487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47966" name=""/>
                        <pic:cNvPicPr>
                          <a:picLocks noChangeAspect="1"/>
                        </pic:cNvPicPr>
                        <pic:nvPr/>
                      </pic:nvPicPr>
                      <pic:blipFill rotWithShape="1">
                        <a:blip r:embed="rId27"/>
                        <a:stretch/>
                      </pic:blipFill>
                      <pic:spPr bwMode="auto">
                        <a:xfrm>
                          <a:off x="0" y="0"/>
                          <a:ext cx="5695949" cy="9248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8.50pt;height:728.25pt;mso-wrap-distance-left:0.00pt;mso-wrap-distance-top:0.00pt;mso-wrap-distance-right:0.00pt;mso-wrap-distance-bottom:0.00pt;z-index:1;" stroked="false">
                <v:imagedata r:id="rId27" o:title=""/>
                <o:lock v:ext="edit" rotation="t"/>
              </v:shape>
            </w:pict>
          </mc:Fallback>
        </mc:AlternateContent>
      </w:r>
      <w:r/>
      <w:r>
        <w:rPr>
          <w:highlight w:val="none"/>
        </w:rPr>
      </w:r>
    </w:p>
    <w:p>
      <w:pPr>
        <w:pBdr/>
        <w:spacing w:after="200" w:line="276" w:lineRule="auto"/>
        <w:ind/>
        <w:rPr>
          <w:highlight w:val="none"/>
        </w:rPr>
      </w:pPr>
      <w:r/>
      <w:r>
        <mc:AlternateContent>
          <mc:Choice Requires="wpg">
            <w:drawing>
              <wp:inline xmlns:wp="http://schemas.openxmlformats.org/drawingml/2006/wordprocessingDrawing" distT="0" distB="0" distL="0" distR="0">
                <wp:extent cx="6048375" cy="884645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25282" name=""/>
                        <pic:cNvPicPr>
                          <a:picLocks noChangeAspect="1"/>
                        </pic:cNvPicPr>
                        <pic:nvPr/>
                      </pic:nvPicPr>
                      <pic:blipFill rotWithShape="1">
                        <a:blip r:embed="rId28"/>
                        <a:stretch/>
                      </pic:blipFill>
                      <pic:spPr bwMode="auto">
                        <a:xfrm>
                          <a:off x="0" y="0"/>
                          <a:ext cx="6048374" cy="8846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96.57pt;mso-wrap-distance-left:0.00pt;mso-wrap-distance-top:0.00pt;mso-wrap-distance-right:0.00pt;mso-wrap-distance-bottom:0.00pt;z-index:1;" stroked="false">
                <v:imagedata r:id="rId28" o:title=""/>
                <o:lock v:ext="edit" rotation="t"/>
              </v:shape>
            </w:pict>
          </mc:Fallback>
        </mc:AlternateContent>
      </w:r>
      <w:r>
        <w:br w:type="page" w:clear="all"/>
      </w: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w:t>
      </w:r>
      <w:r>
        <w:rPr>
          <w:b/>
          <w:lang w:val="vi-VN"/>
        </w:rPr>
        <w:t xml:space="preserve">THU</w:t>
      </w:r>
      <w:r>
        <w:rPr>
          <w:b/>
          <w:lang w:val="vi-VN"/>
        </w:rPr>
        <w:t xml:space="preserve">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275/2026/0837/VFI-BC.44.A ngày</w:t>
      </w:r>
      <w:r>
        <w:rPr>
          <w:i/>
          <w:lang w:val="pt-BR"/>
        </w:rPr>
        <w:t xml:space="preserve">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https://www.facebook.com/share/p/1DrTtr3VUN/</w:t>
            </w:r>
            <w:r>
              <w:rPr>
                <w:color w:val="000000" w:themeColor="text1"/>
                <w:sz w:val="22"/>
                <w:szCs w:val="22"/>
              </w:rPr>
              <w:br/>
              <w:t xml:space="preserve">0388.079.889.</w:t>
            </w:r>
            <w:r>
              <w:rPr>
                <w:sz w:val="22"/>
                <w:szCs w:val="22"/>
              </w:rPr>
              <w:t xml:space="preserve"> </w:t>
            </w:r>
            <w:r>
              <w:rPr>
                <w:sz w:val="22"/>
                <w:szCs w:val="22"/>
              </w:rPr>
              <w:br/>
              <w:t xml:space="preserve">(Thảo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(45m²), Đất trồng cây lâu năm (63,7m²)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DT 334, Xã Hạ Long, Tỉnh Quảng Ninh, tiếp giáp đường 334m, độ rộng đường trước mặt tài sản 7m </w:t>
            </w:r>
            <w:r>
              <w:rPr>
                <w:color w:val="000000" w:themeColor="text1"/>
                <w:sz w:val="22"/>
                <w:szCs w:val="22"/>
                <w:highlight w:val="white"/>
              </w:rPr>
              <w:t xml:space="preserve">(đang giải phóng mặt bằng làm đường 33m)</w:t>
            </w:r>
            <w:r>
              <w:rPr>
                <w:color w:val="000000" w:themeColor="text1"/>
                <w:sz w:val="22"/>
                <w:szCs w:val="22"/>
                <w:highlight w:val="white"/>
              </w:rPr>
              <w:t xml:space="preserve">, mặt tiền 13m, </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w:t>
            </w:r>
            <w:commentRangeStart w:id="2"/>
            <w:r>
              <w:rPr>
                <w:color w:val="000000"/>
                <w:sz w:val="22"/>
                <w:szCs w:val="22"/>
                <w:highlight w:val="white"/>
              </w:rPr>
              <w:t xml:space="preserve">tích</w:t>
            </w:r>
            <w:commentRangeEnd w:id="2"/>
            <w:r>
              <w:commentReference w:id="2"/>
            </w:r>
            <w:r>
              <w:rPr>
                <w:color w:val="000000"/>
                <w:sz w:val="22"/>
                <w:szCs w:val="22"/>
                <w:highlight w:val="white"/>
              </w:rPr>
              <w:t xml:space="preserve">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108,7</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13</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350090" cy="266011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4350089" cy="2660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2.53pt;height:209.46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b/>
          <w:bCs/>
          <w:iCs/>
          <w:highlight w:val="white"/>
        </w:rPr>
      </w:pPr>
      <w:r>
        <w:rPr>
          <w:b/>
          <w:bCs/>
          <w:iCs/>
          <w:highlight w:val="white"/>
          <w:lang w:val="pt-BR"/>
        </w:rPr>
      </w:r>
      <w:r>
        <w:rPr>
          <w:b/>
          <w:bCs/>
          <w:iCs/>
          <w:highlight w:val="white"/>
          <w:lang w:val="pt-BR"/>
        </w:rPr>
        <w:t xml:space="preserve">TSSS2</w:t>
      </w:r>
      <w:r>
        <w:rPr>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0989843626</w:t>
            </w:r>
            <w:r>
              <w:rPr>
                <w:sz w:val="22"/>
                <w:szCs w:val="22"/>
                <w:highlight w:val="white"/>
              </w:rPr>
              <w:t xml:space="preserve"> </w:t>
            </w:r>
            <w:r>
              <w:rPr>
                <w:sz w:val="22"/>
                <w:szCs w:val="22"/>
                <w:highlight w:val="white"/>
              </w:rPr>
              <w:br/>
              <w:t xml:space="preserve">(Diệp Anh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31.590.000.000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28.431.000.000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06/2026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(400m²), Đất trồng cây lâu năm (770m²)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Xã Hạ Long, Tỉnh Quảng Ninh, tiếp giáp đường DT 334, độ rộng đường trước mặt tài sản 44m, mặt tiền 19m</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1170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25464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2546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6.2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81285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8128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1.4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86679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8667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4.4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60449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6044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5.0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91145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9114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07.99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b/>
          <w:bCs/>
          <w:iCs/>
          <w:highlight w:val="white"/>
          <w:lang w:val="pt-BR"/>
        </w:rPr>
        <w:t xml:space="preserve">TSSS 3</w:t>
      </w:r>
      <w:r>
        <w:rPr>
          <w:b/>
          <w:bCs/>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0989843626</w:t>
            </w:r>
            <w:r>
              <w:rPr>
                <w:sz w:val="22"/>
                <w:szCs w:val="22"/>
                <w:highlight w:val="white"/>
              </w:rPr>
              <w:t xml:space="preserve"> </w:t>
            </w:r>
            <w:r>
              <w:rPr>
                <w:sz w:val="22"/>
                <w:szCs w:val="22"/>
                <w:highlight w:val="white"/>
              </w:rPr>
              <w:br/>
              <w:t xml:space="preserve">(Diệp Anh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18.304.000.000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16.473.600.000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06/2026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(300m²), Đất trồng cây lâu năm (532m²)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Tài sản tại: Xã Hạ Long, Tỉnh Quảng Ninh, tiếp giáp đường DT 344, độ rộng đường trước mặt tài sản 7m</w:t>
            </w:r>
            <w:r>
              <w:rPr>
                <w:color w:val="000000" w:themeColor="text1"/>
                <w:sz w:val="22"/>
                <w:szCs w:val="22"/>
                <w:highlight w:val="white"/>
              </w:rPr>
              <w:t xml:space="preserve">(đang giải phóng mặt bằng làm đường 33m)</w:t>
            </w:r>
            <w:r>
              <w:rPr>
                <w:color w:val="000000" w:themeColor="text1"/>
                <w:sz w:val="22"/>
                <w:szCs w:val="22"/>
                <w:highlight w:val="white"/>
              </w:rPr>
            </w:r>
            <w:r>
              <w:rPr>
                <w:sz w:val="22"/>
                <w:szCs w:val="22"/>
                <w:highlight w:val="white"/>
              </w:rPr>
            </w:r>
            <w:r>
              <w:rPr>
                <w:color w:val="000000" w:themeColor="text1"/>
                <w:sz w:val="22"/>
                <w:szCs w:val="22"/>
                <w:highlight w:val="white"/>
              </w:rPr>
              <w:t xml:space="preserve">, mặt tiền 28m</w:t>
            </w:r>
            <w:r>
              <w:rPr>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832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39154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09.57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39154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09.57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78593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40.63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jc w:val="center"/>
        <w:rPr>
          <w:iCs/>
          <w:highlight w:val="none"/>
          <w:lang w:val="pt-BR"/>
        </w:rPr>
      </w:pPr>
      <w:r>
        <w:rPr>
          <w:iCs/>
          <w:lang w:val="pt-BR"/>
        </w:rPr>
        <w:t xml:space="preserve">BIÊN BẢN KHẢO SÁT</w:t>
      </w:r>
      <w:r>
        <w:rPr>
          <w:iCs/>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98293"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9" o:title=""/>
                <o:lock v:ext="edit" rotation="t"/>
              </v:shape>
            </w:pict>
          </mc:Fallback>
        </mc:AlternateContent>
      </w:r>
      <w:r>
        <w:rPr>
          <w:iCs/>
          <w:highlight w:val="none"/>
          <w:lang w:val="pt-BR" w:bidi="pt-BR"/>
        </w:rPr>
      </w:r>
      <w:r>
        <w:rPr>
          <w:iCs/>
          <w:highlight w:val="none"/>
          <w:lang w:val="pt-BR" w:bidi="pt-BR"/>
        </w:rPr>
      </w:r>
      <w:r>
        <w:rPr>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6-03T10:57:41Z" w:initials="NTTD">
    <w:p w14:paraId="00000001" w14:textId="00000001">
      <w:pPr>
        <w:spacing w:line="240" w:after="0" w:lineRule="auto" w:before="0"/>
        <w:ind w:firstLine="0" w:left="0" w:right="0"/>
        <w:jc w:val="left"/>
      </w:pPr>
      <w:r>
        <w:rPr>
          <w:rFonts w:eastAsia="Arial" w:ascii="Arial" w:hAnsi="Arial" w:cs="Arial"/>
          <w:sz w:val="22"/>
        </w:rPr>
        <w:t xml:space="preserve">Thiếu đường giao thông</w:t>
      </w:r>
    </w:p>
  </w:comment>
  <w:comment w:id="1" w:author="Nguyễn Thị Thùy Dương" w:date="2026-06-03T10:46:29Z" w:initials="NTTD">
    <w:p w14:paraId="00000002" w14:textId="00000002">
      <w:pPr>
        <w:spacing w:line="240" w:after="0" w:lineRule="auto" w:before="0"/>
        <w:ind w:firstLine="0" w:left="0" w:right="0"/>
        <w:jc w:val="left"/>
      </w:pPr>
      <w:r>
        <w:rPr>
          <w:rFonts w:eastAsia="Arial" w:ascii="Arial" w:hAnsi="Arial" w:cs="Arial"/>
          <w:sz w:val="22"/>
        </w:rPr>
        <w:t xml:space="preserve">tên?</w:t>
      </w:r>
    </w:p>
  </w:comment>
  <w:comment w:id="0" w:author="Nguyễn Thị Thùy Dương" w:date="2026-06-03T10:45:47Z" w:initials="NTTD">
    <w:p w14:paraId="00000003" w14:textId="00000003">
      <w:pPr>
        <w:spacing w:line="240" w:after="0" w:lineRule="auto" w:before="0"/>
        <w:ind w:firstLine="0" w:left="0" w:right="0"/>
        <w:jc w:val="left"/>
      </w:pPr>
      <w:r>
        <w:rPr>
          <w:rFonts w:eastAsia="Arial" w:ascii="Arial" w:hAnsi="Arial" w:cs="Arial"/>
          <w:sz w:val="22"/>
        </w:rPr>
        <w:t xml:space="preserve">Đánh lại số trang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5BF7EBE" w16cex:dateUtc="2026-06-03T03:57:41Z"/>
  <w16cex:commentExtensible w16cex:durableId="2FD87376" w16cex:dateUtc="2026-06-03T03:46:29Z"/>
  <w16cex:commentExtensible w16cex:durableId="37BE9032" w16cex:dateUtc="2026-06-03T03:45:4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5BF7EBE"/>
  <w16cid:commentId w16cid:paraId="00000002" w16cid:durableId="2FD87376"/>
  <w16cid:commentId w16cid:paraId="00000003" w16cid:durableId="37BE90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F220FC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C7615C9"/>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2772F7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ED19D5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7615DB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2ACE2B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uvienphapluat.vn/chinh-sach-phap-luat-moi/vn/ho-tro-phap-luat/chinh-sach-moi/101037/da-co-nghi-quyet-100-2025-nq-hdnd-ve-bang-gia-dat-quang-ninh-ap-dung-tu-1-1-2026" TargetMode="External"/><Relationship Id="rId18" Type="http://schemas.openxmlformats.org/officeDocument/2006/relationships/image" Target="media/image3.png"/><Relationship Id="rId19" Type="http://schemas.openxmlformats.org/officeDocument/2006/relationships/hyperlink" Target="https://thuvienphapluat.vn/chinh-sach-phap-luat-moi/vn/ho-tro-phap-luat/chinh-sach-moi/101037/da-co-nghi-quyet-100-2025-nq-hdnd-ve-bang-gia-dat-quang-ninh-ap-dung-tu-1-1-2026" TargetMode="Externa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comments" Target="comments.xml" /><Relationship Id="rId41" Type="http://schemas.microsoft.com/office/2011/relationships/commentsExtended" Target="commentsExtended.xml" /><Relationship Id="rId42" Type="http://schemas.microsoft.com/office/2018/08/relationships/commentsExtensible" Target="commentsExtensible.xml" /><Relationship Id="rId43" Type="http://schemas.microsoft.com/office/2016/09/relationships/commentsIds" Target="commentsIds.xml" /><Relationship Id="rId4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280</cp:revision>
  <dcterms:created xsi:type="dcterms:W3CDTF">2025-09-15T09:58:00Z</dcterms:created>
  <dcterms:modified xsi:type="dcterms:W3CDTF">2026-06-03T04:08:54Z</dcterms:modified>
</cp:coreProperties>
</file>