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174468</wp:posOffset>
                </wp:positionV>
                <wp:extent cx="5467350" cy="347665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665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275/2026/0876/VFI-CT.44.A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382, tờ bản đồ số: 24, có địa chỉ: Khu đất phát triển làng nghề thôn Hạ, xã Liên Trung, huyện Đan Phương (nay là xã Ô Diên), thành phố Hà Nội theo Giấy chứng nhận quyền sử dụng </w:t>
                            </w:r>
                            <w:r>
                              <w:rPr>
                                <w:color w:val="000000"/>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3.74pt;mso-position-vertical:absolute;width:430.50pt;height:273.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275/2026/0876/VFI-CT.44.A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382, tờ bản đồ số: 24, có địa chỉ: Khu đất phát triển làng nghề thôn Hạ, xã Liên Trung, huyện Đan Phương (nay là xã Ô Diên), thành phố Hà Nội theo Giấy chứng nhận quyền sử dụng </w:t>
                      </w:r>
                      <w:r>
                        <w:rPr>
                          <w:color w:val="000000"/>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 </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428"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634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489"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275/2026/0876/VFI-CT.44.A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10 tháng 6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Xuân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275/2026/0876/VFI-HĐTĐ.44.A</w:t>
      </w:r>
      <w:r>
        <w:rPr>
          <w:spacing w:val="-4"/>
          <w:lang w:val="vi-VN"/>
        </w:rPr>
        <w:t xml:space="preserve"> ký ngày </w:t>
      </w:r>
      <w:r>
        <w:rPr>
          <w:color w:val="000000" w:themeColor="text1"/>
          <w:spacing w:val="-4"/>
        </w:rPr>
        <w:t xml:space="preserve">01 tháng 6 năm 2026</w:t>
      </w:r>
      <w:r>
        <w:rPr>
          <w:spacing w:val="-4"/>
          <w:lang w:val="vi-VN"/>
        </w:rPr>
        <w:t xml:space="preserve"> </w:t>
      </w:r>
      <w:r>
        <w:rPr>
          <w:spacing w:val="-4"/>
          <w:lang w:val="vi-VN"/>
        </w:rPr>
        <w:t xml:space="preserve">giữa </w:t>
      </w:r>
      <w:r>
        <w:rPr>
          <w:color w:val="000000" w:themeColor="text1"/>
          <w:spacing w:val="-4"/>
        </w:rPr>
        <w:t xml:space="preserve">Ông Nguyễn Xuân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275/2026/0876/VFI-BC.44.A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ÔNG NGUYỄN XUÂN THÀNH</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001076012705</w:t>
            </w:r>
            <w:r>
              <w:rPr>
                <w:color w:val="ff0000"/>
                <w:lang w:val="pt-BR"/>
              </w:rPr>
            </w:r>
            <w:r>
              <w:rPr>
                <w:color w:val="ff0000"/>
                <w:lang w:val="pt-BR"/>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r>
            <w:r>
              <w:rPr>
                <w:color w:val="000000" w:themeColor="text1"/>
                <w:lang w:val="vi-VN"/>
              </w:rPr>
              <w:t xml:space="preserve">Cụm 1, xã Ô </w:t>
            </w:r>
            <w:r>
              <w:rPr>
                <w:color w:val="ff0000"/>
                <w:lang w:val="vi-VN"/>
              </w:rPr>
              <w:t xml:space="preserve">Diên,</w:t>
            </w:r>
            <w:r>
              <w:rPr>
                <w:color w:val="000000" w:themeColor="text1"/>
                <w:lang w:val="vi-VN"/>
              </w:rPr>
              <w:t xml:space="preserve"> thành phố Hà Nội</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382, tờ bản đồ số: 24, có địa chỉ: Khu đất phát triển làng nghề thôn Hạ, xã Liên Trung, huyện Đan Phương (</w:t>
      </w:r>
      <w:r>
        <w:rPr>
          <w:i/>
          <w:iCs/>
          <w:color w:val="000000" w:themeColor="text1"/>
        </w:rPr>
        <w:t xml:space="preserve">nay là xã Ô Diên</w:t>
      </w:r>
      <w:r>
        <w:rPr>
          <w:color w:val="000000" w:themeColor="text1"/>
        </w:rPr>
        <w:t xml:space="preserve">), thành phố Hà Nội theo Giấy chứng nhận quyền sử dụng </w:t>
      </w:r>
      <w:r>
        <w:rPr>
          <w:color w:val="000000" w:themeColor="text1"/>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98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510"/>
        <w:gridCol w:w="1384"/>
        <w:gridCol w:w="1843"/>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1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36"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382, tờ bản đồ số: 24, có địa chỉ: Khu đất phát triển làng nghề thôn Hạ, xã Liên Trung, huyện Đan Phương (</w:t>
            </w:r>
            <w:r>
              <w:rPr>
                <w:b/>
                <w:bCs/>
                <w:i/>
                <w:iCs/>
                <w:color w:val="000000"/>
              </w:rPr>
              <w:t xml:space="preserve">nay là xã Ô Diên</w:t>
            </w:r>
            <w:r>
              <w:rPr>
                <w:b/>
                <w:bCs/>
                <w:color w:val="000000"/>
              </w:rPr>
              <w:t xml:space="preserve">), thành phố Hà Nội theo Giấy chứng nhận quyền sử dụng </w:t>
            </w:r>
            <w:r>
              <w:rPr>
                <w:b/>
                <w:bCs/>
                <w:color w:val="000000"/>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b/>
                <w:bCs/>
              </w:rPr>
              <w:t xml:space="preserve">.</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510" w:type="dxa"/>
            <w:vAlign w:val="center"/>
            <w:textDirection w:val="lrTb"/>
            <w:noWrap w:val="false"/>
          </w:tcPr>
          <w:p>
            <w:pPr>
              <w:pBdr/>
              <w:spacing w:after="40" w:before="40" w:line="288" w:lineRule="auto"/>
              <w:ind/>
              <w:jc w:val="both"/>
              <w:rPr>
                <w:b w:val="0"/>
                <w:bCs w:val="0"/>
              </w:rPr>
            </w:pPr>
            <w:r>
              <w:rPr>
                <w:b w:val="0"/>
                <w:bCs w:val="0"/>
              </w:rPr>
              <w:t xml:space="preserve">Đất cơ sở sản xuất phi nông nghiệp (</w:t>
            </w:r>
            <w:r>
              <w:rPr>
                <w:b w:val="0"/>
                <w:bCs w:val="0"/>
                <w:i/>
                <w:iCs/>
              </w:rPr>
              <w:t xml:space="preserve">sử dụng đến ngày 04/12/2069; thuê đất trả tiền 01 lần).</w:t>
            </w:r>
            <w:r>
              <w:rPr>
                <w:b w:val="0"/>
                <w:bCs w:val="0"/>
              </w:rPr>
            </w:r>
            <w:r>
              <w:rPr>
                <w:b w:val="0"/>
                <w:bCs w:val="0"/>
              </w:rPr>
            </w:r>
          </w:p>
        </w:tc>
        <w:tc>
          <w:tcPr>
            <w:tcBorders/>
            <w:tcW w:w="1384" w:type="dxa"/>
            <w:vAlign w:val="center"/>
            <w:textDirection w:val="lrTb"/>
            <w:noWrap/>
          </w:tcPr>
          <w:p>
            <w:pPr>
              <w:pBdr/>
              <w:spacing w:after="40" w:before="40" w:line="288" w:lineRule="auto"/>
              <w:ind/>
              <w:jc w:val="center"/>
              <w:rPr>
                <w:color w:val="000000"/>
              </w:rPr>
            </w:pPr>
            <w:r>
              <w:rPr>
                <w:color w:val="000000" w:themeColor="text1"/>
              </w:rPr>
              <w:t xml:space="preserve">390,0</w:t>
            </w:r>
            <w:r>
              <w:rPr>
                <w:color w:val="000000"/>
              </w:rPr>
            </w:r>
            <w:r>
              <w:rPr>
                <w:color w:val="000000"/>
              </w:rPr>
            </w:r>
          </w:p>
        </w:tc>
        <w:tc>
          <w:tcPr>
            <w:shd w:val="clear" w:color="000000" w:fill="ffffff"/>
            <w:tcBorders/>
            <w:tcW w:w="1843" w:type="dxa"/>
            <w:vAlign w:val="center"/>
            <w:textDirection w:val="lrTb"/>
            <w:noWrap w:val="false"/>
          </w:tcPr>
          <w:p>
            <w:pPr>
              <w:pBdr/>
              <w:spacing w:after="40" w:before="40" w:line="288" w:lineRule="auto"/>
              <w:ind/>
              <w:jc w:val="center"/>
              <w:rPr/>
            </w:pPr>
            <w:r>
              <w:rPr>
                <w:color w:val="000000" w:themeColor="text1"/>
              </w:rPr>
              <w:t xml:space="preserve">25.000.000</w:t>
            </w: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9.750.000.000</w:t>
            </w:r>
            <w:r/>
          </w:p>
        </w:tc>
      </w:tr>
      <w:tr>
        <w:trPr>
          <w:trHeight w:val="20"/>
        </w:trPr>
        <w:tc>
          <w:tcPr>
            <w:gridSpan w:val="4"/>
            <w:tcBorders/>
            <w:tcW w:w="741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rPr>
              <w:t xml:space="preserve">9.750.000.000</w:t>
            </w:r>
            <w:r>
              <w:rPr>
                <w:b/>
                <w:bCs/>
                <w:color w:val="000000"/>
              </w:rPr>
            </w:r>
            <w:r>
              <w:rPr>
                <w:b/>
                <w:bCs/>
                <w:color w:val="000000"/>
              </w:rPr>
            </w:r>
          </w:p>
        </w:tc>
      </w:tr>
      <w:tr>
        <w:trPr>
          <w:trHeight w:val="20"/>
        </w:trPr>
        <w:tc>
          <w:tcPr>
            <w:gridSpan w:val="5"/>
            <w:tcBorders/>
            <w:tcW w:w="9503"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bảy trăm năm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995"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056"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275/2026/0876/VFI-CT.44.A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10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056" w:type="dxa"/>
            <w:textDirection w:val="lrTb"/>
            <w:noWrap w:val="false"/>
          </w:tcPr>
          <w:p>
            <w:pPr>
              <w:pStyle w:val="1038"/>
              <w:pBdr/>
              <w:spacing w:after="60"/>
              <w:ind/>
              <w:rPr>
                <w:rStyle w:val="1037"/>
                <w:rFonts w:ascii="Times New Roman" w:hAnsi="Times New Roman"/>
                <w:color w:val="000000" w:themeColor="text1"/>
                <w:lang w:val="pt-BR"/>
              </w:rPr>
            </w:pPr>
            <w:r>
              <w:rPr>
                <w:rStyle w:val="1037"/>
                <w:rFonts w:ascii="Times New Roman" w:hAnsi="Times New Roman"/>
                <w:color w:val="000000" w:themeColor="text1"/>
                <w:lang w:val="pt-BR"/>
              </w:rPr>
            </w:r>
            <w:r>
              <w:rPr>
                <w:rStyle w:val="1037"/>
                <w:rFonts w:ascii="Times New Roman" w:hAnsi="Times New Roman"/>
                <w:color w:val="000000" w:themeColor="text1"/>
                <w:lang w:val="pt-BR"/>
              </w:rPr>
            </w:r>
            <w:r>
              <w:rPr>
                <w:rStyle w:val="1037"/>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275/2026/0876/VFI-CT.44.A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XUÂN THÀNH</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color w:val="000000" w:themeColor="text1"/>
                <w:lang w:val="vi-VN"/>
              </w:rPr>
              <w:t xml:space="preserve">001076012705</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Cụm 1, xã </w:t>
            </w:r>
            <w:r>
              <w:rPr>
                <w:color w:val="ff0000"/>
                <w:lang w:val="vi-VN"/>
              </w:rPr>
              <w:t xml:space="preserve">Ô Diên, </w:t>
            </w:r>
            <w:r>
              <w:rPr>
                <w:color w:val="000000" w:themeColor="text1"/>
                <w:lang w:val="vi-VN"/>
              </w:rPr>
              <w:t xml:space="preserve">thành phố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382, tờ bản đồ số: 24, có địa chỉ: Khu đất phát triển làng nghề thôn Hạ, xã Liên Trung, huyện Đan Phương (</w:t>
            </w:r>
            <w:r>
              <w:rPr>
                <w:bCs/>
                <w:i/>
                <w:iCs/>
                <w:color w:val="000000" w:themeColor="text1"/>
                <w:lang w:val="pt-BR"/>
              </w:rPr>
              <w:t xml:space="preserve">nay là xã Ô Diên</w:t>
            </w:r>
            <w:r>
              <w:rPr>
                <w:bCs/>
                <w:color w:val="000000" w:themeColor="text1"/>
                <w:lang w:val="pt-BR"/>
              </w:rPr>
              <w:t xml:space="preserve">), thành phố Hà Nội theo Giấy chứng nhận quyền sử dụng </w:t>
            </w:r>
            <w:r>
              <w:rPr>
                <w:bCs/>
                <w:color w:val="000000" w:themeColor="text1"/>
                <w:lang w:val="pt-BR"/>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đất phát triển làng nghề thôn Hạ, xã Ô Diên,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21.100305555556, 105.72519444444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w:t>
      </w:r>
      <w:r>
        <w:rPr>
          <w:bCs/>
          <w:color w:val="000000" w:themeColor="text1"/>
          <w:lang w:val="pt-BR"/>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275/2026/0876/VFI-HĐTĐ.44.A ngày 01/6/2026 giữa Ông Nguyễn Xuân Thành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Bất động sản (BĐS) tại khu vực làng nghề Đan Phượng (nổi bật nhất là xã Liên Hà – trung tâm làng nghề mộc truyền thống) đang là điểm sáng thu hút dòng tiền nhờ sự cộng hưởng giữa kinh tế làng nghề sầm uất và quy hoạch hạ tầng khu Tây Hà Nội. Đây là thị trư</w:t>
      </w:r>
      <w:r>
        <w:rPr>
          <w:rFonts w:ascii="Times New Roman" w:hAnsi="Times New Roman" w:eastAsia="Times New Roman" w:cs="Times New Roman"/>
          <w:color w:val="000000"/>
          <w:sz w:val="24"/>
          <w:szCs w:val="24"/>
        </w:rPr>
        <w:t xml:space="preserve">ờng lai giữa </w:t>
      </w:r>
      <w:r>
        <w:rPr>
          <w:rFonts w:ascii="Times New Roman" w:hAnsi="Times New Roman" w:eastAsia="Times New Roman" w:cs="Times New Roman"/>
          <w:b/>
          <w:color w:val="000000"/>
          <w:sz w:val="24"/>
          <w:szCs w:val="24"/>
          <w:u w:val="none"/>
        </w:rPr>
        <w:t xml:space="preserve">BĐS sản xuất/kinh doanh</w:t>
      </w:r>
      <w:r>
        <w:rPr>
          <w:rFonts w:ascii="Times New Roman" w:hAnsi="Times New Roman" w:eastAsia="Times New Roman" w:cs="Times New Roman"/>
          <w:color w:val="000000"/>
          <w:sz w:val="24"/>
          <w:szCs w:val="24"/>
        </w:rPr>
        <w:t xml:space="preserve"> và </w:t>
      </w:r>
      <w:r>
        <w:rPr>
          <w:rFonts w:ascii="Times New Roman" w:hAnsi="Times New Roman" w:eastAsia="Times New Roman" w:cs="Times New Roman"/>
          <w:b/>
          <w:color w:val="000000"/>
          <w:sz w:val="24"/>
          <w:szCs w:val="24"/>
          <w:u w:val="none"/>
        </w:rPr>
        <w:t xml:space="preserve">BĐS nhà ở</w:t>
      </w:r>
      <w:r>
        <w:rPr>
          <w:rFonts w:ascii="Times New Roman" w:hAnsi="Times New Roman" w:eastAsia="Times New Roman" w:cs="Times New Roman"/>
          <w:color w:val="000000"/>
          <w:sz w:val="24"/>
          <w:szCs w:val="24"/>
        </w:rPr>
        <w:t xml:space="preserve">, sở hữu mật độ dân số đông đúc, nhịp độ giao thương nhộn nhịp cùng biên độ tăng giá tốt.</w:t>
      </w:r>
      <w:r>
        <w:rPr>
          <w:rFonts w:ascii="Times New Roman" w:hAnsi="Times New Roman" w:cs="Times New Roman"/>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b/>
          <w:color w:val="000000"/>
          <w:sz w:val="24"/>
          <w:szCs w:val="24"/>
        </w:rPr>
        <w:t xml:space="preserve">1. Tổng quan thị trường BĐS Làng nghề Đan Phượng</w:t>
      </w:r>
      <w:r>
        <w:rPr>
          <w:rFonts w:ascii="Times New Roman" w:hAnsi="Times New Roman" w:cs="Times New Roman"/>
          <w:sz w:val="24"/>
          <w:szCs w:val="24"/>
        </w:rPr>
      </w:r>
      <w:r>
        <w:rPr>
          <w:rFonts w:ascii="Times New Roman" w:hAnsi="Times New Roman" w:cs="Times New Roman"/>
          <w:sz w:val="24"/>
          <w:szCs w:val="24"/>
        </w:rPr>
      </w:r>
    </w:p>
    <w:p>
      <w:pPr>
        <w:pStyle w:val="1039"/>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Trung tâm làng nghề:</w:t>
      </w:r>
      <w:r>
        <w:rPr>
          <w:rFonts w:ascii="Times New Roman" w:hAnsi="Times New Roman" w:eastAsia="Times New Roman" w:cs="Times New Roman"/>
          <w:color w:val="000000"/>
          <w:sz w:val="24"/>
          <w:szCs w:val="24"/>
          <w:u w:val="none"/>
        </w:rPr>
        <w:t xml:space="preserve"> Xã Liên Hà là cái nôi của làng nghề mộc Đan Phượng, quy tụ hàng trăm xưởng sản xuất, kho bãi và cửa hàng trưng bày.</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Đặc thù sản phẩm:</w:t>
      </w:r>
      <w:r>
        <w:rPr>
          <w:rFonts w:ascii="Times New Roman" w:hAnsi="Times New Roman" w:eastAsia="Times New Roman" w:cs="Times New Roman"/>
          <w:color w:val="000000"/>
          <w:sz w:val="24"/>
          <w:szCs w:val="24"/>
          <w:u w:val="none"/>
        </w:rPr>
        <w:t xml:space="preserve"> Nhu cầu giao dịch phổ biến chia làm hai loại: </w:t>
      </w:r>
      <w:r>
        <w:rPr>
          <w:rFonts w:ascii="Times New Roman" w:hAnsi="Times New Roman" w:eastAsia="Times New Roman" w:cs="Times New Roman"/>
          <w:b/>
          <w:color w:val="000000"/>
          <w:sz w:val="24"/>
          <w:szCs w:val="24"/>
          <w:u w:val="none"/>
        </w:rPr>
        <w:t xml:space="preserve">Đất cơ sở sản xuất phi nông nghiệp</w:t>
      </w:r>
      <w:r>
        <w:rPr>
          <w:rFonts w:ascii="Times New Roman" w:hAnsi="Times New Roman" w:eastAsia="Times New Roman" w:cs="Times New Roman"/>
          <w:color w:val="000000"/>
          <w:sz w:val="24"/>
          <w:szCs w:val="24"/>
          <w:u w:val="none"/>
        </w:rPr>
        <w:t xml:space="preserve"> (dùng làm xưởng, kho, mặt bằng kinh doanh đồ gỗ) và </w:t>
      </w:r>
      <w:r>
        <w:rPr>
          <w:rFonts w:ascii="Times New Roman" w:hAnsi="Times New Roman" w:eastAsia="Times New Roman" w:cs="Times New Roman"/>
          <w:b/>
          <w:color w:val="000000"/>
          <w:sz w:val="24"/>
          <w:szCs w:val="24"/>
          <w:u w:val="none"/>
        </w:rPr>
        <w:t xml:space="preserve">Đất thổ cư/nhà ở</w:t>
      </w:r>
      <w:r>
        <w:rPr>
          <w:rFonts w:ascii="Times New Roman" w:hAnsi="Times New Roman" w:eastAsia="Times New Roman" w:cs="Times New Roman"/>
          <w:color w:val="000000"/>
          <w:sz w:val="24"/>
          <w:szCs w:val="24"/>
          <w:u w:val="none"/>
        </w:rPr>
        <w:t xml:space="preserve"> phục vụ nhu cầu định cư cho người lao động, chuyên gia trong khu vực.</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Động lực phát triển:</w:t>
      </w:r>
      <w:r>
        <w:rPr>
          <w:rFonts w:ascii="Times New Roman" w:hAnsi="Times New Roman" w:eastAsia="Times New Roman" w:cs="Times New Roman"/>
          <w:color w:val="000000"/>
          <w:sz w:val="24"/>
          <w:szCs w:val="24"/>
          <w:u w:val="none"/>
        </w:rPr>
        <w:t xml:space="preserve"> Đan Phượng đang trên lộ trình hoàn thiện các tiêu chí lên quận. Huyện được hưởng lợi trực tiếp từ các tuyến giao thông trọng điểm như </w:t>
      </w:r>
      <w:r>
        <w:rPr>
          <w:rFonts w:ascii="Times New Roman" w:hAnsi="Times New Roman" w:eastAsia="Times New Roman" w:cs="Times New Roman"/>
          <w:b/>
          <w:color w:val="000000"/>
          <w:sz w:val="24"/>
          <w:szCs w:val="24"/>
          <w:u w:val="none"/>
        </w:rPr>
        <w:t xml:space="preserve">Đại lộ Tây Thăng Long</w:t>
      </w:r>
      <w:r>
        <w:rPr>
          <w:rFonts w:ascii="Times New Roman" w:hAnsi="Times New Roman" w:eastAsia="Times New Roman" w:cs="Times New Roman"/>
          <w:color w:val="000000"/>
          <w:sz w:val="24"/>
          <w:szCs w:val="24"/>
          <w:u w:val="none"/>
        </w:rPr>
        <w:t xml:space="preserve">, đường </w:t>
      </w:r>
      <w:r>
        <w:rPr>
          <w:rFonts w:ascii="Times New Roman" w:hAnsi="Times New Roman" w:eastAsia="Times New Roman" w:cs="Times New Roman"/>
          <w:b/>
          <w:color w:val="000000"/>
          <w:sz w:val="24"/>
          <w:szCs w:val="24"/>
          <w:u w:val="none"/>
        </w:rPr>
        <w:t xml:space="preserve">Vành đai 4</w:t>
      </w:r>
      <w:r>
        <w:rPr>
          <w:rFonts w:ascii="Times New Roman" w:hAnsi="Times New Roman" w:eastAsia="Times New Roman" w:cs="Times New Roman"/>
          <w:color w:val="000000"/>
          <w:sz w:val="24"/>
          <w:szCs w:val="24"/>
          <w:u w:val="none"/>
        </w:rPr>
        <w:t xml:space="preserve"> và cầu Thượng Cát.</w:t>
      </w:r>
      <w:r>
        <w:rPr>
          <w:rFonts w:ascii="Times New Roman" w:hAnsi="Times New Roman" w:eastAsia="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80" w:before="36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2. Các phân khúc BĐS &amp; Mức giá tham khảo</w:t>
      </w:r>
      <w:r>
        <w:rPr>
          <w:rFonts w:ascii="Times New Roman" w:hAnsi="Times New Roman" w:eastAsia="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Mặt bằng giá BĐS tại khu vực làng nghề và lân cận (như xã Liên Hà, Tân Hội) đã có sự biến động rõ rệt dựa trên vị trí và mục đích sử dụng: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Đất thổ cư trong làng/ ngõ nhỏ (ô tô vào được):</w:t>
      </w:r>
      <w:r>
        <w:rPr>
          <w:rFonts w:ascii="Times New Roman" w:hAnsi="Times New Roman" w:eastAsia="Times New Roman" w:cs="Times New Roman"/>
          <w:color w:val="000000"/>
          <w:sz w:val="24"/>
          <w:szCs w:val="24"/>
          <w:u w:val="none"/>
        </w:rPr>
        <w:t xml:space="preserve"> Giá dao động từ (45.000.000) VNĐ - (65.000.000) VNĐ/m². Phù hợp để xây dựng nhà ở hoặc mô hình nhà xưởng kết hợp để ở quy mô nhỏ.</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Đất mặt đường kinh doanh làng nghề (trục chính):</w:t>
      </w:r>
      <w:r>
        <w:rPr>
          <w:rFonts w:ascii="Times New Roman" w:hAnsi="Times New Roman" w:eastAsia="Times New Roman" w:cs="Times New Roman"/>
          <w:color w:val="000000"/>
          <w:sz w:val="24"/>
          <w:szCs w:val="24"/>
          <w:u w:val="none"/>
        </w:rPr>
        <w:t xml:space="preserve"> Giá rơi vào khoảng (70.000.000) VNĐ - (100.000.000) VNĐ/m², tùy thuộc vào diện tích và mặt tiền.</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Đất cơ sở sản xuất/ Kho xưởng (diện tích lớn 200m² - 300m²):</w:t>
      </w:r>
      <w:r>
        <w:rPr>
          <w:rFonts w:ascii="Times New Roman" w:hAnsi="Times New Roman" w:eastAsia="Times New Roman" w:cs="Times New Roman"/>
          <w:color w:val="000000"/>
          <w:sz w:val="24"/>
          <w:szCs w:val="24"/>
          <w:u w:val="none"/>
        </w:rPr>
        <w:t xml:space="preserve"> Các lô đất rộng, đường lớn (xe container tránh nhau) phục vụ sản xuất có mức giá khoảng (15.000.000) VNĐ - (20.000.000) VNĐ/m² tùy vị trí, rất được các hộ gia đình làm nghề săn đón.</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u w:val="none"/>
        </w:rPr>
        <w:t xml:space="preserve">BĐS khu đô thị tiệm cận (Ví dụ: Vinhomes Wonder City):</w:t>
      </w:r>
      <w:r>
        <w:rPr>
          <w:rFonts w:ascii="Times New Roman" w:hAnsi="Times New Roman" w:eastAsia="Times New Roman" w:cs="Times New Roman"/>
          <w:color w:val="000000"/>
          <w:sz w:val="24"/>
          <w:szCs w:val="24"/>
          <w:u w:val="none"/>
        </w:rPr>
        <w:t xml:space="preserve"> Nằm liền kề hoặc giáp ranh khu làng nghề, các căn nhà phố/liền kề tại đây có giá trị cao, khoảng từ (10.000.000.000) VNĐ - (15.000.000.000) VNĐ/căn tùy diện tích.</w:t>
      </w:r>
      <w:r>
        <w:rPr>
          <w:rFonts w:ascii="Times New Roman" w:hAnsi="Times New Roman" w:eastAsia="Times New Roman" w:cs="Times New Roman"/>
          <w:color w:val="000000"/>
          <w:sz w:val="24"/>
          <w:szCs w:val="24"/>
        </w:rPr>
        <w:t xml:space="preserve"> </w:t>
      </w:r>
      <w:r>
        <w:rPr>
          <w:rFonts w:ascii="Times New Roman" w:hAnsi="Times New Roman" w:cs="Times New Roman"/>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8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b/>
          <w:color w:val="000000"/>
          <w:sz w:val="24"/>
          <w:szCs w:val="24"/>
        </w:rPr>
        <w:t xml:space="preserve">3. Đánh giá tiềm năng và rủi ro</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Điểm cộng (Tiềm năng):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Dòng tiền khai thác thật:</w:t>
      </w:r>
      <w:r>
        <w:rPr>
          <w:rFonts w:ascii="Times New Roman" w:hAnsi="Times New Roman" w:eastAsia="Times New Roman" w:cs="Times New Roman"/>
          <w:color w:val="000000"/>
          <w:sz w:val="24"/>
          <w:szCs w:val="24"/>
          <w:u w:val="none"/>
        </w:rPr>
        <w:t xml:space="preserve"> Có thể cho thuê mặt bằng, xưởng hoặc tự kinh doanh đồ gỗ nội thất mang lại thu nhập ổn định ngay lập tức.</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Dư địa tăng giá:</w:t>
      </w:r>
      <w:r>
        <w:rPr>
          <w:rFonts w:ascii="Times New Roman" w:hAnsi="Times New Roman" w:eastAsia="Times New Roman" w:cs="Times New Roman"/>
          <w:color w:val="000000"/>
          <w:sz w:val="24"/>
          <w:szCs w:val="24"/>
          <w:u w:val="none"/>
        </w:rPr>
        <w:t xml:space="preserve"> Nhờ quy hoạch hạ tầng và các khu đô thị lớn lân cận (Vinhomes Đan Phượng) kéo theo sự phát triển về diện mạo đô thị.</w:t>
      </w:r>
      <w:r>
        <w:rPr>
          <w:rFonts w:ascii="Times New Roman" w:hAnsi="Times New Roman" w:eastAsia="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Điểm trừ (Rủi ro):</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2"/>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Môi trường &amp; Vận hành:</w:t>
      </w:r>
      <w:r>
        <w:rPr>
          <w:rFonts w:ascii="Times New Roman" w:hAnsi="Times New Roman" w:eastAsia="Times New Roman" w:cs="Times New Roman"/>
          <w:color w:val="000000"/>
          <w:sz w:val="24"/>
          <w:szCs w:val="24"/>
          <w:u w:val="none"/>
        </w:rPr>
        <w:t xml:space="preserve"> Khu vực làng nghề thường kèm theo tiếng ồn, bụi bặm, và vận tải nặng, điều này làm giảm giá trị của BĐS nếu dùng thuần túy để ở cao cấp.</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numPr>
          <w:ilvl w:val="0"/>
          <w:numId w:val="42"/>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u w:val="none"/>
        </w:rPr>
        <w:t xml:space="preserve">Pháp lý BĐS sản xuất:</w:t>
      </w:r>
      <w:r>
        <w:rPr>
          <w:rFonts w:ascii="Times New Roman" w:hAnsi="Times New Roman" w:eastAsia="Times New Roman" w:cs="Times New Roman"/>
          <w:color w:val="000000"/>
          <w:sz w:val="24"/>
          <w:szCs w:val="24"/>
          <w:u w:val="none"/>
        </w:rPr>
        <w:t xml:space="preserve"> Cần đặc biệt lưu ý kiểm tra kỹ loại hình đất (đất ở hay đất sản xuất kinh doanh/cơ sở phi nông nghiệp) và thời hạn sử dụng đất</w:t>
      </w:r>
      <w:r>
        <w:rPr>
          <w:rFonts w:ascii="Times New Roman" w:hAnsi="Times New Roman" w:eastAsia="Times New Roman" w:cs="Times New Roman"/>
          <w:sz w:val="24"/>
          <w:szCs w:val="24"/>
        </w:rPr>
      </w:r>
      <w:r>
        <w:rPr>
          <w:rFonts w:ascii="Times New Roman" w:hAnsi="Times New Roman" w:cs="Times New Roman"/>
          <w:sz w:val="24"/>
          <w:szCs w:val="24"/>
        </w:rPr>
      </w:r>
    </w:p>
    <w:p>
      <w:pPr>
        <w:pStyle w:val="103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4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225"/>
        <w:gridCol w:w="1955"/>
        <w:gridCol w:w="2262"/>
        <w:gridCol w:w="2686"/>
      </w:tblGrid>
      <w:tr>
        <w:trPr>
          <w:trHeight w:val="18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b/>
                <w:color w:val="000000"/>
                <w:sz w:val="24"/>
              </w:rPr>
              <w:t xml:space="preserve">Quyền sử dụng đất tại thửa đất số: 382, tờ bản đồ số: 24, có địa chỉ: Khu đất phát triển làng nghề thôn Hạ, xã Liên Trung, huyện Đan Phương (</w:t>
            </w:r>
            <w:r>
              <w:rPr>
                <w:rFonts w:ascii="Times New Roman" w:hAnsi="Times New Roman" w:eastAsia="Times New Roman" w:cs="Times New Roman"/>
                <w:b/>
                <w:i/>
                <w:iCs/>
                <w:color w:val="000000"/>
                <w:sz w:val="24"/>
              </w:rPr>
              <w:t xml:space="preserve">nay là xã Ô Diên</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w:t>
            </w:r>
            <w:r>
              <w:rPr>
                <w:rFonts w:ascii="Times New Roman" w:hAnsi="Times New Roman" w:eastAsia="Times New Roman" w:cs="Times New Roman"/>
                <w:b/>
                <w:color w:val="000000"/>
                <w:sz w:val="24"/>
              </w:rPr>
              <w:t xml:space="preserve"> liền với đất số: DQ 437917, Số vào sổ cấp GCN: CN 01665 do Chi nhánh Văn phòng đăng ký đất đai Hà Nội -  huyện Đan Phượng cấp ngày 21/10/2024; Chủ sử dụng đất là Ông Nguyễn Xuân Thành và Bà Nguyễn Thị Tuyết Nhung.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382</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24</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3"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Khu đất phát triển làng nghề thôn Hạ, xã Liên Trung, huyện Đan Phương (nay là xã Ô Diên),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390,0</w:t>
            </w:r>
            <w:r/>
          </w:p>
        </w:tc>
        <w:tc>
          <w:tcPr>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Sử dụng chung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sz w:val="24"/>
                <w:szCs w:val="24"/>
              </w:rPr>
            </w:pPr>
            <w:r>
              <w:rPr>
                <w:rFonts w:ascii="Times New Roman" w:hAnsi="Times New Roman" w:eastAsia="Times New Roman" w:cs="Times New Roman"/>
                <w:color w:val="000000"/>
                <w:sz w:val="24"/>
                <w:szCs w:val="24"/>
              </w:rPr>
              <w:t xml:space="preserve">Đất cơ sở sản xuất phi nông nghiệp</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Đến ngày 04/12/2069</w:t>
            </w:r>
            <w:r/>
          </w:p>
        </w:tc>
      </w:tr>
      <w:tr>
        <w:trPr>
          <w:trHeight w:val="27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Nhà nước cho thuê đất trả tiền một lần.</w:t>
            </w:r>
            <w:r/>
          </w:p>
        </w:tc>
      </w:tr>
      <w:tr>
        <w:trPr>
          <w:trHeight w:val="85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b/>
                <w:color w:val="000000"/>
                <w:sz w:val="24"/>
              </w:rPr>
              <w:t xml:space="preserve">Ghi chú: </w:t>
            </w:r>
            <w:r>
              <w:rPr>
                <w:rFonts w:ascii="Times New Roman" w:hAnsi="Times New Roman" w:eastAsia="Times New Roman" w:cs="Times New Roman"/>
                <w:i/>
                <w:iCs/>
                <w:color w:val="000000"/>
                <w:sz w:val="24"/>
              </w:rPr>
              <w:t xml:space="preserve">Giấy chứng nhận này được cấp đổi từ Giấy chứng nhận quyền sử dụng đất, quyền sở hữu nhà ở và tài sản khác gắn liền với đất số DM 220779 do UBND huyện Đan Phượng cấp ngày 13/9/2023 (do nhận chuyển nhượng).</w:t>
            </w:r>
            <w:r>
              <w:rPr>
                <w:i/>
                <w:iCs/>
              </w:rPr>
            </w:r>
            <w:r>
              <w:rPr>
                <w:bCs/>
                <w:i/>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vMerge w:val="restart"/>
            <w:textDirection w:val="lrTb"/>
            <w:noWrap w:val="false"/>
          </w:tcPr>
          <w:p>
            <w:pPr>
              <w:pBdr/>
              <w:spacing w:after="0" w:before="0" w:line="240" w:lineRule="auto"/>
              <w:ind w:right="57" w:firstLine="0" w:left="142"/>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279445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72920" name=""/>
                              <pic:cNvPicPr>
                                <a:picLocks noChangeAspect="1"/>
                              </pic:cNvPicPr>
                              <pic:nvPr/>
                            </pic:nvPicPr>
                            <pic:blipFill rotWithShape="1">
                              <a:blip r:embed="rId17"/>
                              <a:stretch/>
                            </pic:blipFill>
                            <pic:spPr bwMode="auto">
                              <a:xfrm>
                                <a:off x="0" y="0"/>
                                <a:ext cx="6048374" cy="27944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0.0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81"/>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Vị trí; Giao thông:</w:t>
            </w:r>
            <w:r/>
          </w:p>
        </w:tc>
      </w:tr>
      <w:tr>
        <w:trPr>
          <w:trHeight w:val="508"/>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 thực tế: </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Khu đất phát triển làng nghề thôn Hạ, xã Ô Diên,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tiếp giáp chính:</w:t>
            </w:r>
            <w:r/>
          </w:p>
        </w:tc>
        <w:tc>
          <w:tcPr>
            <w:shd w:val="clear" w:color="ffffff" w:fill="ffffff"/>
            <w:tcBorders>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Ngõ giao thông</w:t>
            </w:r>
            <w:r/>
          </w:p>
        </w:tc>
        <w:tc>
          <w:tcPr>
            <w:shd w:val="clear" w:color="ffffff" w:fill="ffffff"/>
            <w:tcBorders>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Số mặt tiền:</w:t>
            </w:r>
            <w:r/>
          </w:p>
        </w:tc>
        <w:tc>
          <w:tcPr>
            <w:shd w:val="clear" w:color="ffffff" w:fill="ffffff"/>
            <w:tcBorders>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02 mặt tiền trước sau</w:t>
            </w:r>
            <w:r/>
          </w:p>
        </w:tc>
      </w:tr>
      <w:tr>
        <w:trPr>
          <w:trHeight w:val="1119"/>
        </w:trPr>
        <w:tc>
          <w:tcPr>
            <w:tcBorders>
              <w:left w:val="single" w:color="000000" w:sz="6" w:space="0"/>
              <w:bottom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8m</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8m</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Khoảng cách đến trục đường chính:</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Cách đường đê Thượng Cát khoảng 400m.</w:t>
            </w:r>
            <w:r/>
          </w:p>
        </w:tc>
      </w:tr>
      <w:tr>
        <w:trPr>
          <w:trHeight w:val="83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3" w:type="dxa"/>
            <w:vAlign w:val="center"/>
            <w:textDirection w:val="lrTb"/>
            <w:noWrap w:val="false"/>
          </w:tcPr>
          <w:p>
            <w:pPr>
              <w:pBdr/>
              <w:spacing w:after="0" w:before="0" w:line="240" w:lineRule="auto"/>
              <w:ind w:right="57" w:firstLine="0" w:left="14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Nam: tiếp giáp đường giao thông rộng 8m;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right="57" w:firstLine="0" w:left="142"/>
              <w:rPr/>
            </w:pPr>
            <w:r>
              <w:rPr>
                <w:rFonts w:ascii="Times New Roman" w:hAnsi="Times New Roman" w:eastAsia="Times New Roman" w:cs="Times New Roman"/>
                <w:color w:val="000000"/>
                <w:sz w:val="24"/>
              </w:rPr>
              <w:t xml:space="preserve">+ Hướng Đông Bắc: tiếp giáp đường giao thông rộng 2,8m;</w:t>
              <w:br/>
              <w:t xml:space="preserve">+ Các hường còn lại: tiếp giáp thửa đất khác.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21.100590918371417, 105.72426370369895</w:t>
            </w:r>
            <w:r>
              <w:rPr>
                <w:rFonts w:ascii="Times New Roman" w:hAnsi="Times New Roman" w:eastAsia="Times New Roman" w:cs="Times New Roman"/>
                <w:color w:val="000000"/>
                <w:sz w:val="24"/>
              </w:rPr>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613018"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55309905" name="" descr=""/>
                              <pic:cNvPicPr/>
                              <pic:nvPr/>
                            </pic:nvPicPr>
                            <pic:blipFill rotWithShape="1">
                              <a:blip r:embed="rId18"/>
                              <a:stretch/>
                            </pic:blipFill>
                            <pic:spPr bwMode="auto">
                              <a:xfrm rot="0" flipH="0" flipV="0">
                                <a:off x="0" y="0"/>
                                <a:ext cx="561301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1.97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Diện tích; Kích thước; Hình dáng</w:t>
            </w:r>
            <w:r/>
          </w:p>
        </w:tc>
      </w:tr>
      <w:tr>
        <w:trPr>
          <w:trHeight w:val="7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390,0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0,0</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11,26</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40,69</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Tây Nam</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Ổn định</w:t>
            </w: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Làm nhà xưởng sản xuất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97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955"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Hạ tầng khu công nghiệp,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226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môi trường an ninh: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86"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 Tài sản gắn liền với đất: </w:t>
            </w:r>
            <w:r/>
          </w:p>
        </w:tc>
      </w:tr>
      <w:tr>
        <w:trPr>
          <w:trHeight w:val="804"/>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Tại thời điểm khảo sát, dưới sự hướng dẫn của chủ tài sản, trên đất có CTXD Nhà xưởng 01 tầng, diện tích xây dựng khoảng 390m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DQ 437917.</w:t>
            </w:r>
            <w:r/>
          </w:p>
        </w:tc>
      </w:tr>
    </w:tbl>
    <w:p>
      <w:pPr>
        <w:pBdr/>
        <w:shd w:val="nil" w:color="auto"/>
        <w:spacing/>
        <w:ind/>
        <w:rPr>
          <w:u w:val="single"/>
        </w:rPr>
      </w:pPr>
      <w:r>
        <w:rPr>
          <w:u w:val="single"/>
        </w:rPr>
        <w:t xml:space="preserve">   </w:t>
      </w:r>
      <w:r>
        <w:rPr>
          <w:b/>
          <w:bCs/>
          <w:u w:val="single"/>
        </w:rPr>
        <w:t xml:space="preserve">Các</w:t>
      </w:r>
      <w:r>
        <w:rPr>
          <w:b/>
          <w:bCs/>
          <w:u w:val="single"/>
        </w:rPr>
        <w:t xml:space="preserve"> lợi thế thương mại </w:t>
      </w:r>
      <w:r>
        <w:rPr>
          <w:b/>
          <w:bCs/>
          <w:u w:val="single"/>
        </w:rPr>
        <w:t xml:space="preserve">của thửa đất:</w:t>
      </w:r>
      <w:r>
        <w:rPr>
          <w:u w:val="single"/>
        </w:rPr>
      </w:r>
      <w:r>
        <w:rPr>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spacing w:after="0" w:before="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xưởng 01 tầng, diện tích xây dựng khoảng 390m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DQ 437917</w:t>
      </w:r>
      <w:r>
        <w:t xml:space="preserve">, đồng thời, Tổ thẩm định cũng không nhận được bất kỳ giấy tờ pháp lý nào liên quan đến chủ tài sản. Theo đề nghị của Khách hàng/ Ngân hàng, Tổ thẩm định không xác định giá trị CTXD trên nhưng vẫn coi đó là phần không thể thiếu của tài sản thẩm định.</w:t>
      </w: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8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Khu đất phát triển làng nghề thôn Hạ, xã Ô Diên,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Cụm công nghiệp Song Phượng, xã Đan Phượng,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đất phát triển làng nghề, xã Ô Diên,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đất phát triển làng nghề, xã Ô Diên,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https://guland.vn/post/ban-cat-lo-2-lo-dat-1200m2-va-1318m2-cum-lang-nghe-song-phuong-dan-phuong-ha-noi-1410982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0902259222</w:t>
            </w:r>
            <w:r>
              <w:rPr>
                <w:sz w:val="22"/>
                <w:szCs w:val="22"/>
              </w:rPr>
              <w:t xml:space="preserve"> </w:t>
            </w:r>
            <w:r>
              <w:rPr>
                <w:sz w:val="22"/>
                <w:szCs w:val="22"/>
              </w:rPr>
              <w:br/>
              <w:t xml:space="preserve">(</w:t>
            </w:r>
            <w:r>
              <w:rPr>
                <w:sz w:val="22"/>
                <w:szCs w:val="22"/>
              </w:rPr>
              <w:t xml:space="preserve">Đông Vũ</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0363680496</w:t>
            </w:r>
            <w:r>
              <w:rPr>
                <w:sz w:val="22"/>
                <w:szCs w:val="22"/>
              </w:rPr>
              <w:br/>
            </w:r>
            <w:r>
              <w:rPr>
                <w:sz w:val="22"/>
                <w:szCs w:val="22"/>
              </w:rPr>
              <w:t xml:space="preserve">(</w:t>
            </w:r>
            <w:r>
              <w:rPr>
                <w:sz w:val="22"/>
                <w:szCs w:val="22"/>
              </w:rPr>
              <w:t xml:space="preserve">Mai Lan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0965023988</w:t>
            </w:r>
            <w:r>
              <w:rPr>
                <w:sz w:val="22"/>
                <w:szCs w:val="22"/>
              </w:rPr>
              <w:br/>
            </w:r>
            <w:r>
              <w:rPr>
                <w:sz w:val="22"/>
                <w:szCs w:val="22"/>
              </w:rPr>
              <w:t xml:space="preserve">(</w:t>
            </w:r>
            <w:r>
              <w:rPr>
                <w:sz w:val="22"/>
                <w:szCs w:val="22"/>
              </w:rPr>
              <w:t xml:space="preserve">Như Thạch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Chưa có </w:t>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04/12/2069)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01/01/2075)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01/04/2069)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04/04/2069)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Thuộc Khu đất phát triển làng nghê thôn Hạ, xã Ô Diên,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Thuộc</w:t>
            </w:r>
            <w:r>
              <w:rPr>
                <w:color w:val="000000" w:themeColor="text1"/>
                <w:sz w:val="22"/>
                <w:szCs w:val="22"/>
              </w:rPr>
              <w:t xml:space="preserve"> Cụm công nghiệp Song Phượng,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Thuộc</w:t>
            </w:r>
            <w:r>
              <w:rPr>
                <w:color w:val="000000" w:themeColor="text1"/>
                <w:sz w:val="22"/>
                <w:szCs w:val="22"/>
              </w:rPr>
              <w:t xml:space="preserve"> </w:t>
            </w:r>
            <w:r>
              <w:rPr>
                <w:color w:val="000000" w:themeColor="text1"/>
                <w:sz w:val="22"/>
                <w:szCs w:val="22"/>
              </w:rPr>
              <w:t xml:space="preserve">Khu đất phát triển làng nghề, xã Ô Diên,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Thuộc</w:t>
            </w:r>
            <w:r>
              <w:rPr>
                <w:color w:val="000000" w:themeColor="text1"/>
                <w:sz w:val="22"/>
                <w:szCs w:val="22"/>
              </w:rPr>
              <w:t xml:space="preserve"> </w:t>
            </w:r>
            <w:r>
              <w:rPr>
                <w:color w:val="000000" w:themeColor="text1"/>
                <w:sz w:val="22"/>
                <w:szCs w:val="22"/>
              </w:rPr>
              <w:t xml:space="preserve">Khu đất phát triển làng nghề, xã Ô Diên,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6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Nguồn gốc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nước cho thuê trả tiền một lần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nước cho thuê trả tiền hàng năm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nước cho thuê trả tiền hàng năm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nước cho thuê trả tiền một lần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xưởng 01 tầng, diện tích xây dựng khoảng 300m</w:t>
            </w:r>
            <w:r>
              <w:rPr>
                <w:color w:val="000000" w:themeColor="text1"/>
                <w:sz w:val="22"/>
                <w:szCs w:val="22"/>
                <w:vertAlign w:val="superscript"/>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397.644.240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21.090.000.000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ff0000"/>
                <w:sz w:val="20"/>
                <w:szCs w:val="20"/>
              </w:rPr>
            </w:pPr>
            <w:r>
              <w:rPr>
                <w:b/>
                <w:bCs/>
                <w:color w:val="ff0000"/>
                <w:sz w:val="22"/>
                <w:szCs w:val="22"/>
              </w:rPr>
              <w:t xml:space="preserve">4.732.355.760</w:t>
            </w:r>
            <w:r>
              <w:rPr>
                <w:b/>
                <w:bCs/>
                <w:color w:val="ff0000"/>
                <w:sz w:val="20"/>
                <w:szCs w:val="20"/>
              </w:rPr>
            </w:r>
            <w:r>
              <w:rPr>
                <w:b/>
                <w:bCs/>
                <w:color w:val="ff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7.830.000.000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17.575.000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15.774.519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26.100.000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Nguồn gốc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667"/>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0"/>
                <w:szCs w:val="20"/>
              </w:rPr>
            </w:pPr>
            <w:r>
              <w:rPr>
                <w:color w:val="000000" w:themeColor="text1"/>
                <w:sz w:val="22"/>
                <w:szCs w:val="22"/>
              </w:rPr>
              <w:t xml:space="preserve">21.090.000.000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4.732.355.760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7.830.000.000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17.575.000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15.774.519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26.100.000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7"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ff0000"/>
                <w:sz w:val="22"/>
                <w:szCs w:val="22"/>
              </w:rPr>
            </w:pPr>
            <w:r>
              <w:rPr>
                <w:color w:val="ff0000"/>
                <w:sz w:val="22"/>
                <w:szCs w:val="22"/>
              </w:rPr>
              <w:t xml:space="preserve">Chưa có Giấy chứng nhận quyền sử dụng đất</w:t>
            </w:r>
            <w:r>
              <w:rPr>
                <w:b/>
                <w:bCs/>
                <w:color w:val="ff0000"/>
                <w:sz w:val="22"/>
                <w:szCs w:val="22"/>
              </w:rPr>
            </w:r>
            <w:r>
              <w:rPr>
                <w:b/>
                <w:bCs/>
                <w:color w:val="ff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30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r>
            <w:r>
              <w:rPr>
                <w:rFonts w:ascii="Times New Roman" w:hAnsi="Times New Roman" w:eastAsia="Times New Roman" w:cs="Times New Roman"/>
                <w:color w:val="ff0000"/>
                <w:sz w:val="22"/>
                <w:szCs w:val="22"/>
                <w:highlight w:val="white"/>
              </w:rPr>
              <w:t xml:space="preserve">878.750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r>
            <w:r>
              <w:rPr>
                <w:rFonts w:ascii="Times New Roman" w:hAnsi="Times New Roman" w:eastAsia="Times New Roman" w:cs="Times New Roman"/>
                <w:color w:val="ff0000"/>
                <w:sz w:val="22"/>
                <w:szCs w:val="22"/>
                <w:highlight w:val="white"/>
              </w:rPr>
              <w:t xml:space="preserve">18.453.750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15.774.519</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cơ sở sản xuất phi nông nghiệp</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cơ sở sản xuất phi nông nghiệp</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ff0000"/>
                <w:sz w:val="22"/>
                <w:szCs w:val="22"/>
                <w:highlight w:val="white"/>
              </w:rPr>
              <w:t xml:space="preserve">18.453.750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15.774.519</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04/12/2069)</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Có thời hạn (đến 01/01/2075)</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Có thời hạn (đến 01/04/2069)</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04/04/2069)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-1.757.500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r>
            <w:r>
              <w:rPr>
                <w:rFonts w:ascii="Times New Roman" w:hAnsi="Times New Roman" w:eastAsia="Times New Roman" w:cs="Times New Roman"/>
                <w:color w:val="ff0000"/>
                <w:sz w:val="22"/>
                <w:szCs w:val="22"/>
                <w:highlight w:val="white"/>
              </w:rPr>
              <w:t xml:space="preserve">16.696.250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15.774.519</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Thuộc Khu đất phát triển làng nghê thôn Hạ, xã Ô Diên, thành phố Hà Nội</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Thuộc</w:t>
            </w:r>
            <w:r>
              <w:rPr>
                <w:rFonts w:ascii="Times New Roman" w:hAnsi="Times New Roman" w:eastAsia="Times New Roman" w:cs="Times New Roman"/>
                <w:color w:val="000000" w:themeColor="text1"/>
                <w:sz w:val="22"/>
                <w:szCs w:val="22"/>
              </w:rPr>
              <w:t xml:space="preserve"> Cụm công nghiệp Song Phượng, thành phố Hà Nội</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Thuộc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Khu đất phát triển làng nghề, xã Ô Diên, thành phố Hà Nội</w:t>
            </w:r>
            <w:r>
              <w:rPr>
                <w:rFonts w:ascii="Times New Roman" w:hAnsi="Times New Roman" w:eastAsia="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Thuộc</w:t>
            </w:r>
            <w:r>
              <w:rPr>
                <w:color w:val="000000" w:themeColor="text1"/>
                <w:sz w:val="22"/>
                <w:szCs w:val="22"/>
              </w:rPr>
              <w:t xml:space="preserve"> </w:t>
            </w:r>
            <w:r>
              <w:rPr>
                <w:color w:val="000000" w:themeColor="text1"/>
                <w:sz w:val="22"/>
                <w:szCs w:val="22"/>
              </w:rPr>
              <w:t xml:space="preserve">Khu đất phát triển làng nghề, xã Ô Diên,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ff0000"/>
                <w:sz w:val="22"/>
                <w:szCs w:val="22"/>
                <w:highlight w:val="white"/>
              </w:rPr>
              <w:t xml:space="preserve">16.696.250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15.774.519</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1.577.452</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ff0000"/>
                <w:sz w:val="22"/>
                <w:szCs w:val="22"/>
                <w:highlight w:val="white"/>
              </w:rPr>
              <w:t xml:space="preserve">16.696.250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17.351.971</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ff0000"/>
                <w:sz w:val="22"/>
                <w:szCs w:val="22"/>
                <w:highlight w:val="white"/>
              </w:rPr>
              <w:t xml:space="preserve">16.696.250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17.351.971</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390,0</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1.200,0</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300,0</w:t>
            </w: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ff0000"/>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ff0000"/>
                <w:sz w:val="22"/>
                <w:szCs w:val="22"/>
                <w:highlight w:val="white"/>
              </w:rPr>
              <w:t xml:space="preserve">4.393.750</w:t>
            </w:r>
            <w:r>
              <w:rPr>
                <w:rFonts w:ascii="Times New Roman" w:hAnsi="Times New Roman" w:eastAsia="Times New Roman" w:cs="Times New Roman"/>
                <w:color w:val="ff0000"/>
                <w:sz w:val="22"/>
                <w:szCs w:val="22"/>
              </w:rPr>
            </w:r>
            <w:r>
              <w:rPr>
                <w:rFonts w:ascii="Times New Roman" w:hAnsi="Times New Roman" w:cs="Times New Roman"/>
                <w:color w:val="ff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21.090.000</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17.351.971</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11,26</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color w:val="000000" w:themeColor="text1"/>
                <w:sz w:val="22"/>
                <w:szCs w:val="22"/>
              </w:rPr>
              <w:t xml:space="preserve">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-1.757.500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19.332.500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17.351.971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878.750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20.211.250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17.351.971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-351.500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t xml:space="preserve">19.859.750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17.036.481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28.159.000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Nguồn gốc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nước cho thuê trả tiền một lần</w:t>
            </w:r>
            <w:r>
              <w:rPr>
                <w:color w:val="000000" w:themeColor="text1"/>
                <w:sz w:val="22"/>
                <w:szCs w:val="22"/>
              </w:rPr>
            </w:r>
            <w:r>
              <w:rPr>
                <w:color w:val="000000" w:themeColor="text1"/>
                <w:sz w:val="22"/>
                <w:szCs w:val="22"/>
              </w:rPr>
            </w:r>
          </w:p>
        </w:tc>
        <w:tc>
          <w:tcPr>
            <w:shd w:val="clear" w:color="000000" w:fill="ffffff"/>
            <w:tcBorders/>
            <w:tcW w:w="1667"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nước cho thuê trả tiền hàng năm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nước cho thuê trả tiền hàng năm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nước cho thuê trả tiền một lần</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pPr>
            <w:r>
              <w:rPr>
                <w:color w:val="000000" w:themeColor="text1"/>
                <w:sz w:val="22"/>
                <w:szCs w:val="22"/>
              </w:rPr>
              <w:t xml:space="preserve">5.272.500</w:t>
            </w:r>
            <w:r>
              <w:rPr>
                <w:color w:val="000000" w:themeColor="text1"/>
                <w:sz w:val="22"/>
                <w:szCs w:val="22"/>
              </w:rPr>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4.732.356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25.132.250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21.768.837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28.159.000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25.132.250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21.768.837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28.159.000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71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25.020.029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color w:val="000000"/>
                <w:sz w:val="22"/>
                <w:szCs w:val="22"/>
              </w:rPr>
            </w:pPr>
            <w:r>
              <w:rPr>
                <w:color w:val="000000" w:themeColor="text1"/>
                <w:sz w:val="22"/>
                <w:szCs w:val="22"/>
              </w:rPr>
              <w:t xml:space="preserve">0,45%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pPr>
              <w:pBdr/>
              <w:spacing/>
              <w:ind/>
              <w:jc w:val="center"/>
              <w:rPr>
                <w:b/>
                <w:bCs/>
                <w:color w:val="000000"/>
                <w:sz w:val="22"/>
                <w:szCs w:val="22"/>
              </w:rPr>
            </w:pPr>
            <w:r>
              <w:rPr>
                <w:color w:val="000000" w:themeColor="text1"/>
                <w:sz w:val="22"/>
                <w:szCs w:val="22"/>
              </w:rPr>
              <w:t xml:space="preserve">15.290.250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6.625.298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3.161.000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color w:val="ff0000"/>
                <w:sz w:val="22"/>
                <w:szCs w:val="22"/>
              </w:rPr>
            </w:pPr>
            <w:r>
              <w:rPr>
                <w:color w:val="ff0000"/>
                <w:sz w:val="22"/>
                <w:szCs w:val="22"/>
              </w:rPr>
              <w:t xml:space="preserve">2% - 25%</w:t>
            </w:r>
            <w:r>
              <w:rPr>
                <w:color w:val="ff0000"/>
                <w:sz w:val="22"/>
                <w:szCs w:val="22"/>
              </w:rPr>
            </w:r>
            <w:r>
              <w:rPr>
                <w:color w:val="ff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67" w:type="dxa"/>
            <w:vAlign w:val="center"/>
            <w:textDirection w:val="lrTb"/>
            <w:noWrap/>
          </w:tcPr>
          <w:p>
            <w:pPr>
              <w:pBdr/>
              <w:spacing/>
              <w:ind/>
              <w:jc w:val="center"/>
              <w:rPr>
                <w:sz w:val="22"/>
                <w:szCs w:val="22"/>
              </w:rPr>
            </w:pPr>
            <w:r>
              <w:rPr>
                <w:color w:val="000000" w:themeColor="text1"/>
                <w:sz w:val="22"/>
                <w:szCs w:val="22"/>
              </w:rPr>
              <w:t xml:space="preserve">7.557.250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5.994.318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2.059.000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w:t>
      </w:r>
      <w:r>
        <w:t xml:space="preserve"> -12,99</w:t>
      </w:r>
      <w:r>
        <w:t xml:space="preserve">% đến</w:t>
      </w:r>
      <w:r>
        <w:t xml:space="preserve"> </w:t>
      </w:r>
      <w:r>
        <w:t xml:space="preserve">12,55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25.132.250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8.379.092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21.768.837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7.255.553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28.159.000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9.385.395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25.020.040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rPr>
          <w:highlight w:val="none"/>
        </w:rPr>
      </w:r>
    </w:p>
    <w:tbl>
      <w:tblPr>
        <w:tblW w:w="498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510"/>
        <w:gridCol w:w="1384"/>
        <w:gridCol w:w="1843"/>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1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36"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382, tờ bản đồ số: 24, có địa chỉ: Khu đất phát triển làng nghề thôn Hạ, xã Liên Trung, huyện Đan Phương (</w:t>
            </w:r>
            <w:r>
              <w:rPr>
                <w:b/>
                <w:bCs/>
                <w:i/>
                <w:iCs/>
                <w:color w:val="000000"/>
              </w:rPr>
              <w:t xml:space="preserve">nay là xã Ô Diên</w:t>
            </w:r>
            <w:r>
              <w:rPr>
                <w:b/>
                <w:bCs/>
                <w:color w:val="000000"/>
              </w:rPr>
              <w:t xml:space="preserve">), thành phố Hà Nội theo Giấy chứng nhận quyền sử dụng </w:t>
            </w:r>
            <w:r>
              <w:rPr>
                <w:b/>
                <w:bCs/>
                <w:color w:val="000000"/>
              </w:rPr>
              <w:t xml:space="preserve">đất, quyền sở hữu nhà ở và tài sản khác gắn liền với đất số: DQ 437917, Số vào sổ cấp GCN: CN 01665 do Chi nhánh Văn phòng đăng ký đất đai Hà Nội -  huyện Đan Phượng cấp ngày 21/10/2024; Chủ sử dụng đất là Ông Nguyễn Xuân Thành và Bà Nguyễn Thị Tuyết Nhung</w:t>
            </w:r>
            <w:r>
              <w:rPr>
                <w:b/>
                <w:bCs/>
              </w:rPr>
              <w:t xml:space="preserve">.</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510" w:type="dxa"/>
            <w:vAlign w:val="center"/>
            <w:textDirection w:val="lrTb"/>
            <w:noWrap w:val="false"/>
          </w:tcPr>
          <w:p>
            <w:pPr>
              <w:pBdr/>
              <w:spacing w:after="40" w:before="40" w:line="288" w:lineRule="auto"/>
              <w:ind/>
              <w:jc w:val="both"/>
              <w:rPr>
                <w:b w:val="0"/>
                <w:bCs w:val="0"/>
              </w:rPr>
            </w:pPr>
            <w:r>
              <w:rPr>
                <w:b w:val="0"/>
                <w:bCs w:val="0"/>
              </w:rPr>
              <w:t xml:space="preserve">Đất cơ sở sản xuất phi nông nghiệp (</w:t>
            </w:r>
            <w:r>
              <w:rPr>
                <w:b w:val="0"/>
                <w:bCs w:val="0"/>
                <w:i/>
                <w:iCs/>
              </w:rPr>
              <w:t xml:space="preserve">sử dụng đến ngày 04/12/2069; thuê đất trả tiền 01 lần).</w:t>
            </w:r>
            <w:r>
              <w:rPr>
                <w:b w:val="0"/>
                <w:bCs w:val="0"/>
              </w:rPr>
            </w:r>
            <w:r>
              <w:rPr>
                <w:b w:val="0"/>
                <w:bCs w:val="0"/>
              </w:rPr>
            </w:r>
          </w:p>
        </w:tc>
        <w:tc>
          <w:tcPr>
            <w:tcBorders/>
            <w:tcW w:w="1384" w:type="dxa"/>
            <w:vAlign w:val="center"/>
            <w:textDirection w:val="lrTb"/>
            <w:noWrap/>
          </w:tcPr>
          <w:p>
            <w:pPr>
              <w:pBdr/>
              <w:spacing w:after="40" w:before="40" w:line="288" w:lineRule="auto"/>
              <w:ind/>
              <w:jc w:val="center"/>
              <w:rPr>
                <w:color w:val="000000"/>
              </w:rPr>
            </w:pPr>
            <w:r>
              <w:rPr>
                <w:color w:val="000000" w:themeColor="text1"/>
              </w:rPr>
              <w:t xml:space="preserve">390,0</w:t>
            </w:r>
            <w:r>
              <w:rPr>
                <w:color w:val="000000"/>
              </w:rPr>
            </w:r>
            <w:r>
              <w:rPr>
                <w:color w:val="000000"/>
              </w:rPr>
            </w:r>
          </w:p>
        </w:tc>
        <w:tc>
          <w:tcPr>
            <w:shd w:val="clear" w:color="000000" w:fill="ffffff"/>
            <w:tcBorders/>
            <w:tcW w:w="1843" w:type="dxa"/>
            <w:vAlign w:val="center"/>
            <w:textDirection w:val="lrTb"/>
            <w:noWrap w:val="false"/>
          </w:tcPr>
          <w:p>
            <w:pPr>
              <w:pBdr/>
              <w:spacing w:after="40" w:before="40" w:line="288" w:lineRule="auto"/>
              <w:ind/>
              <w:jc w:val="center"/>
              <w:rPr/>
            </w:pPr>
            <w:r>
              <w:rPr>
                <w:color w:val="000000" w:themeColor="text1"/>
              </w:rPr>
              <w:t xml:space="preserve">25.000.000</w:t>
            </w: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9.750.000.000</w:t>
            </w:r>
            <w:r/>
          </w:p>
        </w:tc>
      </w:tr>
      <w:tr>
        <w:trPr>
          <w:trHeight w:val="20"/>
        </w:trPr>
        <w:tc>
          <w:tcPr>
            <w:gridSpan w:val="4"/>
            <w:tcBorders/>
            <w:tcW w:w="741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rPr>
              <w:t xml:space="preserve">9.750.000.000</w:t>
            </w:r>
            <w:r>
              <w:rPr>
                <w:b/>
                <w:bCs/>
                <w:color w:val="000000"/>
              </w:rPr>
            </w:r>
            <w:r>
              <w:rPr>
                <w:b/>
                <w:bCs/>
                <w:color w:val="000000"/>
              </w:rPr>
            </w:r>
          </w:p>
        </w:tc>
      </w:tr>
      <w:tr>
        <w:trPr>
          <w:trHeight w:val="20"/>
        </w:trPr>
        <w:tc>
          <w:tcPr>
            <w:gridSpan w:val="5"/>
            <w:tcBorders/>
            <w:tcW w:w="9503"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bảy trăm năm mươi triệu 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47"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47"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47"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47"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47"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47"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47"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47"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47"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47"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47"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47"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47"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47"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47"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47"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47"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47"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45"/>
        </w:numPr>
        <w:pBdr/>
        <w:spacing w:after="0" w:before="0" w:line="247"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xưởng 01 tầng, diện tích xây dựng khoảng 390m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chưa được công nhận trên GCN QSDĐ số: DQ 437917</w:t>
      </w:r>
      <w:r>
        <w:t xml:space="preserve">, đồng thời, Tổ thẩm định cũng không nhận được bất kỳ giấy tờ pháp lý nào liên quan đến chủ tài sản. Theo đề nghị của Khách hàng/ Ngân hàng, Tổ thẩm định không xác định giá trị CTXD trên nhưng vẫn coi đó là phần không thể thiếu của tài sản thẩm định.</w:t>
      </w:r>
      <w:r>
        <w:rPr>
          <w:highlight w:val="none"/>
          <w:shd w:val="clear" w:color="auto" w:fill="ffffff"/>
          <w:lang w:val="pt-BR"/>
        </w:rPr>
      </w:r>
      <w:r/>
    </w:p>
    <w:p>
      <w:pPr>
        <w:pStyle w:val="1039"/>
        <w:numPr>
          <w:ilvl w:val="0"/>
          <w:numId w:val="5"/>
        </w:numPr>
        <w:pBdr/>
        <w:tabs>
          <w:tab w:val="left" w:leader="none" w:pos="993"/>
        </w:tabs>
        <w:spacing w:after="120" w:before="120" w:line="247"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47"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3"/>
        </w:numPr>
        <w:pBdr/>
        <w:tabs>
          <w:tab w:val="left" w:leader="none" w:pos="993"/>
        </w:tabs>
        <w:spacing w:after="120" w:before="120" w:line="247"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47"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47"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47"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47"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47"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275/2026/0876/VFI-CT.44.A</w:t>
      </w:r>
      <w:r>
        <w:rPr>
          <w:color w:val="ff0000"/>
          <w:lang w:val="vi-VN"/>
        </w:rPr>
        <w:t xml:space="preserve"> </w:t>
      </w:r>
      <w:r>
        <w:rPr>
          <w:color w:val="000000" w:themeColor="text1"/>
        </w:rPr>
        <w:t xml:space="preserve">ngày 10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275/2026/0876/VFI-BC.44.A</w:t>
      </w:r>
      <w:r>
        <w:rPr>
          <w:i/>
          <w:lang w:val="pt-BR"/>
        </w:rPr>
        <w:t xml:space="preserve"> </w:t>
      </w:r>
      <w:r>
        <w:rPr>
          <w:i/>
          <w:lang w:val="pt-BR"/>
        </w:rPr>
        <w:t xml:space="preserve">ngày 10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84323" cy="27874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18989" name=""/>
                              <pic:cNvPicPr>
                                <a:picLocks noChangeAspect="1"/>
                              </pic:cNvPicPr>
                              <pic:nvPr/>
                            </pic:nvPicPr>
                            <pic:blipFill rotWithShape="1">
                              <a:blip r:embed="rId19"/>
                              <a:stretch/>
                            </pic:blipFill>
                            <pic:spPr bwMode="auto">
                              <a:xfrm flipH="0" flipV="0">
                                <a:off x="0" y="0"/>
                                <a:ext cx="1284323" cy="2787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1.13pt;height:219.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2973" cy="21172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02216" name=""/>
                              <pic:cNvPicPr>
                                <a:picLocks noChangeAspect="1"/>
                              </pic:cNvPicPr>
                              <pic:nvPr/>
                            </pic:nvPicPr>
                            <pic:blipFill rotWithShape="1">
                              <a:blip r:embed="rId21"/>
                              <a:stretch/>
                            </pic:blipFill>
                            <pic:spPr bwMode="auto">
                              <a:xfrm flipH="0" flipV="0">
                                <a:off x="0" y="0"/>
                                <a:ext cx="2822973" cy="2117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28pt;height:166.7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0649" cy="237798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09442" name=""/>
                              <pic:cNvPicPr>
                                <a:picLocks noChangeAspect="1"/>
                              </pic:cNvPicPr>
                              <pic:nvPr/>
                            </pic:nvPicPr>
                            <pic:blipFill rotWithShape="1">
                              <a:blip r:embed="rId22"/>
                              <a:stretch/>
                            </pic:blipFill>
                            <pic:spPr bwMode="auto">
                              <a:xfrm flipH="0" flipV="0">
                                <a:off x="0" y="0"/>
                                <a:ext cx="3170649" cy="2377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9.66pt;height:187.2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6022" cy="19346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67860" name=""/>
                              <pic:cNvPicPr>
                                <a:picLocks noChangeAspect="1"/>
                              </pic:cNvPicPr>
                              <pic:nvPr/>
                            </pic:nvPicPr>
                            <pic:blipFill rotWithShape="1">
                              <a:blip r:embed="rId23"/>
                              <a:stretch/>
                            </pic:blipFill>
                            <pic:spPr bwMode="auto">
                              <a:xfrm flipH="0" flipV="0">
                                <a:off x="0" y="0"/>
                                <a:ext cx="2656022" cy="1934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14pt;height:152.3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98475" cy="19709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5560" name=""/>
                              <pic:cNvPicPr>
                                <a:picLocks noChangeAspect="1"/>
                              </pic:cNvPicPr>
                              <pic:nvPr/>
                            </pic:nvPicPr>
                            <pic:blipFill rotWithShape="1">
                              <a:blip r:embed="rId24"/>
                              <a:stretch/>
                            </pic:blipFill>
                            <pic:spPr bwMode="auto">
                              <a:xfrm flipH="0" flipV="0">
                                <a:off x="0" y="0"/>
                                <a:ext cx="2998474" cy="1970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6.10pt;height:155.1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rPr>
      </w:pPr>
      <w:r>
        <w:rPr>
          <w:b/>
          <w:bCs/>
          <w:highlight w:val="none"/>
        </w:rPr>
        <w:t xml:space="preserve">PHÁP LÝ</w:t>
      </w:r>
      <w:r>
        <w:rPr>
          <w:b/>
          <w:bCs/>
          <w:highlight w:val="none"/>
        </w:rPr>
      </w:r>
      <w:r>
        <w:rPr>
          <w:b/>
          <w:bCs/>
          <w:highlight w:val="none"/>
        </w:rPr>
      </w:r>
    </w:p>
    <w:p>
      <w:pPr>
        <w:pBdr/>
        <w:spacing w:after="200" w:line="276" w:lineRule="auto"/>
        <w:ind/>
        <w:jc w:val="left"/>
        <w:rPr>
          <w:highlight w:val="none"/>
        </w:rPr>
      </w:pPr>
      <w:r>
        <mc:AlternateContent>
          <mc:Choice Requires="wpg">
            <w:drawing>
              <wp:inline xmlns:wp="http://schemas.openxmlformats.org/drawingml/2006/wordprocessingDrawing" distT="0" distB="0" distL="0" distR="0">
                <wp:extent cx="6048375" cy="427639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99814" name=""/>
                        <pic:cNvPicPr>
                          <a:picLocks noChangeAspect="1"/>
                        </pic:cNvPicPr>
                        <pic:nvPr/>
                      </pic:nvPicPr>
                      <pic:blipFill rotWithShape="1">
                        <a:blip r:embed="rId25"/>
                        <a:stretch/>
                      </pic:blipFill>
                      <pic:spPr bwMode="auto">
                        <a:xfrm>
                          <a:off x="0" y="0"/>
                          <a:ext cx="6048374" cy="4276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6.72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6048375" cy="41913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72427" name=""/>
                        <pic:cNvPicPr>
                          <a:picLocks noChangeAspect="1"/>
                        </pic:cNvPicPr>
                        <pic:nvPr/>
                      </pic:nvPicPr>
                      <pic:blipFill rotWithShape="1">
                        <a:blip r:embed="rId26"/>
                        <a:stretch/>
                      </pic:blipFill>
                      <pic:spPr bwMode="auto">
                        <a:xfrm>
                          <a:off x="0" y="0"/>
                          <a:ext cx="6048374" cy="4191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30.03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jc w:val="left"/>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77585"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pacing w:after="200" w:line="276" w:lineRule="auto"/>
        <w:ind/>
        <w:jc w:val="left"/>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275/2026/0876/VFI-BC.44.A</w:t>
      </w:r>
      <w:r>
        <w:rPr>
          <w:i/>
          <w:lang w:val="pt-BR"/>
        </w:rPr>
        <w:t xml:space="preserve"> </w:t>
      </w:r>
      <w:r>
        <w:rPr>
          <w:i/>
          <w:lang w:val="pt-BR"/>
        </w:rPr>
        <w:t xml:space="preserve">ngày 10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102" w:type="dxa"/>
        <w:tblBorders/>
        <w:tblLayout w:type="fixed"/>
        <w:tblLook w:val="04A0" w:firstRow="1" w:lastRow="0" w:firstColumn="1" w:lastColumn="0" w:noHBand="0" w:noVBand="1"/>
      </w:tblPr>
      <w:tblGrid>
        <w:gridCol w:w="632"/>
        <w:gridCol w:w="3084"/>
        <w:gridCol w:w="538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https://guland.vn/post/ban-cat-lo-2-lo-dat-1200m2-va-1318m2-cum-lang-nghe-song-phuong-dan-phuong-ha-noi-1410982</w:t>
            </w:r>
            <w:r>
              <w:rPr>
                <w:color w:val="000000" w:themeColor="text1"/>
                <w:sz w:val="22"/>
                <w:szCs w:val="22"/>
              </w:rPr>
              <w:br/>
              <w:t xml:space="preserve">0902.259222</w:t>
            </w:r>
            <w:r>
              <w:rPr>
                <w:sz w:val="22"/>
                <w:szCs w:val="22"/>
              </w:rPr>
              <w:t xml:space="preserve"> </w:t>
            </w:r>
            <w:r>
              <w:rPr>
                <w:sz w:val="22"/>
                <w:szCs w:val="22"/>
              </w:rPr>
              <w:br/>
              <w:t xml:space="preserve">(Đông 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22.200.000.000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21.090.000.000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Chưa 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(1.200m²)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ind/>
              <w:jc w:val="center"/>
              <w:rPr>
                <w:sz w:val="22"/>
                <w:szCs w:val="22"/>
              </w:rPr>
            </w:pPr>
            <w:r>
              <w:rPr>
                <w:color w:val="000000" w:themeColor="text1"/>
                <w:sz w:val="22"/>
                <w:szCs w:val="22"/>
              </w:rPr>
              <w:t xml:space="preserve">Đất cơ sở sản xuất phi nông nghiệp – Có thời hạn (đến 01/01/2075, 49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Thuộc Cụm công nghiệp Song Phượng, xã Đan Phượng, thành phố Hà Nội</w:t>
            </w:r>
            <w:r>
              <w:rPr>
                <w:color w:val="000000" w:themeColor="text1"/>
                <w:sz w:val="22"/>
                <w:szCs w:val="22"/>
              </w:rPr>
              <w:t xml:space="preserve">, độ rộng đường trước mặt tài sản 8m, mặt tiền 40m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1.200,0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Nguồn gốc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Nhà nước cho thuê trả tiền hàng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8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470"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699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4269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7.3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0363.680496</w:t>
            </w:r>
            <w:r>
              <w:rPr>
                <w:sz w:val="22"/>
                <w:szCs w:val="22"/>
              </w:rPr>
              <w:t xml:space="preserve"> </w:t>
            </w:r>
            <w:r>
              <w:rPr>
                <w:sz w:val="22"/>
                <w:szCs w:val="22"/>
              </w:rPr>
              <w:br/>
              <w:t xml:space="preserve">(Mai 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(300m²)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cơ sở sản xuất phi nông nghiệp – Có thời hạn (đến 01/04/2069, 43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đất phát triển làng nghề, xã Ô Diên, Hà Nộ</w:t>
            </w:r>
            <w:r>
              <w:rPr>
                <w:color w:val="000000" w:themeColor="text1"/>
                <w:sz w:val="22"/>
                <w:szCs w:val="22"/>
              </w:rPr>
              <w:t xml:space="preserve">i, độ rộng đường trước mặt tài sản 8m, mặt tiền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Nguồn gốc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 Nhà nước cho thuê trả tiền hàng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12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71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5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12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71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5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5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65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4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0965.023988</w:t>
            </w:r>
            <w:r>
              <w:rPr>
                <w:sz w:val="22"/>
                <w:szCs w:val="22"/>
              </w:rPr>
              <w:t xml:space="preserve"> </w:t>
            </w:r>
            <w:r>
              <w:rPr>
                <w:sz w:val="22"/>
                <w:szCs w:val="22"/>
              </w:rPr>
              <w:br/>
              <w:t xml:space="preserve">(Như Thạch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(300m²)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cơ sở sản xuất phi nông nghiệp – Có thời hạn (đến 04/04/2069, 43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đất phát triển làng nghề, xã Ô Diên, Hà Nội</w:t>
            </w:r>
            <w:r>
              <w:rPr>
                <w:color w:val="000000" w:themeColor="text1"/>
                <w:sz w:val="22"/>
                <w:szCs w:val="22"/>
              </w:rPr>
              <w:t xml:space="preserve">, độ rộng đường trước mặt tài sản 8m, mặt tiền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Nguồn gốc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Nhà nước cho thuê trả tiền một lần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398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139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68.4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398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139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8.4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1C5F95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84035F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32CC9A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39EAB0F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45C14BB"/>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282</cp:revision>
  <dcterms:created xsi:type="dcterms:W3CDTF">2025-09-15T09:58:00Z</dcterms:created>
  <dcterms:modified xsi:type="dcterms:W3CDTF">2026-06-12T04:25:05Z</dcterms:modified>
</cp:coreProperties>
</file>