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04341"/>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0434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275/2026/1122/VFI-CT.48.A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VIÊN ĐÌNH PHƯƠNG</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tại thửa đất có địa chỉ: Số 1 D3 dự án nhà ở Cầu Diễn, phường Phú Diễn, quận Bắ</w:t>
                            </w:r>
                            <w:r>
                              <w:rPr>
                                <w:rFonts w:ascii="Times New Roman" w:hAnsi="Times New Roman" w:eastAsia="Times New Roman" w:cs="Times New Roman"/>
                                <w:color w:val="000000" w:themeColor="text1"/>
                                <w:sz w:val="24"/>
                              </w:rPr>
                              <w:t xml:space="preserve">c </w:t>
                            </w:r>
                            <w:r>
                              <w:rPr>
                                <w:rFonts w:ascii="Times New Roman" w:hAnsi="Times New Roman" w:eastAsia="Times New Roman" w:cs="Times New Roman"/>
                                <w:color w:val="000000"/>
                                <w:sz w:val="24"/>
                              </w:rPr>
                              <w:t xml:space="preserve">Từ Liêm, thành phố Hà Nội (nay là phường Phú Diễn, thành phố Hà Nội) theo Giấy chứng nhận quyền sử dụng đất, quyền sở hữu nhà ở và tài sản khác gắn liền với đất số: CV 537073, số vào sổ cấp GCN: CS-BTL10241 do Sở Tài nguyên và Môi trường thành phố Hà Nội</w:t>
                            </w:r>
                            <w:r>
                              <w:rPr>
                                <w:rFonts w:ascii="Times New Roman" w:hAnsi="Times New Roman" w:eastAsia="Times New Roman" w:cs="Times New Roman"/>
                                <w:color w:val="000000"/>
                                <w:sz w:val="24"/>
                              </w:rPr>
                              <w:t xml:space="preserve"> cấp ngày 20/7/2020 cho Ông Viên Đình Phương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8.06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275/2026/1122/VFI-CT.48.A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VIÊN ĐÌNH PHƯƠNG</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tại thửa đất có địa chỉ: Số 1 D3 dự án nhà ở Cầu Diễn, phường Phú Diễn, quận Bắ</w:t>
                      </w:r>
                      <w:r>
                        <w:rPr>
                          <w:rFonts w:ascii="Times New Roman" w:hAnsi="Times New Roman" w:eastAsia="Times New Roman" w:cs="Times New Roman"/>
                          <w:color w:val="000000" w:themeColor="text1"/>
                          <w:sz w:val="24"/>
                        </w:rPr>
                        <w:t xml:space="preserve">c </w:t>
                      </w:r>
                      <w:r>
                        <w:rPr>
                          <w:rFonts w:ascii="Times New Roman" w:hAnsi="Times New Roman" w:eastAsia="Times New Roman" w:cs="Times New Roman"/>
                          <w:color w:val="000000"/>
                          <w:sz w:val="24"/>
                        </w:rPr>
                        <w:t xml:space="preserve">Từ Liêm, thành phố Hà Nội (nay là phường Phú Diễn, thành phố Hà Nội) theo Giấy chứng nhận quyền sử dụng đất, quyền sở hữu nhà ở và tài sản khác gắn liền với đất số: CV 537073, số vào sổ cấp GCN: CS-BTL10241 do Sở Tài nguyên và Môi trường thành phố Hà Nội</w:t>
                      </w:r>
                      <w:r>
                        <w:rPr>
                          <w:rFonts w:ascii="Times New Roman" w:hAnsi="Times New Roman" w:eastAsia="Times New Roman" w:cs="Times New Roman"/>
                          <w:color w:val="000000"/>
                          <w:sz w:val="24"/>
                        </w:rPr>
                        <w:t xml:space="preserve"> cấp ngày 20/7/2020 cho Ông Viên Đình Phương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23-27</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588"/>
        <w:gridCol w:w="3302"/>
        <w:gridCol w:w="4890"/>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275/2026/1122/VFI-CT.48.A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24 tháng 7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VIÊN ĐÌNH PHƯƠNG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275/2026/1122/VFI-HĐTĐ.48.A</w:t>
      </w:r>
      <w:r>
        <w:rPr>
          <w:spacing w:val="-4"/>
          <w:lang w:val="vi-VN"/>
        </w:rPr>
        <w:t xml:space="preserve"> ký ngày </w:t>
      </w:r>
      <w:r>
        <w:rPr>
          <w:color w:val="000000" w:themeColor="text1"/>
          <w:spacing w:val="-4"/>
        </w:rPr>
        <w:t xml:space="preserve">21 tháng 7 năm 2026</w:t>
      </w:r>
      <w:r>
        <w:rPr>
          <w:spacing w:val="-4"/>
          <w:lang w:val="vi-VN"/>
        </w:rPr>
        <w:t xml:space="preserve"> </w:t>
      </w:r>
      <w:r>
        <w:rPr>
          <w:spacing w:val="-4"/>
          <w:lang w:val="vi-VN"/>
        </w:rPr>
        <w:t xml:space="preserve">giữa </w:t>
      </w:r>
      <w:r>
        <w:rPr>
          <w:color w:val="000000" w:themeColor="text1"/>
          <w:spacing w:val="-4"/>
          <w:sz w:val="22"/>
          <w:szCs w:val="22"/>
        </w:rPr>
        <w:t xml:space="preserve">Ông Viên Đình Phương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275/2026/1122/VFI-BC.48.A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w:t>
      </w:r>
      <w:commentRangeStart w:id="0"/>
      <w:r>
        <w:rPr>
          <w:b/>
          <w:bCs/>
          <w:lang w:val="vi-VN"/>
        </w:rPr>
        <w:t xml:space="preserve"> yêu cầu </w:t>
      </w:r>
      <w:r>
        <w:rPr>
          <w:b/>
          <w:bCs/>
          <w:lang w:val="pt-BR"/>
        </w:rPr>
        <w:t xml:space="preserve">t</w:t>
      </w:r>
      <w:r>
        <w:rPr>
          <w:b/>
          <w:bCs/>
          <w:lang w:val="vi-VN"/>
        </w:rPr>
        <w:t xml:space="preserve">hẩm định giá:</w:t>
      </w:r>
      <w:commentRangeEnd w:id="0"/>
      <w:r>
        <w:commentReference w:id="0"/>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VIÊN ĐÌNH PHƯƠNG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713"/>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có địa chỉ: Số 1 D3 dự án nhà ở Cầu Diễn, phường Phú Diễn, quận Bắc Từ Liêm, thành phố Hà Nội (nay là phường P</w:t>
      </w:r>
      <w:r>
        <w:rPr>
          <w:color w:val="000000" w:themeColor="text1"/>
        </w:rPr>
        <w:t xml:space="preserve">hú Diễn, thành phố Hà Nội) theo Giấy chứng nhận quyền sử dụng đất, quyền sở hữu nhà ở và tài sản khác gắn liền với đất số: CV 537073, số vào sổ cấp GCN: CS-BTL10241 do Sở Tài nguyên và Môi trường thành phố Hà Nội cấp ngày 20/7/2020 cho Ông Viên Đình Phương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có địa chỉ: Số 1 D3 dự án nhà ở Cầu Diễn, phường Phú Diễn, quận Bắc Từ Liêm, thành phố Hà Nội (nay là phường P</w:t>
            </w:r>
            <w:r>
              <w:rPr>
                <w:color w:val="000000"/>
              </w:rPr>
              <w:t xml:space="preserve">hú Diễn, thành phố Hà Nội) theo Giấy chứng nhận quyền sử dụng đất, quyền sở hữu nhà ở và tài sản khác gắn liền với đất số: CV 537073, số vào sổ cấp GCN: CS-BTL10241 do Sở Tài nguyên và Môi trường thành phố Hà Nội cấp ngày 20/7/2020 cho Ông Viên Đình Phương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53,7</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260.000.000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13.962.000.000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13.962.000.000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ba tỷ chín trăm sáu mươi hai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843"/>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25"/>
        </w:trPr>
        <w:tc>
          <w:tcPr>
            <w:gridSpan w:val="2"/>
            <w:shd w:val="clear" w:color="auto" w:fill="auto"/>
            <w:tcBorders/>
            <w:tcMar>
              <w:left w:w="108" w:type="dxa"/>
              <w:top w:w="0" w:type="dxa"/>
              <w:right w:w="108" w:type="dxa"/>
              <w:bottom w:w="0" w:type="dxa"/>
            </w:tcMar>
            <w:tcW w:w="503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275/2026/1122/VFI-BC.48.A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24 tháng 7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275/2026/1122/VFI-CT.48.A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VIÊN ĐÌNH PHƯƠNG</w:t>
            </w:r>
            <w:r/>
          </w:p>
        </w:tc>
      </w:tr>
      <w:tr>
        <w:trPr>
          <w:trHeight w:val="41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1984</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có địa chỉ: Số 1 D3 dự án nhà ở Cầu Diễn, phường Phú Diễn, quận Bắc Từ Liêm, thành phố Hà Nội (nay là phường P</w:t>
            </w:r>
            <w:r>
              <w:rPr>
                <w:bCs/>
                <w:color w:val="000000" w:themeColor="text1"/>
                <w:lang w:val="pt-BR"/>
              </w:rPr>
              <w:t xml:space="preserve">hú Diễn, thành phố Hà Nội) theo Giấy chứng nhận quyền sử dụng đất, quyền sở hữu nhà ở và tài sản khác gắn liền với đất số: CV 537073, số vào sổ cấp GCN: CS-BTL10241 do Sở Tài nguyên và Môi trường thành phố Hà Nội cấp ngày 20/7/2020 cho Ông Viên Đình Phương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phường Phú Diễn,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21.046426, 105.7705649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21/07/2026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CV 537073, số vào sổ cấp GCN: CS-BTL10241 do Sở Tài nguyên và Môi trường thành phố Hà Nội cấp ngày 20/7/2020 cho Ông Viên Đình Phương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81b3a"/>
          <w:spacing w:val="3"/>
          <w:sz w:val="24"/>
          <w:szCs w:val="24"/>
          <w:highlight w:val="white"/>
        </w:rPr>
        <w:t xml:space="preserve">275/2026/1122/VFI-HĐTĐ.48.A</w:t>
      </w:r>
      <w:r>
        <w:rPr>
          <w:rFonts w:ascii="Times New Roman" w:hAnsi="Times New Roman" w:eastAsia="Times New Roman" w:cs="Times New Roman"/>
          <w:color w:val="000000" w:themeColor="text1"/>
          <w:sz w:val="24"/>
          <w:szCs w:val="24"/>
          <w:lang w:val="pt-BR"/>
        </w:rPr>
        <w:t xml:space="preserve"> ngày 21/07/2026 giữa Ông Viên Đình Phương với Công ty Cổ phần Thẩm định và Đầu tư Tài chính Hoa Sen</w:t>
      </w:r>
      <w:r>
        <w:rPr>
          <w:color w:val="000000" w:themeColor="text1"/>
          <w:lang w:val="pt-BR"/>
        </w:rPr>
        <w:t xml:space="preserve">.</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line="276" w:lineRule="auto"/>
        <w:ind w:right="0" w:firstLine="0" w:left="0"/>
        <w:rPr/>
      </w:pPr>
      <w:r>
        <w:rPr>
          <w:lang w:val="pt-BR"/>
        </w:rPr>
        <w:tab/>
      </w:r>
      <w:r>
        <w:rPr>
          <w:rFonts w:ascii="Times New Roman" w:hAnsi="Times New Roman" w:eastAsia="Times New Roman" w:cs="Times New Roman"/>
          <w:color w:val="000000"/>
          <w:sz w:val="24"/>
        </w:rPr>
        <w:t xml:space="preserve">Nửa đầu năm 2025, thị trường giao dịch nhà đất thổ cư Hà Nội đã ghi nhận những dấu hiệu chững lại rõ rệt. Lượng giao dịch sụt giảm, tâm lý nhà đầu tư thận trọng và nhiều khu vực từng là điểm nóng rơi vào trạng thái trầm lắng. Tuy nhiên, theo các chuyên gia</w:t>
      </w:r>
      <w:r>
        <w:rPr>
          <w:rFonts w:ascii="Times New Roman" w:hAnsi="Times New Roman" w:eastAsia="Times New Roman" w:cs="Times New Roman"/>
          <w:color w:val="000000"/>
          <w:sz w:val="24"/>
        </w:rPr>
        <w:t xml:space="preserve">, đây chỉ là giai đoạn tạm lắng của chu kỳ thị trường. Khi nhịp hồi phục quay trở lại, những quận có tiềm năng thực sự sẽ sớm bứt phá. Vậy, đâu là những điểm sáng cần theo dõi trong thời gian tới?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Sức mua sụt giảm đồng loạt tại nhóm quận trung tâm và vệ tinh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của OneHousing, giao dịch nhà đất thổ cư Hà Nội trong 6 tháng đầu năm 2025 tại 13 quận/huyện chỉ đạt khoảng 13.400 giao dịch, giảm 38% so với cùng kỳ năm ngoái. Nếu tính thêm huyện Đông Anh và huyện Đan Phượng thì tổng đạt 19.000 giao dịch.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5 quận dẫn đầu vẫn giảm 33–55% so với cùng kỳ năm 2024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Tình trạng sụt giảm giao dịch thổ cư không phải là hiện tượng cục bộ mà diễn ra trên diện rộng. Số liệu từ Hội Môi giới Bất động sản Việt Nam cho thấy, trong quý I - II/2025 lượng giao dịch thành công tại Hà Nội giảm hơn 45% so với cùng kỳ năm ngoái. Nhiều</w:t>
      </w:r>
      <w:r>
        <w:rPr>
          <w:rFonts w:ascii="Times New Roman" w:hAnsi="Times New Roman" w:eastAsia="Times New Roman" w:cs="Times New Roman"/>
          <w:color w:val="000000"/>
          <w:sz w:val="24"/>
        </w:rPr>
        <w:t xml:space="preserve"> khu vực vốn là điểm nóng như: Đông Anh, Thanh Trì, Hoài Đức nay ghi nhận mức giao dịch gần như bằng 0.</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Ngay cả nhóm 5 quận dẫn đầu về lượng giao dịch cũng rơi vào tình cảnh ảm đạm. Cụ thể:</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Quận Long Biên và quận Hà Đông: 2 quận có lượng giao dịch lớn nhất nửa đầu năm 2025, lần lượt đạt 2.670 và 2.170 căn. Lượng giao dịch tại 2 quận này đều giảm so với cùng kỳ năm ngoái, trong đó quận Hà Đông có mức giảm mạnh 55% so với năm 2024. Lý do bởi nh</w:t>
      </w:r>
      <w:r>
        <w:rPr>
          <w:rFonts w:ascii="Times New Roman" w:hAnsi="Times New Roman" w:eastAsia="Times New Roman" w:cs="Times New Roman"/>
          <w:color w:val="000000"/>
          <w:sz w:val="24"/>
        </w:rPr>
        <w:t xml:space="preserve">iều phường tại Hà Đông như Dương Nội, Yên Nghĩa, Biên Giang,... đã tăng giá mạnh trong năm 2024, khiến nhu cầu mua đầu tư chững lại.</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Quận Bắc Từ Liêm, Hoàng Mai và Đống Đa: Đạt lần lượt 960; 1.280 và 1.000 giao dịch trong nửa đầu năm 2025, giảm lần lượt 33%, 36% và 34%.</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b/>
          <w:color w:val="000000"/>
          <w:sz w:val="24"/>
        </w:rPr>
        <w:t xml:space="preserve">Lý giải nguyên nhân khiến giao dịch nhà đất thổ cư Hà Nội sụt giảm</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Thị trường giao dịch nhà đất thổ cư Hà Nội trong nửa đầu năm 2025 chứng kiến sự sụt giảm rõ rệt về thanh khoản. Nguyên nhân chính bắt nguồn từ hiện tượng lệch pha cung – cầu: nguồn cung hạn chế trong khi mặt bằng giá tiếp tục neo cao, vượt xa khả năng chi</w:t>
      </w:r>
      <w:r>
        <w:rPr>
          <w:rFonts w:ascii="Times New Roman" w:hAnsi="Times New Roman" w:eastAsia="Times New Roman" w:cs="Times New Roman"/>
          <w:color w:val="000000"/>
          <w:sz w:val="24"/>
        </w:rPr>
        <w:t xml:space="preserve"> trả của nhóm mua ở thực. Điều này khiến nhiều người dù có nhu cầu thật nhưng vẫn buộc phải trì hoãn kế hoạch mua nhà, kéo theo lượng giao dịch lao dốc.</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Giá bán neo cao dù giao dịch gần như đóng băng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Một nghịch lý đang diễn ra là giá chào bán trên thị trường vẫn tiếp tục tăng bất chấp lượng giao dịch giảm mạnh.</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Theo báo cáo quý I/2025 của Savills Việt Nam, giá chào bán nhà đất thổ cư tại khu vực Hà Nội tăng trung bình 3 – 5% so với cùng kỳ năm 2024 dù giao dịch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ab/>
        <w:t xml:space="preserve">Giá nhà trong ngõ rộng, có sổ đỏ tại các quận như Thanh Xuân, Cầu Giấy, Đống Đa vẫn giữ ở mức 130 – 180 triệu đồng/m2. Tại các phường trung tâm như Kim Mã (Ba Đình), Hàng Bông (Hoàn Kiếm) giá đã vượt mốc 350 triệu đồng/m2, dù không phát sinh giao dịch tro</w:t>
      </w:r>
      <w:r>
        <w:rPr>
          <w:rFonts w:ascii="Times New Roman" w:hAnsi="Times New Roman" w:eastAsia="Times New Roman" w:cs="Times New Roman"/>
          <w:color w:val="000000"/>
          <w:sz w:val="24"/>
        </w:rPr>
        <w:t xml:space="preserve">ng nhiều tháng.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Quỹ đất nội đô khan hiếm đẩy giá bán lên cao</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Một yếu tố quan trọng khác tác động đến thị trường là tình trạng thiếu hụt nguồn cung nhà thấp tầng. Ông Nguyễn Văn Đính - Chủ tịch Hội Môi giới Bất động sản Việt Nam cho biết: “Vài năm gần đây, nguồn cung nhà ở thấp tầng tại Hà Nội gần như không tăng. Tro</w:t>
      </w:r>
      <w:r>
        <w:rPr>
          <w:rFonts w:ascii="Times New Roman" w:hAnsi="Times New Roman" w:eastAsia="Times New Roman" w:cs="Times New Roman"/>
          <w:color w:val="000000"/>
          <w:sz w:val="24"/>
        </w:rPr>
        <w:t xml:space="preserve">ng khi đó, quy hoạch mở rộng đô thị mới chưa đi vào thực tế khiến nguồn cung khan hiếm, đẩy giá nhà đất lên cao và giữ ổn định". (Nguồn: Báo Tiền Phong)</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Tâm lý chờ đợi chính sách và chi phí vốn cao khiến giao dịch trì trệ</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lệch pha cung – cầu, giao dịch nhà đất thổ cư Hà Nội còn bị ảnh hưởng bởi tâm lý chờ đợi từ cả phía người mua lẫn nhà đầu tư. Họ đang đợi các quyết sách mới về sáp nhập hành chính, quy hoạch đô thị, cùng với việc cập nhật khung giá đất theo Luật </w:t>
      </w:r>
      <w:r>
        <w:rPr>
          <w:rFonts w:ascii="Times New Roman" w:hAnsi="Times New Roman" w:eastAsia="Times New Roman" w:cs="Times New Roman"/>
          <w:color w:val="000000"/>
          <w:sz w:val="24"/>
        </w:rPr>
        <w:t xml:space="preserve">Đất đai mới có hiệu lực từ 1/7/2025.</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Song song đó, lãi suất vay mua nhà vẫn duy trì ở mức cao, trong khi chưa có gói hỗ trợ tín dụng đủ hấp dẫn để kích cầu. Điều này càng khiến nhu cầu vay mua suy giảm, kéo theo thanh khoản thị trường tiếp tục sụt giảm sâu.</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ab/>
        <w:t xml:space="preserve">Các huyện mới nổi chiếm sóng thị trường nhờ tiềm năng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Trong bối cảnh giao dịch tại các quận trung tâm và vệ tinh giảm sâu, giao dịch nhà đất thổ cư Hà Nội trong 6 tháng đầu năm 2025 tại các huyện ngoại thành như Đông Anh, Đan Phượng và Gia Lâm lại trở thành điểm sáng, thu hút sự quan tâm đầu tư nhờ tiềm năng </w:t>
      </w:r>
      <w:r>
        <w:rPr>
          <w:rFonts w:ascii="Times New Roman" w:hAnsi="Times New Roman" w:eastAsia="Times New Roman" w:cs="Times New Roman"/>
          <w:color w:val="000000"/>
          <w:sz w:val="24"/>
        </w:rPr>
        <w:t xml:space="preserve">tăng trưởng dài hạn.</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Huyện Đông Anh có lượng giao dịch lớn nhất, đạt 4.200 giao dịch. </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Giao dịch tại huyện Đan Phượng và huyện Gia Lâm gần tương đương nhau đạt 1.390 và 1.210 giao dịch, phản ánh xu hướng dịch chuyển dòng tiền về các khu vực giàu tiềm năng phát triển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So với các quận nội đô đã thiết lập mặt bằng giá cao và ít dư địa tăng trưởng, giá đất thổ cư tại những huyện mới nổi này vẫn còn khá “mềm”. Điều này không chỉ phù hợp với khả năng tài chính của người mua có nhu cầu ở thực mà còn tạo ra cơ hội sinh lời hấp</w:t>
      </w:r>
      <w:r>
        <w:rPr>
          <w:rFonts w:ascii="Times New Roman" w:hAnsi="Times New Roman" w:eastAsia="Times New Roman" w:cs="Times New Roman"/>
          <w:color w:val="000000"/>
          <w:sz w:val="24"/>
        </w:rPr>
        <w:t xml:space="preserve"> dẫn cho các nhà đầu tư trung và dài hạn.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Không chỉ có lợi thế về giá, các huyện này còn đang nằm trong lộ trình đô thị hóa, với mục tiêu trở thành quận trong giai đoạn 2020–2025. Việc nâng cấp hành chính sẽ kéo theo sự hoàn thiện đồng bộ về hạ tầng, tiện ích và hệ thống dịch vụ, thúc đẩy giá trị </w:t>
      </w:r>
      <w:r>
        <w:rPr>
          <w:rFonts w:ascii="Times New Roman" w:hAnsi="Times New Roman" w:eastAsia="Times New Roman" w:cs="Times New Roman"/>
          <w:color w:val="000000"/>
          <w:sz w:val="24"/>
        </w:rPr>
        <w:t xml:space="preserve">bất động sản tăng theo thời gian.</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Đặc biệt, nhiều dự án giao thông trọng điểm đang được triển khai tại đây như vành đai 4, đại lộ Tây Thăng Long, tuyến đường sắt đô thị cùng với hệ thống cầu vượt sông Hồng mới, đã và đang cải thiện đáng kể khả năng kết nối từ các huyện này tới trung tâm th</w:t>
      </w:r>
      <w:r>
        <w:rPr>
          <w:rFonts w:ascii="Times New Roman" w:hAnsi="Times New Roman" w:eastAsia="Times New Roman" w:cs="Times New Roman"/>
          <w:color w:val="000000"/>
          <w:sz w:val="24"/>
        </w:rPr>
        <w:t xml:space="preserve">ành phố cũng như các vùng kinh tế vệ tinh.</w:t>
      </w:r>
      <w:r/>
    </w:p>
    <w:p>
      <w:pPr>
        <w:pBdr>
          <w:top w:val="none" w:color="000000" w:sz="4" w:space="0"/>
          <w:left w:val="none" w:color="000000" w:sz="4" w:space="0"/>
          <w:bottom w:val="none" w:color="000000" w:sz="4" w:space="0"/>
          <w:right w:val="none" w:color="000000" w:sz="4" w:space="0"/>
        </w:pBdr>
        <w:spacing w:line="276" w:lineRule="auto"/>
        <w:ind w:right="0" w:firstLine="720" w:left="0"/>
        <w:rPr/>
      </w:pPr>
      <w:r>
        <w:rPr>
          <w:rFonts w:ascii="Times New Roman" w:hAnsi="Times New Roman" w:eastAsia="Times New Roman" w:cs="Times New Roman"/>
          <w:color w:val="000000"/>
          <w:sz w:val="24"/>
        </w:rPr>
        <w:t xml:space="preserve">Sự đồng bộ này chính là đòn bẩy giúp các khu vực như Đông Anh, Đan Phượng và Gia Lâm vươn lên trở thành những “điểm nóng” tiếp theo trên bản đồ giao dịch nhà đất thổ cư Hà Nội.</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https://onehousing.vn/blog/giao-dich-nha-dat-tho-cu-ha-noi-chung-lai-trong-1h2025-dau-la-quan-dang-chu-y-khi-thi-truong-phuc-hoi-n17t?utm_source=social_share&amp;utm_medium=copyurl&amp;utm_campaign=efc31d7e-04f8-4713-9ae1-5036060f4085)</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có địa chỉ: Số 1 D3 dự án nhà ở Cầu Diễn, phường Phú Diễn, quận Bắc Từ Liêm, thành phố Hà Nội (nay là phường P</w:t>
            </w:r>
            <w:r>
              <w:rPr>
                <w:b/>
                <w:bCs/>
                <w:color w:val="000000"/>
              </w:rPr>
              <w:t xml:space="preserve">hú Diễn, thành phố Hà Nội) theo Giấy chứng nhận quyền sử dụng đất, quyền sở hữu nhà ở và tài sản khác gắn liền với đất số: CV 537073, số vào sổ cấp GCN: CS-BTL10241 do Sở Tài nguyên và Môi trường thành phố Hà Nội cấp ngày 20/7/2020 cho Ông Viên Đình Phương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Số 1 D3 dự án nhà ở Cầu Diễn, phường Phú Diễn, quận Bắc Từ Liêm, thành phố Hà Nội (nay là phường Phú Diễn,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53,7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Meeymap xác </w:t>
            </w:r>
            <w:r>
              <w:rPr>
                <w:rFonts w:ascii="Times New Roman" w:hAnsi="Times New Roman" w:eastAsia="Times New Roman" w:cs="Times New Roman"/>
                <w:color w:val="000000"/>
                <w:sz w:val="24"/>
              </w:rPr>
              <w:t xml:space="preserve">định vị trí tài sản thuộc quy hoạch đất ở.</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5129978" cy="255192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138835" name=""/>
                              <pic:cNvPicPr>
                                <a:picLocks noChangeAspect="1"/>
                              </pic:cNvPicPr>
                              <pic:nvPr/>
                            </pic:nvPicPr>
                            <pic:blipFill rotWithShape="1">
                              <a:blip r:embed="rId17"/>
                              <a:stretch/>
                            </pic:blipFill>
                            <pic:spPr bwMode="auto">
                              <a:xfrm flipH="0" flipV="0">
                                <a:off x="0" y="0"/>
                                <a:ext cx="5129978" cy="2551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3.94pt;height:200.94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4,0m + vỉa hè mỗi bên 2,5m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themeColor="text1"/>
              </w:rPr>
              <w:t xml:space="preserve">4,0m + vỉa hè mỗi bên 2,5m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sz w:val="24"/>
                <w:szCs w:val="24"/>
              </w:rPr>
            </w:pPr>
            <w:r>
              <w:rPr>
                <w:color w:val="000000" w:themeColor="text1"/>
                <w:sz w:val="24"/>
                <w:szCs w:val="24"/>
              </w:rPr>
            </w:r>
            <w:r>
              <w:rPr>
                <w:color w:val="000000" w:themeColor="text1"/>
                <w:sz w:val="24"/>
                <w:szCs w:val="24"/>
              </w:rPr>
              <w:t xml:space="preserve">Tài sản nằm trong khu đô thị Cầu Diễn, cách đường Hoàng Công Chất khoảng 400m</w:t>
            </w:r>
            <w:r>
              <w:rPr>
                <w:color w:val="000000"/>
                <w:sz w:val="24"/>
                <w:szCs w:val="24"/>
              </w:rPr>
            </w:r>
            <w:r>
              <w:rPr>
                <w:color w:val="000000"/>
                <w:sz w:val="24"/>
                <w:szCs w:val="24"/>
              </w:rPr>
            </w:r>
          </w:p>
        </w:tc>
      </w:tr>
      <w:tr>
        <w:trPr>
          <w:trHeight w:val="39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bookmarkStart w:id="3" w:name="OLE_LINK1"/>
            <w:r>
              <w:rPr>
                <w:color w:val="000000" w:themeColor="text1"/>
              </w:rPr>
            </w:r>
            <w:bookmarkEnd w:id="3"/>
            <w:r>
              <w:rPr>
                <w:color w:val="000000" w:themeColor="text1"/>
              </w:rPr>
              <w:t xml:space="preserve">Hướng Tây Bắc: Tiếp giáp đường giao thông</w:t>
            </w:r>
            <w:r>
              <w:rPr>
                <w:color w:val="000000" w:themeColor="text1"/>
                <w:highlight w:val="none"/>
              </w:rPr>
            </w:r>
            <w:r>
              <w:rPr>
                <w:color w:val="000000" w:themeColor="text1"/>
                <w:highlight w:val="none"/>
              </w:rPr>
            </w:r>
          </w:p>
          <w:p>
            <w:pPr>
              <w:pBdr/>
              <w:spacing/>
              <w:ind/>
              <w:rPr>
                <w:color w:val="000000" w:themeColor="text1"/>
                <w:highlight w:val="none"/>
              </w:rPr>
            </w:pPr>
            <w:r>
              <w:rPr>
                <w:color w:val="000000" w:themeColor="text1"/>
                <w:highlight w:val="none"/>
              </w:rPr>
              <w:t xml:space="preserve">Hướng Đông Bắc: Tiếp giáp đường giao thông</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21.046426</w:t>
            </w:r>
            <w:r>
              <w:rPr>
                <w:color w:val="000000"/>
              </w:rPr>
              <w:t xml:space="preserve">, </w:t>
            </w:r>
            <w:r>
              <w:rPr>
                <w:color w:val="000000"/>
              </w:rPr>
              <w:t xml:space="preserve">105.7705649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48997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48997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3.54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53,7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8,56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Vạt góc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đô thị: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trên đất có công trình trên đất có công trình nhà 5 tầng + 1 tum, kết cấu BTCT, tường xây gạch chịu lực, sàn lát gạch men, ngoại quan khá. Diện tích xây dựng 53,7 m2/sàn. Công trình được sửa chữa lại vào năm 2022. Công trình đã</w:t>
            </w:r>
            <w:r>
              <w:rPr>
                <w:rFonts w:ascii="Times New Roman" w:hAnsi="Times New Roman" w:eastAsia="Times New Roman" w:cs="Times New Roman"/>
                <w:color w:val="000000"/>
                <w:sz w:val="24"/>
              </w:rPr>
              <w:t xml:space="preserve"> được chứng nhận trên GCN.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trên đất có công trình trên đất có công trình nhà 5 tầng + 1 tum, kết cấu BTCT, tường xây gạch chịu lực, sàn lát gạch men, ngoại quan khá. Diện tích xây dựng 53,7 m2/sàn. Công trình được sửa chữa lại vào năm 2022. Công trình đã</w:t>
      </w:r>
      <w:r>
        <w:rPr>
          <w:rFonts w:ascii="Times New Roman" w:hAnsi="Times New Roman" w:eastAsia="Times New Roman" w:cs="Times New Roman"/>
          <w:color w:val="000000"/>
          <w:sz w:val="24"/>
        </w:rPr>
        <w:t xml:space="preserve"> được chứng nhận trên GCN.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w:t>
      </w:r>
      <w:r>
        <w:rPr>
          <w:rFonts w:ascii="Times New Roman" w:hAnsi="Times New Roman" w:eastAsia="Times New Roman" w:cs="Times New Roman"/>
          <w:color w:val="000000"/>
          <w:sz w:val="24"/>
        </w:rPr>
        <w:t xml:space="preserve"> giá trị của công trình xây dựng hiện có vào tổng giá trị nhưng vẫn coi công trình xây dựng là phần không thể tách rời của tài sản thẩm định. Kính đề nghị đơn vị sử dụng kết quả lưu ý</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highlight w:val="none"/>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highlight w:val="none"/>
          <w:lang w:val="pt-BR"/>
        </w:rPr>
      </w:r>
    </w:p>
    <w:p>
      <w:pPr>
        <w:pStyle w:val="1027"/>
        <w:pBdr/>
        <w:spacing w:after="120" w:before="120" w:line="276" w:lineRule="auto"/>
        <w:ind w:firstLine="357" w:left="0"/>
        <w:jc w:val="both"/>
        <w:rPr>
          <w:lang w:val="pt-BR"/>
        </w:rPr>
      </w:pPr>
      <w:r>
        <w:rPr>
          <w:lang w:val="pt-BR"/>
        </w:rPr>
      </w:r>
      <w:r>
        <w:rPr>
          <w:lang w:val="pt-BR"/>
        </w:rPr>
      </w:r>
      <w:r>
        <w:rPr>
          <w:lang w:val="pt-BR"/>
        </w:rPr>
      </w:r>
    </w:p>
    <w:p>
      <w:pPr>
        <w:pStyle w:val="1027"/>
        <w:pBdr/>
        <w:spacing w:after="120" w:before="120" w:line="276" w:lineRule="auto"/>
        <w:ind w:firstLine="357" w:left="0"/>
        <w:jc w:val="both"/>
        <w:rPr>
          <w:lang w:val="pt-BR"/>
        </w:rPr>
      </w:pPr>
      <w:r>
        <w:rPr>
          <w:bCs/>
          <w:highlight w:val="none"/>
          <w:lang w:val="pt-BR" w:bidi="pt-BR"/>
        </w:rPr>
      </w:r>
      <w:r>
        <w:rPr>
          <w:bCs/>
          <w:highlight w:val="none"/>
          <w:lang w:val="pt-BR"/>
        </w:rPr>
      </w:r>
      <w:r>
        <w:rPr>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692"/>
        <w:gridCol w:w="179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9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Diễn,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Phường Phú Diễn,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Phường Phú Diễn,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Phú Diễn,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sz w:val="22"/>
                <w:szCs w:val="22"/>
              </w:rPr>
            </w:pPr>
            <w:r>
              <w:rPr>
                <w:color w:val="000000" w:themeColor="text1"/>
                <w:sz w:val="22"/>
                <w:szCs w:val="22"/>
              </w:rPr>
              <w:t xml:space="preserve">0988365163</w:t>
            </w:r>
            <w:r>
              <w:rPr>
                <w:sz w:val="22"/>
                <w:szCs w:val="22"/>
              </w:rPr>
              <w:t xml:space="preserve"> </w:t>
            </w:r>
            <w:r>
              <w:rPr>
                <w:sz w:val="22"/>
                <w:szCs w:val="22"/>
              </w:rPr>
              <w:br/>
              <w:t xml:space="preserve">(</w:t>
            </w:r>
            <w:r>
              <w:rPr>
                <w:sz w:val="22"/>
                <w:szCs w:val="22"/>
              </w:rPr>
              <w:t xml:space="preserve">Hùng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sz w:val="22"/>
                <w:szCs w:val="22"/>
              </w:rPr>
            </w:pPr>
            <w:r>
              <w:rPr>
                <w:color w:val="000000" w:themeColor="text1"/>
                <w:sz w:val="22"/>
                <w:szCs w:val="22"/>
              </w:rPr>
              <w:t xml:space="preserve">0947180316</w:t>
            </w:r>
            <w:r>
              <w:rPr>
                <w:sz w:val="22"/>
                <w:szCs w:val="22"/>
              </w:rPr>
              <w:br/>
            </w:r>
            <w:r>
              <w:rPr>
                <w:sz w:val="22"/>
                <w:szCs w:val="22"/>
              </w:rPr>
              <w:t xml:space="preserve">(</w:t>
            </w:r>
            <w:r>
              <w:rPr>
                <w:sz w:val="22"/>
                <w:szCs w:val="22"/>
              </w:rPr>
              <w:t xml:space="preserve">Lượng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0981935356</w:t>
            </w:r>
            <w:r>
              <w:rPr>
                <w:sz w:val="22"/>
                <w:szCs w:val="22"/>
              </w:rPr>
              <w:br/>
            </w:r>
            <w:r>
              <w:rPr>
                <w:sz w:val="22"/>
                <w:szCs w:val="22"/>
              </w:rPr>
              <w:t xml:space="preserve">(</w:t>
            </w:r>
            <w:r>
              <w:rPr>
                <w:sz w:val="22"/>
                <w:szCs w:val="22"/>
              </w:rPr>
              <w:t xml:space="preserve">Hoàng Hà</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Tháng 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Tháng 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7/2026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trong khu đô thị Cầu Diễn, cách đường Hoàng Công Chất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Hồ Tùng Mậu (QL32)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Hồ Tùng Mậu (QL32)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Hồ Tùng Mậu (QL32) khoảng 100m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4,0m + vỉa hè mỗi bên 2,5m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143,0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xây ở bình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hd w:val="nil" w:color="auto"/>
              <w:spacing/>
              <w:ind/>
              <w:jc w:val="center"/>
              <w:rPr>
                <w:color w:val="000000" w:themeColor="text1"/>
                <w:sz w:val="22"/>
                <w:szCs w:val="22"/>
                <w:highlight w:val="yellow"/>
                <w14:ligatures w14:val="none"/>
              </w:rPr>
            </w:pPr>
            <w:r>
              <w:rPr>
                <w:color w:val="000000" w:themeColor="text1"/>
                <w:sz w:val="22"/>
                <w:szCs w:val="22"/>
              </w:rPr>
            </w:r>
            <w:r>
              <w:rPr>
                <w:color w:val="000000" w:themeColor="text1"/>
                <w:sz w:val="22"/>
                <w:szCs w:val="22"/>
                <w:highlight w:val="white"/>
              </w:rPr>
              <w:t xml:space="preserve">Xây 8 tầng 35 phòng ngủ, đang kinh doanh</w:t>
            </w:r>
            <w:r>
              <w:rPr>
                <w:color w:val="000000" w:themeColor="text1"/>
                <w:sz w:val="22"/>
                <w:szCs w:val="22"/>
                <w:highlight w:val="yellow"/>
                <w14:ligatures w14:val="none"/>
              </w:rPr>
            </w:r>
            <w:r>
              <w:rPr>
                <w:color w:val="000000" w:themeColor="text1"/>
                <w:sz w:val="22"/>
                <w:szCs w:val="22"/>
                <w:highlight w:val="yellow"/>
                <w14:ligatures w14: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xây ở bình thường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xây ở bình thường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Tái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Nhà 8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Nhà 5,5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3 tầng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3,0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1144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170,0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53.500.000.000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8.800.000.000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48.150.000.000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7.040.000.000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8.640.000.000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hd w:val="nil" w:color="auto"/>
              <w:spacing/>
              <w:ind/>
              <w:jc w:val="center"/>
              <w:rPr>
                <w:sz w:val="22"/>
                <w:szCs w:val="22"/>
                <w14:ligatures w14:val="none"/>
              </w:rPr>
            </w:pPr>
            <w:r>
              <w:rPr>
                <w:sz w:val="22"/>
                <w:szCs w:val="22"/>
              </w:rPr>
              <w:t xml:space="preserve">11.280.401.704</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none"/>
              </w:rPr>
              <w:t xml:space="preserve">1.319.143.050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none"/>
              </w:rPr>
              <w:t xml:space="preserve">758.055.072</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36.869.598.296</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5.720.856.950</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r>
            <w:r>
              <w:rPr>
                <w:sz w:val="22"/>
                <w:szCs w:val="22"/>
                <w:highlight w:val="white"/>
              </w:rPr>
              <w:t xml:space="preserve">7.881.944.928</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tcPr>
          <w:p>
            <w:pPr>
              <w:pBdr/>
              <w:shd w:val="nil" w:color="auto"/>
              <w:spacing/>
              <w:ind/>
              <w:jc w:val="center"/>
              <w:rPr>
                <w:sz w:val="22"/>
                <w:szCs w:val="22"/>
                <w14:ligatures w14:val="none"/>
              </w:rPr>
            </w:pPr>
            <w:r>
              <w:rPr>
                <w:sz w:val="22"/>
                <w:szCs w:val="22"/>
              </w:rPr>
              <w:t xml:space="preserve">257.829.359</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tcPr>
          <w:p>
            <w:pPr>
              <w:pBdr/>
              <w:shd w:val="nil" w:color="auto"/>
              <w:spacing/>
              <w:ind/>
              <w:jc w:val="center"/>
              <w:rPr>
                <w:sz w:val="22"/>
                <w:szCs w:val="22"/>
                <w14:ligatures w14:val="none"/>
              </w:rPr>
            </w:pPr>
            <w:r>
              <w:rPr>
                <w:sz w:val="22"/>
                <w:szCs w:val="22"/>
              </w:rPr>
              <w:t xml:space="preserve">190.695.232</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hd w:val="nil" w:color="auto"/>
              <w:spacing/>
              <w:ind/>
              <w:jc w:val="center"/>
              <w:rPr>
                <w:sz w:val="22"/>
                <w:szCs w:val="22"/>
                <w14:ligatures w14:val="none"/>
              </w:rPr>
            </w:pPr>
            <w:r>
              <w:rPr>
                <w:sz w:val="22"/>
                <w:szCs w:val="22"/>
              </w:rPr>
              <w:t xml:space="preserve">207.419.603</w:t>
            </w:r>
            <w:r>
              <w:rPr>
                <w:sz w:val="22"/>
                <w:szCs w:val="22"/>
                <w14:ligatures w14:val="none"/>
              </w:rPr>
            </w:r>
            <w:r>
              <w:rPr>
                <w:sz w:val="22"/>
                <w:szCs w:val="22"/>
                <w14:ligatures w14:val="no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9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92" w:type="dxa"/>
            <w:vAlign w:val="center"/>
            <w:textDirection w:val="lrTb"/>
            <w:noWrap w:val="false"/>
          </w:tcPr>
          <w:p>
            <w:pPr>
              <w:pBdr/>
              <w:spacing/>
              <w:ind/>
              <w:jc w:val="center"/>
              <w:rPr>
                <w:color w:val="000000"/>
                <w:sz w:val="22"/>
                <w:szCs w:val="22"/>
              </w:rPr>
            </w:pPr>
            <w:r>
              <w:rPr>
                <w:color w:val="000000"/>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36.869.598.296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5.720.856.950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7.881.944.928</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257.829.359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190.695.232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207.419.603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257.829.359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220.028.565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207.419.603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nằm trong khu đô thị Cầu Diễn, cách đường Hoàng Công Chất khoảng 400m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Hồ Tùng Mậu (QL32) khoảng 200m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Hồ Tùng Mậu (QL32) khoảng 500m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Hồ Tùng Mậu (QL32) khoảng 100m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12.891.468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9.534.762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10.370.980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270.720.827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200.229.994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217.790.583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5.156.587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11.001.428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10.370.980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275.877.414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211.231.422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228.161.563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4,0m + vỉa hè mỗi bên 2,5m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7.734.881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11.001.428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16.593.568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283.612.295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222.232.850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244.755.131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12.891.468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-11.001.428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-6.222.588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309.395.231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222.232.850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248.903.523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11.001.428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10.370.980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309.395.231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233.234.278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259.274.503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11.001.428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309.395.231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244.235.706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259.274.503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-6.600.857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309.395.231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237.634.849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259.274.503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Nhà xây ở bình thường</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highlight w:val="white"/>
              </w:rPr>
              <w:t xml:space="preserve">Xây 8 tầng 35 phòng ngủ, đang kinh doanh</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xây ở bình thường</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Nhà xây ở bình thường</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-25.782.936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283.612.295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237.634.849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259.274.503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283.612.295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237.634.849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259.274.503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260.173.882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9,01%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-8,66%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-0,35%</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77.348.808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82.144.187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64.300.076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25.782.936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46.939.617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51.854.900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0,35% đến</w:t>
      </w:r>
      <w:r>
        <w:t xml:space="preserve"> </w:t>
      </w:r>
      <w:r>
        <w:t xml:space="preserve">9,01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283.612.295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94.556.339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237.634.849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79.203.695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259.274.503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hd w:val="clear" w:color="ffffff" w:themeColor="background1" w:fill="ffffff" w:themeFill="background1"/>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86.416.192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260.176.226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260.000.000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260.000.000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có địa chỉ: Số 1 D3 dự án nhà ở Cầu Diễn, phường Phú Diễn, quận Bắc Từ Liêm, thành phố Hà Nội (nay là phường P</w:t>
            </w:r>
            <w:r>
              <w:rPr>
                <w:color w:val="000000"/>
              </w:rPr>
              <w:t xml:space="preserve">hú Diễn, thành phố Hà Nội) theo Giấy chứng nhận quyền sử dụng đất, quyền sở hữu nhà ở và tài sản khác gắn liền với đất số: CV 537073, số vào sổ cấp GCN: CS-BTL10241 do Sở Tài nguyên và Môi trường thành phố Hà Nội cấp ngày 20/7/2020 cho Ông Viên Đình Phương</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highlight w:val="white"/>
              </w:rPr>
            </w:pPr>
            <w:r>
              <w:rPr>
                <w:color w:val="000000" w:themeColor="text1"/>
                <w:highlight w:val="white"/>
              </w:rPr>
              <w:t xml:space="preserve">53,7</w:t>
            </w:r>
            <w:r>
              <w:rPr>
                <w:color w:val="000000"/>
                <w:highlight w:val="white"/>
              </w:rPr>
            </w:r>
            <w:r>
              <w:rPr>
                <w:color w:val="000000"/>
                <w:highlight w:val="white"/>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260.000.000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13.962.000.000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13.962.000.000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ba tỷ chín trăm sáu mươi hai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Style w:val="1027"/>
        <w:numPr>
          <w:ilvl w:val="0"/>
          <w:numId w:val="39"/>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trên đất có công trình trên đất có công trình nhà 5 tầng + 1 tum, kết cấu BTCT, tường xây gạch chịu lực, sàn lát gạch men, ngoại quan khá. Diện tích xây dựng 53,7 m2/sàn. Công trình được sửa chữa lại vào năm 2022. Công trình đã</w:t>
      </w:r>
      <w:r>
        <w:rPr>
          <w:rFonts w:ascii="Times New Roman" w:hAnsi="Times New Roman" w:eastAsia="Times New Roman" w:cs="Times New Roman"/>
          <w:color w:val="000000"/>
          <w:sz w:val="24"/>
        </w:rPr>
        <w:t xml:space="preserve"> được chứng nhận trên GCN.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w:t>
      </w:r>
      <w:r>
        <w:rPr>
          <w:rFonts w:ascii="Times New Roman" w:hAnsi="Times New Roman" w:eastAsia="Times New Roman" w:cs="Times New Roman"/>
          <w:color w:val="000000"/>
          <w:sz w:val="24"/>
        </w:rPr>
        <w:t xml:space="preserve"> giá trị của công trình xây dựng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Style w:val="1027"/>
        <w:numPr>
          <w:ilvl w:val="0"/>
          <w:numId w:val="5"/>
        </w:numPr>
        <w:pBdr/>
        <w:tabs>
          <w:tab w:val="left" w:leader="none" w:pos="993"/>
        </w:tabs>
        <w:spacing w:after="120" w:before="120" w:line="288" w:lineRule="auto"/>
        <w:ind w:hanging="357" w:left="357"/>
        <w:jc w:val="both"/>
        <w:rPr>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Meeymap xác định</w:t>
      </w:r>
      <w:r>
        <w:rPr>
          <w:rFonts w:ascii="Times New Roman" w:hAnsi="Times New Roman" w:eastAsia="Times New Roman" w:cs="Times New Roman"/>
          <w:color w:val="000000"/>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sz w:val="24"/>
        </w:rPr>
        <w:t xml:space="preserve"> nhận rõ tình trạng quy hoạch thì kết quả thẩm định giá cần được xem xét, điều chỉnh phù hợp, đồng thời chúng tôi bảo lưu quyền xem xét lại kết quả thẩm định giá.</w:t>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2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275/2026/1122/VFI-CT.48.A</w:t>
      </w:r>
      <w:r>
        <w:rPr>
          <w:color w:val="ff0000"/>
          <w:lang w:val="vi-VN"/>
        </w:rPr>
        <w:t xml:space="preserve"> </w:t>
      </w:r>
      <w:r>
        <w:rPr>
          <w:color w:val="000000" w:themeColor="text1"/>
        </w:rPr>
        <w:t xml:space="preserve">ngày 24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275/2026/1122/VFI-BC.48.A</w:t>
      </w:r>
      <w:r>
        <w:rPr>
          <w:i/>
          <w:lang w:val="pt-BR"/>
        </w:rPr>
        <w:t xml:space="preserve"> </w:t>
      </w:r>
      <w:r>
        <w:rPr>
          <w:i/>
          <w:lang w:val="pt-BR"/>
        </w:rPr>
        <w:t xml:space="preserve">24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730899927" name="" descr=""/>
                              <pic:cNvPicPr/>
                              <pic:nvPr/>
                            </pic:nvPicPr>
                            <pic:blipFill rotWithShape="1">
                              <a:blip r:embed="rId19"/>
                            </pic:blipFill>
                            <pic:spPr bwMode="auto">
                              <a:xfrm>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46609" cy="183495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200391" name=""/>
                              <pic:cNvPicPr>
                                <a:picLocks noChangeAspect="1"/>
                              </pic:cNvPicPr>
                              <pic:nvPr/>
                            </pic:nvPicPr>
                            <pic:blipFill rotWithShape="1">
                              <a:blip r:embed="rId20"/>
                              <a:stretch/>
                            </pic:blipFill>
                            <pic:spPr bwMode="auto">
                              <a:xfrm flipH="0" flipV="0">
                                <a:off x="0" y="0"/>
                                <a:ext cx="2446608" cy="18349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2.65pt;height:144.4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16318" cy="188723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70610" name=""/>
                              <pic:cNvPicPr>
                                <a:picLocks noChangeAspect="1"/>
                              </pic:cNvPicPr>
                              <pic:nvPr/>
                            </pic:nvPicPr>
                            <pic:blipFill rotWithShape="1">
                              <a:blip r:embed="rId21"/>
                              <a:stretch/>
                            </pic:blipFill>
                            <pic:spPr bwMode="auto">
                              <a:xfrm flipH="0" flipV="0">
                                <a:off x="0" y="0"/>
                                <a:ext cx="2516318" cy="18872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8.14pt;height:148.6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55345" cy="184150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484062" name=""/>
                              <pic:cNvPicPr>
                                <a:picLocks noChangeAspect="1"/>
                              </pic:cNvPicPr>
                              <pic:nvPr/>
                            </pic:nvPicPr>
                            <pic:blipFill rotWithShape="1">
                              <a:blip r:embed="rId22"/>
                              <a:stretch/>
                            </pic:blipFill>
                            <pic:spPr bwMode="auto">
                              <a:xfrm flipH="0" flipV="0">
                                <a:off x="0" y="0"/>
                                <a:ext cx="2455345" cy="18415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3.33pt;height:145.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23660" cy="196774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90213" name=""/>
                              <pic:cNvPicPr>
                                <a:picLocks noChangeAspect="1"/>
                              </pic:cNvPicPr>
                              <pic:nvPr/>
                            </pic:nvPicPr>
                            <pic:blipFill rotWithShape="1">
                              <a:blip r:embed="rId23"/>
                              <a:stretch/>
                            </pic:blipFill>
                            <pic:spPr bwMode="auto">
                              <a:xfrm flipH="0" flipV="0">
                                <a:off x="0" y="0"/>
                                <a:ext cx="2623659" cy="19677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6.59pt;height:154.9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30736" cy="197305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31316" name=""/>
                              <pic:cNvPicPr>
                                <a:picLocks noChangeAspect="1"/>
                              </pic:cNvPicPr>
                              <pic:nvPr/>
                            </pic:nvPicPr>
                            <pic:blipFill rotWithShape="1">
                              <a:blip r:embed="rId24"/>
                              <a:stretch/>
                            </pic:blipFill>
                            <pic:spPr bwMode="auto">
                              <a:xfrm flipH="0" flipV="0">
                                <a:off x="0" y="0"/>
                                <a:ext cx="2630735" cy="19730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7.14pt;height:155.36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w:t>
      </w:r>
      <w:commentRangeStart w:id="1"/>
      <w:r>
        <w:rPr>
          <w:b/>
          <w:lang w:val="vi-VN"/>
        </w:rPr>
        <w:t xml:space="preserve">N THU THẬP THỊ</w:t>
      </w:r>
      <w:commentRangeEnd w:id="1"/>
      <w:r>
        <w:commentReference w:id="1"/>
      </w:r>
      <w:r>
        <w:rPr>
          <w:b/>
          <w:lang w:val="vi-VN"/>
        </w:rPr>
        <w:t xml:space="preserve">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275/2026/1122/VFI-BC.48.A</w:t>
      </w:r>
      <w:r>
        <w:rPr>
          <w:i/>
          <w:lang w:val="pt-BR"/>
        </w:rPr>
        <w:t xml:space="preserve"> </w:t>
      </w:r>
      <w:r>
        <w:rPr>
          <w:i/>
          <w:lang w:val="pt-BR"/>
        </w:rPr>
        <w:t xml:space="preserve">ngày 24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0988365163</w:t>
            </w:r>
            <w:r>
              <w:rPr>
                <w:sz w:val="22"/>
                <w:szCs w:val="22"/>
              </w:rPr>
              <w:t xml:space="preserve"> </w:t>
            </w:r>
            <w:r>
              <w:rPr>
                <w:sz w:val="22"/>
                <w:szCs w:val="22"/>
              </w:rPr>
              <w:br/>
              <w:t xml:space="preserve">(Hùng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(143m²)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Hồ Tùng Mậu (QL32)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087818" cy="2396822"/>
                      <wp:effectExtent l="0" t="0" r="0" b="0"/>
                      <wp:docPr id="13" name=""/>
                      <wp:cNvGraphicFramePr/>
                      <a:graphic xmlns:a="http://schemas.openxmlformats.org/drawingml/2006/main">
                        <a:graphicData uri="http://schemas.openxmlformats.org/drawingml/2006/picture">
                          <pic:pic xmlns:pic="http://schemas.openxmlformats.org/drawingml/2006/picture">
                            <pic:nvPicPr>
                              <pic:cNvPr id="820733651" name="" descr=""/>
                              <pic:cNvPicPr/>
                              <pic:nvPr/>
                            </pic:nvPicPr>
                            <pic:blipFill rotWithShape="1">
                              <a:blip r:embed="rId25"/>
                              <a:stretch/>
                            </pic:blipFill>
                            <pic:spPr bwMode="auto">
                              <a:xfrm flipH="0" flipV="0">
                                <a:off x="0" y="0"/>
                                <a:ext cx="3087818" cy="23968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3.14pt;height:188.73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9318" cy="2528393"/>
                      <wp:effectExtent l="0" t="0" r="0" b="0"/>
                      <wp:docPr id="14" name=""/>
                      <wp:cNvGraphicFramePr/>
                      <a:graphic xmlns:a="http://schemas.openxmlformats.org/drawingml/2006/main">
                        <a:graphicData uri="http://schemas.openxmlformats.org/drawingml/2006/picture">
                          <pic:pic xmlns:pic="http://schemas.openxmlformats.org/drawingml/2006/picture">
                            <pic:nvPicPr>
                              <pic:cNvPr id="1477996031" name="" descr=""/>
                              <pic:cNvPicPr/>
                              <pic:nvPr/>
                            </pic:nvPicPr>
                            <pic:blipFill rotWithShape="1">
                              <a:blip r:embed="rId26"/>
                              <a:stretch/>
                            </pic:blipFill>
                            <pic:spPr bwMode="auto">
                              <a:xfrm flipH="0" flipV="0">
                                <a:off x="0" y="0"/>
                                <a:ext cx="2389318" cy="25283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8.14pt;height:199.09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0947180316</w:t>
            </w:r>
            <w:r>
              <w:rPr>
                <w:sz w:val="22"/>
                <w:szCs w:val="22"/>
              </w:rPr>
              <w:t xml:space="preserve"> </w:t>
            </w:r>
            <w:r>
              <w:rPr>
                <w:sz w:val="22"/>
                <w:szCs w:val="22"/>
              </w:rPr>
              <w:br/>
              <w:t xml:space="preserve">(Lượng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Hồ Tùng Mậu (QL32)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46985" cy="2080124"/>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346984" cy="208012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4.80pt;height:163.79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63826" cy="2048374"/>
                      <wp:effectExtent l="0" t="0" r="0" b="0"/>
                      <wp:docPr id="16" name=""/>
                      <wp:cNvGraphicFramePr/>
                      <a:graphic xmlns:a="http://schemas.openxmlformats.org/drawingml/2006/main">
                        <a:graphicData uri="http://schemas.openxmlformats.org/drawingml/2006/picture">
                          <pic:pic xmlns:pic="http://schemas.openxmlformats.org/drawingml/2006/picture">
                            <pic:nvPicPr>
                              <pic:cNvPr id="481374373" name="" descr=""/>
                              <pic:cNvPicPr/>
                              <pic:nvPr/>
                            </pic:nvPicPr>
                            <pic:blipFill rotWithShape="1">
                              <a:blip r:embed="rId28"/>
                              <a:stretch/>
                            </pic:blipFill>
                            <pic:spPr bwMode="auto">
                              <a:xfrm flipH="0" flipV="0">
                                <a:off x="0" y="0"/>
                                <a:ext cx="2663825" cy="204837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9.75pt;height:161.29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0981935356</w:t>
            </w:r>
            <w:r>
              <w:rPr>
                <w:sz w:val="22"/>
                <w:szCs w:val="22"/>
              </w:rPr>
              <w:t xml:space="preserve"> </w:t>
            </w:r>
            <w:r>
              <w:rPr>
                <w:sz w:val="22"/>
                <w:szCs w:val="22"/>
              </w:rPr>
              <w:br/>
              <w:t xml:space="preserve">(Hoàng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Hồ Tùng Mậu (QL32)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4568" cy="2228291"/>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484567" cy="22282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5.64pt;height:175.4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27318" cy="2496643"/>
                      <wp:effectExtent l="0" t="0" r="0" b="0"/>
                      <wp:docPr id="18" name=""/>
                      <wp:cNvGraphicFramePr/>
                      <a:graphic xmlns:a="http://schemas.openxmlformats.org/drawingml/2006/main">
                        <a:graphicData uri="http://schemas.openxmlformats.org/drawingml/2006/picture">
                          <pic:pic xmlns:pic="http://schemas.openxmlformats.org/drawingml/2006/picture">
                            <pic:nvPicPr>
                              <pic:cNvPr id="563573573" name="" descr=""/>
                              <pic:cNvPicPr/>
                              <pic:nvPr/>
                            </pic:nvPicPr>
                            <pic:blipFill rotWithShape="1">
                              <a:blip r:embed="rId30"/>
                              <a:stretch/>
                            </pic:blipFill>
                            <pic:spPr bwMode="auto">
                              <a:xfrm flipH="0" flipV="0">
                                <a:off x="0" y="0"/>
                                <a:ext cx="1627318" cy="24966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8.14pt;height:196.5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2898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26016" name=""/>
                        <pic:cNvPicPr>
                          <a:picLocks noChangeAspect="1"/>
                        </pic:cNvPicPr>
                        <pic:nvPr/>
                      </pic:nvPicPr>
                      <pic:blipFill rotWithShape="1">
                        <a:blip r:embed="rId31"/>
                        <a:stretch/>
                      </pic:blipFill>
                      <pic:spPr bwMode="auto">
                        <a:xfrm>
                          <a:off x="0" y="0"/>
                          <a:ext cx="6048374" cy="80289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2.20pt;mso-wrap-distance-left:0.00pt;mso-wrap-distance-top:0.00pt;mso-wrap-distance-right:0.00pt;mso-wrap-distance-bottom:0.00pt;z-index:1;" stroked="false">
                <v:imagedata r:id="rId31"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46260"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7-24T17:31:02Z" w:initials="NTTD">
    <w:p w14:paraId="00000001" w14:textId="00000001">
      <w:pPr>
        <w:spacing w:line="240" w:after="0" w:lineRule="auto" w:before="0"/>
        <w:ind w:firstLine="0" w:left="0" w:right="0"/>
        <w:jc w:val="left"/>
      </w:pPr>
      <w:r>
        <w:rPr>
          <w:rFonts w:eastAsia="Arial" w:ascii="Arial" w:hAnsi="Arial" w:cs="Arial"/>
          <w:sz w:val="22"/>
        </w:rPr>
        <w:t xml:space="preserve">Bổ sung thông tin công trình của các TSSS</w:t>
      </w:r>
    </w:p>
  </w:comment>
  <w:comment w:id="0" w:author="Nguyễn Thị Thùy Dương" w:date="2026-07-24T17:00:50Z" w:initials="NTTD">
    <w:p w14:paraId="00000002" w14:textId="00000002">
      <w:pPr>
        <w:spacing w:line="240" w:after="0" w:lineRule="auto" w:before="0"/>
        <w:ind w:firstLine="0" w:left="0" w:right="0"/>
        <w:jc w:val="left"/>
      </w:pPr>
      <w:r>
        <w:rPr>
          <w:rFonts w:eastAsia="Arial" w:ascii="Arial" w:hAnsi="Arial" w:cs="Arial"/>
          <w:sz w:val="22"/>
        </w:rPr>
        <w:t xml:space="preserve">Bổ sung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290AF5E" w16cex:dateUtc="2026-07-24T10:31:02Z"/>
  <w16cex:commentExtensible w16cex:durableId="2CC0E7F2" w16cex:dateUtc="2026-07-24T10:00:5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290AF5E"/>
  <w16cid:commentId w16cid:paraId="00000002" w16cid:durableId="2CC0E7F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283</cp:revision>
  <dcterms:created xsi:type="dcterms:W3CDTF">2025-09-15T09:58:00Z</dcterms:created>
  <dcterms:modified xsi:type="dcterms:W3CDTF">2026-07-24T15:13:51Z</dcterms:modified>
</cp:coreProperties>
</file>