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5250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5250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275/2026/0878/VFI-CT.36.A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PHAN TÚ QUỲNH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 tờ bản đồ số: 23, có địa chỉ: Số 19/482 Thiên Lôi, phường Vĩnh Niệm, quận Lê Chân, thành phố Hải Phòng (Nay là: Phường An Biên, thành phố Hải Phòng) theo Giấy ch</w:t>
                            </w:r>
                            <w:r>
                              <w:rPr>
                                <w:color w:val="000000"/>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7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275/2026/0878/VFI-CT.36.A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PHAN TÚ QUỲNH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 tờ bản đồ số: 23, có địa chỉ: Số 19/482 Thiên Lôi, phường Vĩnh Niệm, quận Lê Chân, thành phố Hải Phòng (Nay là: Phường An Biên, thành phố Hải Phòng) theo Giấy ch</w:t>
                      </w:r>
                      <w:r>
                        <w:rPr>
                          <w:color w:val="000000"/>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275/2026/0878/VFI-CT.36.A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PHAN TÚ QUỲNH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275/2026/0878/VFI-HĐTĐ.36.A</w:t>
      </w:r>
      <w:r>
        <w:rPr>
          <w:spacing w:val="-4"/>
          <w:lang w:val="vi-VN"/>
        </w:rPr>
        <w:t xml:space="preserve"> ký ngày 0</w:t>
      </w:r>
      <w:r>
        <w:rPr>
          <w:color w:val="000000" w:themeColor="text1"/>
          <w:spacing w:val="-4"/>
        </w:rPr>
        <w:t xml:space="preserve">1 tháng 6 năm 2026</w:t>
      </w:r>
      <w:r>
        <w:rPr>
          <w:spacing w:val="-4"/>
          <w:lang w:val="vi-VN"/>
        </w:rPr>
        <w:t xml:space="preserve"> </w:t>
      </w:r>
      <w:r>
        <w:rPr>
          <w:spacing w:val="-4"/>
          <w:lang w:val="vi-VN"/>
        </w:rPr>
        <w:t xml:space="preserve">giữa </w:t>
      </w:r>
      <w:r>
        <w:rPr>
          <w:color w:val="000000" w:themeColor="text1"/>
          <w:spacing w:val="-4"/>
        </w:rPr>
        <w:t xml:space="preserve">bà Phan Tú Quỳnh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275/2026/0878/VFI-BC.36.A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PHAN TÚ QUỲNH 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0311811004214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29 Tống Trân, phường Quang Trung, thành phố Hưng Yên, tỉnh Hưng Yên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56, tờ bản đồ số: 23, có địa chỉ: Số 19/482 Thiên Lôi, phường Vĩnh Niệm, quận Lê Chân, thành phố Hải Phòng ( Nay là: Phường An Biên, thành phố Hải Phòng) theo Giấy ch</w:t>
      </w:r>
      <w:r>
        <w:rPr>
          <w:color w:val="000000" w:themeColor="text1"/>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383"/>
        <w:gridCol w:w="1802"/>
        <w:gridCol w:w="2581"/>
        <w:gridCol w:w="2164"/>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83"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6"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56, tờ bản đồ số: 23, có địa chỉ: Số 19/482 Thiên Lôi, phường Vĩnh Niệm, quận Lê Chân, thành phố Hải Phòng ( Nay là: Phường An Biên, thành phố Hải Phòng) theo Giấy ch</w:t>
            </w:r>
            <w:r>
              <w:rPr>
                <w:b/>
                <w:bCs/>
                <w:color w:val="000000"/>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83"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99,0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5.940.000.000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5.940.000.000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trăm bốn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275/2026/0878/VFI-BC.36.A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275/2026/0878/VFI-CT.36.A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PHAN TÚ QUỲNH ANH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0311811004214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29 Tống Trân, phường Quang Trung, thành phố Hưng Yên,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56, tờ bản đồ số: 23, có địa chỉ: Số 19/482 Thiên Lôi, phường Vĩnh Niệm, quận Lê Chân, thành phố Hải Phòng ( Nay là: Phường An Biên, thành phố Hải Phòng) theo Giấy ch</w:t>
            </w:r>
            <w:r>
              <w:rPr>
                <w:bCs/>
                <w:color w:val="000000" w:themeColor="text1"/>
                <w:lang w:val="pt-BR"/>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An Biên,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20.8301353, 106.6769896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03/06/2026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275/2026/0878/VFI-HĐTĐ.36.A ngày 01/06/2026 giữa bà Phan Tú Quỳnh Anh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left"/>
        <w:rPr>
          <w:b/>
          <w:bCs/>
          <w:iCs/>
        </w:rPr>
      </w:pPr>
      <w:r>
        <w:rPr>
          <w:b/>
          <w:bCs/>
          <w:shd w:val="clear" w:color="auto" w:fill="ffffff"/>
        </w:rPr>
        <w:t xml:space="preserve">Yếu tố nào tạo nên sức hút của bất độn</w:t>
      </w:r>
      <w:r>
        <w:rPr>
          <w:b/>
          <w:bCs/>
          <w:shd w:val="clear" w:color="auto" w:fill="ffffff"/>
        </w:rPr>
        <w:t xml:space="preserve">g sản Hải Phòng?</w:t>
      </w:r>
      <w:r>
        <w:rPr>
          <w:b/>
          <w:bCs/>
          <w:iCs/>
        </w:rPr>
      </w:r>
      <w:r>
        <w:rPr>
          <w:b/>
          <w:bCs/>
          <w:iCs/>
        </w:rPr>
      </w:r>
    </w:p>
    <w:p>
      <w:pPr>
        <w:pBdr/>
        <w:tabs>
          <w:tab w:val="left" w:leader="none" w:pos="426"/>
        </w:tabs>
        <w:spacing w:after="120" w:before="120" w:line="276" w:lineRule="auto"/>
        <w:ind/>
        <w:jc w:val="left"/>
        <w:rPr/>
      </w:pPr>
      <w:r>
        <w:rPr>
          <w:b/>
          <w:bCs/>
          <w:shd w:val="clear" w:color="auto" w:fill="ffffff"/>
        </w:rPr>
      </w:r>
      <w:r>
        <w:rPr>
          <w:shd w:val="clear" w:color="auto" w:fill="ffffff"/>
        </w:rPr>
        <w:t xml:space="preserve">Theo dữ liệu nghiên cứu thị trường, năm 2025 ghi nhận những tín hiệu phục hồi rõ rệt, đặc biệt thị trường cho thấy “lực phục hồi tốt ở nguồn cung mới và tâm lý nhà đầu tư”.</w:t>
      </w:r>
      <w:r>
        <w:rPr>
          <w:b/>
          <w:bCs/>
        </w:rPr>
      </w:r>
      <w:r/>
    </w:p>
    <w:p>
      <w:pPr>
        <w:pBdr/>
        <w:tabs>
          <w:tab w:val="left" w:leader="none" w:pos="426"/>
        </w:tabs>
        <w:spacing w:after="120" w:before="120" w:line="276" w:lineRule="auto"/>
        <w:ind/>
        <w:jc w:val="left"/>
        <w:rPr>
          <w:b/>
          <w:bCs/>
        </w:rPr>
      </w:pPr>
      <w:r>
        <w:rPr>
          <w:shd w:val="clear" w:color="auto" w:fill="ffffff"/>
        </w:rPr>
        <w:t xml:space="preserve">Mức độ quan tâm bất động sản trong quý III/2025 biến động từ 11 </w:t>
      </w:r>
      <w:r>
        <w:rPr>
          <w:shd w:val="clear" w:color="auto" w:fill="ffffff"/>
        </w:rPr>
        <w:t xml:space="preserve">- 22% so với đầu năm. Gần 90% môi giới đánh giá khả năng hấp thụ nguồn cung ở mức trung bình - tốt. Căn hộ chung cư trở thành phân khúc dẫn dắt, chiếm tỉ lệ cao nhất về kỳ vọng tăng trưởng (36%). Trong tháng 3.2026, mức độ quan tâm chung cư tại nhiều khu v</w:t>
      </w:r>
      <w:r>
        <w:rPr>
          <w:shd w:val="clear" w:color="auto" w:fill="ffffff"/>
        </w:rPr>
        <w:t xml:space="preserve">ực tăng 4 - 7% so với tháng 12.2025, mức tăng cao hơn đáng kể so với các loại hình khác.</w:t>
      </w:r>
      <w:r>
        <w:rPr>
          <w:b/>
          <w:bCs/>
        </w:rPr>
      </w:r>
      <w:r>
        <w:rPr>
          <w:b/>
          <w:bCs/>
        </w:rPr>
      </w:r>
    </w:p>
    <w:p>
      <w:pPr>
        <w:pBdr/>
        <w:tabs>
          <w:tab w:val="left" w:leader="none" w:pos="426"/>
        </w:tabs>
        <w:spacing w:after="120" w:before="120" w:line="276" w:lineRule="auto"/>
        <w:ind/>
        <w:jc w:val="both"/>
        <w:rPr/>
      </w:pPr>
      <w:r>
        <w:rPr>
          <w:shd w:val="clear" w:color="auto" w:fill="ffffff"/>
        </w:rPr>
        <w:t xml:space="preserve">Đáng chú ý, dòng tiền đầu tư không chỉ tập trung tại các đô thị trung tâm mà đang có dấu hiệu dịch chuyển sang cả các khu vực vệ tinh, nơi có dư địa tăng trưởng và hạ</w:t>
      </w:r>
      <w:r>
        <w:rPr>
          <w:shd w:val="clear" w:color="auto" w:fill="ffffff"/>
        </w:rPr>
        <w:t xml:space="preserve"> tầng phát triển đồng bộ. Trong xu hướng dịch chuyển dòng vốn, Hải Phòng nổi lên là một trong các thị trường dẫn đầu khu vực phía Bắc, ghi nhận mức tăng trưởng quan tâm lên tới trên 50% so với đầu năm 2025. Không chỉ thu hút dòng tiền từ các nhà đầu tư địa</w:t>
      </w:r>
      <w:r>
        <w:rPr>
          <w:shd w:val="clear" w:color="auto" w:fill="ffffff"/>
        </w:rPr>
        <w:t xml:space="preserve"> phương, thị trường này còn ghi nhận sự gia tăng mức độ quan tâm từ nhà đầu tư Hà Nội và các tỉnh lân cận.</w:t>
      </w:r>
      <w:r/>
    </w:p>
    <w:p>
      <w:pPr>
        <w:pBdr/>
        <w:tabs>
          <w:tab w:val="left" w:leader="none" w:pos="426"/>
        </w:tabs>
        <w:spacing w:after="120" w:before="120" w:line="276" w:lineRule="auto"/>
        <w:ind/>
        <w:jc w:val="both"/>
        <w:rPr/>
      </w:pPr>
      <w:r>
        <w:rPr>
          <w:shd w:val="clear" w:color="auto" w:fill="ffffff"/>
        </w:rPr>
        <w:t xml:space="preserve">Các chuyên gia bất động sản nhận định, trong bối cảnh kinh tế Việt Nam đang từng bước phục hồi và tăng tốc, Hải Phòng nổi lên như một cực tăng trưởn</w:t>
      </w:r>
      <w:r>
        <w:rPr>
          <w:shd w:val="clear" w:color="auto" w:fill="ffffff"/>
        </w:rPr>
        <w:t xml:space="preserve">g chiến lược tại khu vực phía Bắc. Không chỉ giữ vai trò là thành phố cảng trọng điểm, Hải Phòng còn đang bước vào một chu kỳ phát triển đô thị mới, nơi quy hoạch hiện đại, hạ tầng đồng bộ và dòng vốn đầu tư mạnh mẽ cùng hội tụ, tạo lực đẩy cho thị trường </w:t>
      </w:r>
      <w:r>
        <w:rPr>
          <w:shd w:val="clear" w:color="auto" w:fill="ffffff"/>
        </w:rPr>
        <w:t xml:space="preserve">bất động sản chuyển mình rõ nét.</w:t>
      </w:r>
      <w:r/>
    </w:p>
    <w:p>
      <w:pPr>
        <w:pBdr/>
        <w:tabs>
          <w:tab w:val="left" w:leader="none" w:pos="426"/>
        </w:tabs>
        <w:spacing w:after="120" w:before="120" w:line="276" w:lineRule="auto"/>
        <w:ind/>
        <w:jc w:val="both"/>
        <w:rPr/>
      </w:pPr>
      <w:r>
        <w:rPr>
          <w:shd w:val="clear" w:color="auto" w:fill="ffffff"/>
        </w:rPr>
      </w:r>
      <w:r>
        <w:rPr>
          <w:shd w:val="clear" w:color="auto" w:fill="ffffff"/>
        </w:rPr>
        <w:t xml:space="preserve">Chia sẻ tại sự kiện "Capital Flow 2026 - Dòng chảy nguồn vốn bất động sản về đâu?" do Batdongsan.com.vn phối hợp cùng Gamuda Land tổ chức ngày 15.5, ông Nguyễn Quốc Anh - Phó Tổng Giám đốc Batdongsan.com - nhận định, yếu t</w:t>
      </w:r>
      <w:r>
        <w:rPr>
          <w:shd w:val="clear" w:color="auto" w:fill="ffffff"/>
        </w:rPr>
        <w:t xml:space="preserve">ố đầu tiên khi nhắc đến động lực tăng trưởng bất động sản Hải Phòng đó là sức mạnh kinh tế và dư địa phát triển của thành phố này.</w:t>
      </w:r>
      <w:r/>
    </w:p>
    <w:p>
      <w:pPr>
        <w:pBdr/>
        <w:tabs>
          <w:tab w:val="left" w:leader="none" w:pos="426"/>
        </w:tabs>
        <w:spacing w:after="120" w:before="120" w:line="276" w:lineRule="auto"/>
        <w:ind/>
        <w:jc w:val="both"/>
        <w:rPr/>
      </w:pPr>
      <w:r>
        <w:rPr>
          <w:shd w:val="clear" w:color="auto" w:fill="ffffff"/>
        </w:rPr>
        <w:t xml:space="preserve">Thực tế, Hải Phòng là một trong những địa phương có quy mô kinh tế lớn hàng đầu cả nước. Tốc độ tăng trưởng GRDP của thành p</w:t>
      </w:r>
      <w:r>
        <w:rPr>
          <w:shd w:val="clear" w:color="auto" w:fill="ffffff"/>
        </w:rPr>
        <w:t xml:space="preserve">hố rất bền bỉ, với 11 năm liên tiếp duy trì mức tăng trưởng trên 10%.</w:t>
        <w:br/>
        <w:t xml:space="preserve">Trong khi năm 2026, cả nước mới đặt mục tiêu tăng trưởng hai con số thì Hải Phòng đã đạt được điều này từ nhiều năm trước. Đây là một nền tảng rất ấn tượng. Bên cạnh đó, GRDP bình quân </w:t>
      </w:r>
      <w:r>
        <w:rPr>
          <w:shd w:val="clear" w:color="auto" w:fill="ffffff"/>
        </w:rPr>
        <w:t xml:space="preserve">đầu người của Hải Phòng cũng nằm trong nhóm dẫn đầu cả nước. Nếu xét trên quy mô dân số khoảng 4,6 triệu người, đứng thứ 4 toàn quốc, thì đây là con số rất đáng chú ý. Một số địa phương có GRDP bình quân đầu người cao hơn như Quảng Ninh nhưng lại có quy mô</w:t>
      </w:r>
      <w:r>
        <w:rPr>
          <w:shd w:val="clear" w:color="auto" w:fill="ffffff"/>
        </w:rPr>
        <w:t xml:space="preserve"> dân số thấp hơn đáng kể.</w:t>
        <w:br/>
        <w:t xml:space="preserve">Hải Phòng hiện cũng nằm trong nhóm dẫn đầu cả nước về năng lực cạnh tranh cấp tỉnh (PCI), đồng thời duy trì tỉ lệ giải ngân đầu tư công ở mức cao. Theo các chuyên gia, đây là nền tảng quan trọng giúp Hải Phòng thu hút mạnh dòng v</w:t>
      </w:r>
      <w:r>
        <w:rPr>
          <w:shd w:val="clear" w:color="auto" w:fill="ffffff"/>
        </w:rPr>
        <w:t xml:space="preserve">ốn FDI trong nhiều năm qua. Thành phố hiện có khoảng 45 khu công nghiệp đang hoạt động với sự hiện diện của hàng loạt tập đoàn lớn như LG, Pegatron cùng các khu công nghiệp quy mô lớn như Deep C, VSIP Hải Phòng, Tràng Duệ hay Nam Đình Vũ. Hải Phòng còn thu</w:t>
      </w:r>
      <w:r>
        <w:rPr>
          <w:shd w:val="clear" w:color="auto" w:fill="ffffff"/>
        </w:rPr>
        <w:t xml:space="preserve">ộc nhóm dẫn đầu về giải ngân đầu tư công, chỉ đứng sau Hà Nội. Năm 2025, tỉ lệ giải ngân đạt khoảng 105%.</w:t>
      </w:r>
      <w:r/>
    </w:p>
    <w:p>
      <w:pPr>
        <w:pBdr/>
        <w:tabs>
          <w:tab w:val="left" w:leader="none" w:pos="426"/>
        </w:tabs>
        <w:spacing w:after="120" w:before="120" w:line="276" w:lineRule="auto"/>
        <w:ind/>
        <w:jc w:val="center"/>
        <w:rPr>
          <w:bCs/>
          <w:i/>
          <w:lang w:val="pt-BR"/>
        </w:rPr>
      </w:pPr>
      <w:r>
        <w:rPr>
          <w:shd w:val="clear" w:color="auto" w:fill="ffffff"/>
        </w:rPr>
        <w:t xml:space="preserve">(Nguồn: https://laodong.vn/thong-tin-doanh-nghiep/3-yeu-to-dua-bat-dong-san-hai-phong-vao-chu-ky-tang-truong-moi-1703756.ldo)</w:t>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0"/>
        <w:gridCol w:w="2040"/>
        <w:gridCol w:w="2438"/>
        <w:gridCol w:w="2401"/>
      </w:tblGrid>
      <w:tr>
        <w:trPr>
          <w:trHeight w:val="159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56, tờ bản đồ số: 23, có địa chỉ: Số 19/482 Thiên Lôi, phường Vĩnh Niệm, quận Lê Chân, thành phố Hải Phòng ( Nay là: Phường An Biên, thành phố Hải Phòng) theo Giấy chứng nhận quyền sử dụng đất </w:t>
            </w:r>
            <w:r>
              <w:rPr>
                <w:rFonts w:ascii="Times New Roman" w:hAnsi="Times New Roman" w:eastAsia="Times New Roman" w:cs="Times New Roman"/>
                <w:b/>
                <w:color w:val="000000"/>
                <w:sz w:val="24"/>
              </w:rPr>
              <w:t xml:space="preserve">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19/482 Thiên Lôi, phường Vĩnh Niệm, quận Lê Chân, thành phố Hải Phòng ( Nay là: Phường An Biên, thành phố Hải Phòng)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99,0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r>
            <w:r/>
          </w:p>
        </w:tc>
      </w:tr>
      <w:tr>
        <w:trPr>
          <w:trHeight w:val="98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Công nhận quyền sử dụng đất như giao đất có thu tiền sử dụng đất : 49,50m², Được tặng cho đất được công nhận QSDĐ như giao đất có thu tiền sử dụng đất: 49,50m².</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trang mạng Meeymap, xác đ</w:t>
            </w:r>
            <w:r>
              <w:rPr>
                <w:rFonts w:ascii="Times New Roman" w:hAnsi="Times New Roman" w:eastAsia="Times New Roman" w:cs="Times New Roman"/>
                <w:color w:val="000000"/>
                <w:sz w:val="24"/>
              </w:rPr>
              <w:t xml:space="preserve">ịnh vị trí tài sản thuộc quy hoạch đất ở</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after="0" w:before="0" w:line="240" w:lineRule="auto"/>
              <w:ind/>
              <w:jc w:val="both"/>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167526" cy="224684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46037" name=""/>
                              <pic:cNvPicPr>
                                <a:picLocks noChangeAspect="1"/>
                              </pic:cNvPicPr>
                              <pic:nvPr/>
                            </pic:nvPicPr>
                            <pic:blipFill rotWithShape="1">
                              <a:blip r:embed="rId17"/>
                              <a:stretch/>
                            </pic:blipFill>
                            <pic:spPr bwMode="auto">
                              <a:xfrm flipH="0" flipV="0">
                                <a:off x="0" y="0"/>
                                <a:ext cx="4167526" cy="2246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28.15pt;height:176.92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ngõ 482 Thiên Lôi rộng khoảng 7m, cách mặt đường Thiên Lôi khoảng 100m</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Bắc: Tiếp giáp đường nhựa rộng khoảng 7m</w:t>
              <w:b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46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01457" cy="23465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84360" name=""/>
                              <pic:cNvPicPr>
                                <a:picLocks noChangeAspect="1"/>
                              </pic:cNvPicPr>
                              <pic:nvPr/>
                            </pic:nvPicPr>
                            <pic:blipFill rotWithShape="1">
                              <a:blip r:embed="rId18"/>
                              <a:stretch/>
                            </pic:blipFill>
                            <pic:spPr bwMode="auto">
                              <a:xfrm flipH="0" flipV="0">
                                <a:off x="0" y="0"/>
                                <a:ext cx="5401456" cy="2346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5.31pt;height:184.76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99,00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4,27</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23,20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vực tập trung dân cư</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Yếu tố bất lợi:</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Tài sản nằm cách khu nghĩa trang Đồng Thiện khoảng 20m</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96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Trên đất có 01 nhà 3 tầng, kết cấu xây dựng bê tông xi măng, xây dựng khoảng 80m², tổng diện tích sàn xây dựng khoảng 240m², hiện trạng nhà khá, hiện nhà đang được sử dụng để ở.</w:t>
              <w:br/>
              <w:t xml:space="preserve">- Công trình chưa được công nhận trên GCN QSDĐ.</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firstLine="0" w:left="0"/>
              <w:rPr>
                <w:lang w:eastAsia="ko-KR"/>
              </w:rPr>
            </w:pPr>
            <w:r>
              <w:rPr>
                <w:lang w:eastAsia="ko-KR"/>
              </w:rPr>
              <w:t xml:space="preserve">- Tài sản cách nghĩa trang Đồng Thiện khoảng 20m</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r>
      <w:r>
        <w:rPr>
          <w:highlight w:val="none"/>
          <w:lang w:val="pt-BR" w:bidi="pt-BR"/>
        </w:rPr>
        <w:t xml:space="preserve">Qua khảo sát thị trường tổ thẩm định nhận thấy </w:t>
      </w:r>
      <w:r>
        <w:rPr>
          <w:highlight w:val="none"/>
          <w:lang w:val="pt-BR" w:bidi="pt-BR"/>
        </w:rPr>
        <w:t xml:space="preserve">trên đất có 01 nhà 3 tầng, kết cấu xây dựng bê tông xi măng, xây dựng khoảng 80m², tổng diện tích sàn xây dựng khoảng 240m², hiện trạng nhà khá, hiện nhà đang được sử dụng để ở. </w:t>
      </w:r>
      <w:r>
        <w:rPr>
          <w:highlight w:val="none"/>
          <w:lang w:val="pt-BR" w:bidi="pt-BR"/>
        </w:rPr>
        <w:t xml:space="preserve">Công trình chưa được công nhận trên GCN QSDĐ.</w:t>
      </w:r>
      <w:r>
        <w:rPr>
          <w:spacing w:val="-2"/>
          <w:lang w:val="pt-BR"/>
        </w:rPr>
        <w:t xml:space="preserve"> </w:t>
      </w:r>
      <w:r>
        <w:rPr>
          <w:spacing w:val="-2"/>
          <w:lang w:val="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trang mạng Meeymap, xác định </w:t>
      </w:r>
      <w:r>
        <w:rPr>
          <w:spacing w:val="-2"/>
          <w:highlight w:val="none"/>
          <w:lang w:val="pt-BR" w:bidi="pt-BR"/>
        </w:rPr>
        <w:t xml:space="preserve">v</w:t>
      </w:r>
      <w:r>
        <w:rPr>
          <w:spacing w:val="-2"/>
          <w:highlight w:val="none"/>
          <w:lang w:val="pt-BR" w:bidi="pt-BR"/>
        </w:rPr>
        <w:t xml:space="preserve">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w:t>
      </w:r>
      <w:r>
        <w:rPr>
          <w:spacing w:val="-2"/>
          <w:highlight w:val="none"/>
          <w:lang w:val="pt-BR" w:bidi="pt-BR"/>
        </w:rPr>
        <w:t xml:space="preserve">hận rõ tình trạng quy hoạch thì kết quả thẩm định giá cần được xem xét, điều chỉnh phù hợp, đồng thời chúng tôi bảo lưu quyền xem xét lại kết quả thẩm định giá</w:t>
      </w:r>
      <w:r>
        <w:rPr>
          <w:spacing w:val="-2"/>
          <w:highlight w:val="none"/>
          <w:lang w:val="pt-BR" w:bidi="pt-BR"/>
        </w:rPr>
        <w:t xml:space="preserve">.</w:t>
      </w:r>
      <w:r>
        <w:rPr>
          <w:spacing w:val="-2"/>
          <w:highlight w:val="none"/>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26"/>
        <w:gridCol w:w="1701"/>
        <w:gridCol w:w="1701"/>
        <w:gridCol w:w="1701"/>
        <w:gridCol w:w="170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Số 19/482 Thiên Lôi, phường Vĩnh Niệm, quận Lê Chân, thành phố Hải Phòng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đường Thiên Lôi, Phường Vĩnh Niệm, Quận Lê Chân, Tỉnh Hải Phòng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đường Thiên Lôi, Phường Vĩnh Niệm, Quận Lê Chân, Tỉnh Hải Phòng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đường Thiên Lôi, Phường Vĩnh Niệm, Quận Lê Chân, Tỉnh Hải Phòng</w:t>
            </w:r>
            <w:r/>
          </w:p>
        </w:tc>
      </w:tr>
      <w:tr>
        <w:trPr>
          <w:trHeight w:val="21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hyperlink r:id="rId19" w:tooltip="https://www.facebook.com/groups/hoimuabannhadatgiarehaiphongvn/posts/26037795672590153/" w:history="1">
              <w:r>
                <w:rPr>
                  <w:rStyle w:val="1025"/>
                  <w:rFonts w:ascii="Times New Roman" w:hAnsi="Times New Roman" w:eastAsia="Times New Roman" w:cs="Times New Roman"/>
                  <w:color w:val="000000"/>
                  <w:sz w:val="24"/>
                  <w:u w:val="none"/>
                </w:rPr>
                <w:t xml:space="preserve">https://www.facebook.com/groups/hoimuabannhadatgiarehaiphongvn/posts/26037795672590153/</w:t>
              </w:r>
            </w:hyperlink>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hyperlink r:id="rId20" w:tooltip="https://www.facebook.com/groups/nhadatlechan/posts/4523545071227680/" w:history="1">
              <w:r>
                <w:rPr>
                  <w:rStyle w:val="1025"/>
                  <w:rFonts w:ascii="Times New Roman" w:hAnsi="Times New Roman" w:eastAsia="Times New Roman" w:cs="Times New Roman"/>
                  <w:color w:val="000000"/>
                  <w:sz w:val="24"/>
                  <w:u w:val="none"/>
                </w:rPr>
                <w:t xml:space="preserve">https://www.facebook.com/groups/nhadatlechan/posts/4523545071227680/</w:t>
              </w:r>
            </w:hyperlink>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0934.306.299 </w:t>
              <w:br/>
              <w:t xml:space="preserve">(Tuan Anh)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0865.844.176</w:t>
              <w:br/>
              <w:t xml:space="preserve">(Thắng)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0344408486</w:t>
              <w:br/>
              <w:t xml:space="preserve">(Khoa)</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2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482 Thiên Lôi rộng khoảng 7m, cách mặt đường Thiên Lôi khoảng 100m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200m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200m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600m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5,5m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4m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99,00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Gần nghĩa trang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3,5 tầng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5.670.000.000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3.915.000.000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4.185.000.000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1.449.928.080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1.217.856.922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1.221.953.040</w:t>
            </w:r>
            <w:r/>
          </w:p>
        </w:tc>
      </w:tr>
      <w:tr>
        <w:trPr>
          <w:trHeight w:val="14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8.055.156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8.649.552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7.934.760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4.220.071.920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2.697.143.078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2.963.046.960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84.401.438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58.633.545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59.260.939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tiền(m)</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3"/>
        <w:gridCol w:w="937"/>
        <w:gridCol w:w="2205"/>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4.220.071.920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2.697.143.078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2.963.046.960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84.401.438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58.633.545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59.260.939</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84.401.438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58.633.545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59.260.939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84.401.438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58.633.545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59.260.939 </w:t>
            </w:r>
            <w:r/>
          </w:p>
        </w:tc>
      </w:tr>
      <w:tr>
        <w:trPr>
          <w:trHeight w:val="14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ngõ 482 Thiên Lôi rộng khoảng 7m, cách mặt đường Thiên Lôi khoảng 100m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ngõ đường Thiên Lôi, cách mặt đường Thiên Lôi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ngõ đường Thiên Lôi, cách mặt đường Thiên Lôi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ngõ đường Thiên Lôi, cách mặt đường Thiên Lôi khoảng 600m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84.401.438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58.633.545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59.260.939 </w:t>
            </w:r>
            <w:r/>
          </w:p>
        </w:tc>
      </w:tr>
      <w:tr>
        <w:trPr>
          <w:trHeight w:val="7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3.376.058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2.345.342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2.370.438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87.777.496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60.978.887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61.631.377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Độ rộng đường(m)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5,5m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4m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4.220.072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11.726.709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8.889.141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91.997.568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72.705.596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70.520.518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Diện tích đất(m²)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-4.220.072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-2.931.677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-2.963.047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87.777.496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69.773.919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67.557.471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3,95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87.777.496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69.773.919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67.557.471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-8.440.144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-5.863.355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79.337.352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63.910.564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67.557.471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79.337.352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63.910.564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67.557.471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79.337.352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63.910.564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67.557.471 </w:t>
            </w:r>
            <w:r/>
          </w:p>
        </w:tc>
      </w:tr>
      <w:tr>
        <w:trPr>
          <w:trHeight w:val="51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Gần nghĩa trang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-12.660.216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-8.795.032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-8.889.141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66.677.136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55.115.532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58.668.330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66.677.136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55.115.532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58.668.330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60.153.666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-8,38%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-2,47%</w:t>
            </w:r>
            <w:r/>
          </w:p>
        </w:tc>
      </w:tr>
      <w:tr>
        <w:trPr>
          <w:trHeight w:val="56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32.916.561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31.662.114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23.111.766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- 15%</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17.724.302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3.518.013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592.609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-8,38</w:t>
      </w:r>
      <w:r>
        <w:t xml:space="preserve">% đến</w:t>
      </w:r>
      <w:r>
        <w:t xml:space="preserve"> </w:t>
      </w:r>
      <w:r>
        <w:t xml:space="preserve"> </w:t>
      </w:r>
      <w:r>
        <w:t xml:space="preserve">10,84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66.677.136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22.230.157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55.115.532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18.370.007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58.668.330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19.554.154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60.154.318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186"/>
        <w:gridCol w:w="1869"/>
        <w:gridCol w:w="2646"/>
        <w:gridCol w:w="222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56, tờ bản đồ số: 23, có địa chỉ: Số 19/482 Thiên Lôi, phường Vĩnh Niệm, quận Lê Chân, thành phố Hải Phòng ( Nay là: Phường An Biên, thành phố Hải Phòng) theo Giấy ch</w:t>
            </w:r>
            <w:r>
              <w:rPr>
                <w:b/>
                <w:bCs/>
                <w:color w:val="000000"/>
              </w:rPr>
              <w:t xml:space="preserve">ứng nhận quyền sử dụng đất quyền sở hữu nhà ở và tài sản khác gắn liền với đất số: DE 528195, số vào sổ cấp GCN: CS 01591 do Sở Tài nguyên và Môi trường thành phố Hải Phòng cấp ngày 09/03/2022; Chủ sử dụng đất là Ông Đoàn Trung Dũng và bà Phan Tú Quỳnh Anh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186"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99</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5.940.000.000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5.940.000.000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trăm bốn mươi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bCs/>
          <w:lang w:val="pt-BR"/>
        </w:rPr>
      </w:pPr>
      <w:r>
        <w:rPr>
          <w:highlight w:val="none"/>
          <w:lang w:val="pt-BR" w:bidi="pt-BR"/>
        </w:rPr>
      </w:r>
      <w:r>
        <w:rPr>
          <w:spacing w:val="-2"/>
          <w:highlight w:val="none"/>
          <w:lang w:val="pt-BR" w:bidi="pt-BR"/>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trang mạng Meeymap, xác định </w:t>
      </w:r>
      <w:r>
        <w:rPr>
          <w:spacing w:val="-2"/>
          <w:highlight w:val="none"/>
          <w:lang w:val="pt-BR" w:bidi="pt-BR"/>
        </w:rPr>
        <w:t xml:space="preserve">v</w:t>
      </w:r>
      <w:r>
        <w:rPr>
          <w:spacing w:val="-2"/>
          <w:highlight w:val="none"/>
          <w:lang w:val="pt-BR" w:bidi="pt-BR"/>
        </w:rPr>
        <w:t xml:space="preserve">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w:t>
      </w:r>
      <w:r>
        <w:rPr>
          <w:spacing w:val="-2"/>
          <w:highlight w:val="none"/>
          <w:lang w:val="pt-BR" w:bidi="pt-BR"/>
        </w:rPr>
        <w:t xml:space="preserve">hận rõ tình trạng quy hoạch thì kết quả thẩm định giá cần được xem xét, điều chỉnh phù hợp, đồng thời chúng tôi bảo lưu quyền xem xét lại kết quả thẩm định giá</w:t>
      </w:r>
      <w:r>
        <w:rPr>
          <w:highlight w:val="none"/>
          <w:lang w:val="pt-BR" w:bidi="pt-BR"/>
        </w:rPr>
        <w:t xml:space="preserve">.</w:t>
      </w:r>
      <w:r>
        <w:rPr>
          <w:highlight w:val="none"/>
          <w:lang w:val="pt-BR" w:bidi="pt-BR"/>
        </w:rPr>
      </w:r>
      <w:commentRangeStart w:id="0"/>
      <w:r>
        <w:rPr>
          <w:highlight w:val="none"/>
          <w:lang w:val="pt-BR" w:bidi="pt-BR"/>
        </w:rPr>
      </w:r>
      <w:commentRangeEnd w:id="0"/>
      <w:r>
        <w:commentReference w:id="0"/>
      </w:r>
      <w:r>
        <w:rPr>
          <w:highlight w:val="none"/>
          <w:lang w:val="pt-BR"/>
        </w:rPr>
      </w:r>
      <w:r>
        <w:rPr>
          <w:b/>
          <w:bCs/>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r>
      <w:r>
        <w:rPr>
          <w:highlight w:val="none"/>
          <w:lang w:val="pt-BR" w:bidi="pt-BR"/>
        </w:rPr>
        <w:t xml:space="preserve">Qua khảo sát thị trường tổ thẩm định nhận thấy </w:t>
      </w:r>
      <w:r>
        <w:rPr>
          <w:highlight w:val="none"/>
          <w:lang w:val="pt-BR" w:bidi="pt-BR"/>
        </w:rPr>
        <w:t xml:space="preserve">trên đất có 01 nhà 3 tầng, kết cấu xây dựng bê tông xi măng, xây dựng khoảng 80m², tổng diện tích sàn xây dựng khoảng 240m², hiện trạng nhà khá, hiện nhà đang được sử dụng để ở. </w:t>
      </w:r>
      <w:r>
        <w:rPr>
          <w:highlight w:val="none"/>
          <w:lang w:val="pt-BR" w:bidi="pt-BR"/>
        </w:rPr>
        <w:t xml:space="preserve">Công trình chưa được công nhận trên GCN QSDĐ.</w:t>
      </w:r>
      <w:r>
        <w:rPr>
          <w:spacing w:val="-2"/>
          <w:lang w:val="pt-BR"/>
        </w:rPr>
        <w:t xml:space="preserve"> </w:t>
      </w:r>
      <w:r>
        <w:rPr>
          <w:spacing w:val="-2"/>
          <w:lang w:val="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275/2026/0878/VFI-CT.36.A</w:t>
      </w:r>
      <w:r>
        <w:rPr>
          <w:color w:val="ff0000"/>
          <w:lang w:val="vi-VN"/>
        </w:rPr>
        <w:t xml:space="preserve"> </w:t>
      </w:r>
      <w:r>
        <w:rPr>
          <w:color w:val="000000" w:themeColor="text1"/>
        </w:rPr>
        <w:t xml:space="preserve">ngày 11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lang w:val="vi-VN"/>
        </w:rPr>
      </w:pPr>
      <w:r>
        <w:rPr>
          <w:lang w:val="vi-VN"/>
        </w:rPr>
        <w:br w:type="page" w:clear="all"/>
      </w:r>
      <w:r>
        <w:rPr>
          <w:lang w:val="vi-VN"/>
        </w:rPr>
      </w:r>
      <w:r>
        <w:rPr>
          <w:lang w:val="vi-VN"/>
        </w:rPr>
      </w:r>
    </w:p>
    <w:p>
      <w:pPr>
        <w:pBdr/>
        <w:shd w:val="nil" w:color="auto"/>
        <w:spacing/>
        <w:ind/>
        <w:jc w:val="center"/>
        <w:rPr>
          <w:b/>
          <w:bCs/>
          <w:highlight w:val="none"/>
          <w:lang w:val="pt-BR"/>
        </w:rPr>
      </w:pPr>
      <w:r>
        <w:rPr>
          <w:b/>
          <w:highlight w:val="none"/>
          <w:lang w:val="pt-BR"/>
        </w:rPr>
        <w:t xml:space="preserve">GIẤY CHỨNG NHẬN QUYỀN SỬ DỤNG ĐẤT</w:t>
      </w:r>
      <w:r>
        <w:rPr>
          <w:b/>
          <w:bCs/>
          <w:highlight w:val="none"/>
          <w:lang w:val="pt-BR"/>
        </w:rPr>
      </w:r>
      <w:r>
        <w:rPr>
          <w:b/>
          <w:bCs/>
          <w:highlight w:val="none"/>
          <w:lang w:val="pt-BR"/>
        </w:rPr>
      </w:r>
    </w:p>
    <w:p>
      <w:pPr>
        <w:pBdr/>
        <w:shd w:val="nil" w:color="000000"/>
        <w:spacing/>
        <w:ind/>
        <w:jc w:val="center"/>
        <w:rPr>
          <w:b/>
          <w:bCs/>
          <w:u w:val="single"/>
          <w:lang w:val="vi-VN"/>
        </w:rPr>
      </w:pPr>
      <w:r>
        <w:rPr>
          <w:b/>
          <w:highlight w:val="none"/>
          <w:lang w:val="pt-BR"/>
        </w:rPr>
      </w:r>
      <w:r>
        <w:rPr>
          <w:b/>
          <w:bCs/>
          <w:u w:val="single"/>
          <w:lang w:val="vi-VN"/>
        </w:rPr>
      </w:r>
      <w:r>
        <w:rPr>
          <w:b/>
          <w:bCs/>
          <w:u w:val="single"/>
          <w:lang w:val="vi-VN"/>
        </w:rPr>
      </w:r>
    </w:p>
    <w:p>
      <w:pPr>
        <w:pBdr/>
        <w:shd w:val="nil" w:color="000000"/>
        <w:spacing/>
        <w:ind/>
        <w:jc w:val="center"/>
        <w:rPr/>
      </w:pPr>
      <w:r>
        <w:rPr>
          <w:b/>
          <w:highlight w:val="none"/>
          <w:lang w:val="pt-BR"/>
        </w:rPr>
      </w:r>
      <w:r>
        <mc:AlternateContent>
          <mc:Choice Requires="wpg">
            <w:drawing>
              <wp:inline xmlns:wp="http://schemas.openxmlformats.org/drawingml/2006/wordprocessingDrawing" distT="0" distB="0" distL="0" distR="0">
                <wp:extent cx="8556138" cy="56401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33977" name=""/>
                        <pic:cNvPicPr>
                          <a:picLocks noChangeAspect="1"/>
                        </pic:cNvPicPr>
                        <pic:nvPr/>
                      </pic:nvPicPr>
                      <pic:blipFill rotWithShape="1">
                        <a:blip r:embed="rId21"/>
                        <a:stretch/>
                      </pic:blipFill>
                      <pic:spPr bwMode="auto">
                        <a:xfrm rot="16199969" flipH="0" flipV="0">
                          <a:off x="0" y="0"/>
                          <a:ext cx="8556138" cy="56401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73.71pt;height:444.11pt;mso-wrap-distance-left:0.00pt;mso-wrap-distance-top:0.00pt;mso-wrap-distance-right:0.00pt;mso-wrap-distance-bottom:0.00pt;rotation:269;z-index:1;" stroked="false">
                <v:imagedata r:id="rId21" o:title=""/>
                <o:lock v:ext="edit" rotation="t"/>
              </v:shape>
            </w:pict>
          </mc:Fallback>
        </mc:AlternateContent>
      </w:r>
      <w:r>
        <w:rPr>
          <w:b/>
          <w:bCs/>
          <w:highlight w:val="none"/>
          <w:lang w:val="pt-BR"/>
        </w:rPr>
      </w: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mc:AlternateContent>
          <mc:Choice Requires="wpg">
            <w:drawing>
              <wp:inline xmlns:wp="http://schemas.openxmlformats.org/drawingml/2006/wordprocessingDrawing" distT="0" distB="0" distL="0" distR="0">
                <wp:extent cx="8811379" cy="5750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7711" name=""/>
                        <pic:cNvPicPr>
                          <a:picLocks noChangeAspect="1"/>
                        </pic:cNvPicPr>
                        <pic:nvPr/>
                      </pic:nvPicPr>
                      <pic:blipFill rotWithShape="1">
                        <a:blip r:embed="rId22"/>
                        <a:stretch/>
                      </pic:blipFill>
                      <pic:spPr bwMode="auto">
                        <a:xfrm rot="16199969" flipH="0" flipV="0">
                          <a:off x="0" y="0"/>
                          <a:ext cx="8811378" cy="5750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693.81pt;height:452.80pt;mso-wrap-distance-left:0.00pt;mso-wrap-distance-top:0.00pt;mso-wrap-distance-right:0.00pt;mso-wrap-distance-bottom:0.00pt;rotation:269;z-index:1;" stroked="false">
                <v:imagedata r:id="rId22"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hd w:val="nil" w:color="auto"/>
        <w:spacing/>
        <w:ind/>
        <w:jc w:val="center"/>
        <w:rPr>
          <w:b/>
          <w:bCs/>
          <w:highlight w:val="none"/>
          <w:lang w:val="pt-BR"/>
        </w:rPr>
      </w:pPr>
      <w:r>
        <w:rPr>
          <w:b/>
          <w:highlight w:val="none"/>
          <w:lang w:val="pt-BR"/>
        </w:rPr>
        <w:t xml:space="preserve">BIÊN BẢN KHẢO SÁT HIỆN TRẠNG TÀI SẢN</w:t>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bidi="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mc:AlternateContent>
          <mc:Choice Requires="wpg">
            <w:drawing>
              <wp:inline xmlns:wp="http://schemas.openxmlformats.org/drawingml/2006/wordprocessingDrawing" distT="0" distB="0" distL="0" distR="0">
                <wp:extent cx="6048375" cy="849660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39194" name=""/>
                        <pic:cNvPicPr>
                          <a:picLocks noChangeAspect="1"/>
                        </pic:cNvPicPr>
                        <pic:nvPr/>
                      </pic:nvPicPr>
                      <pic:blipFill rotWithShape="1">
                        <a:blip r:embed="rId23"/>
                        <a:stretch/>
                      </pic:blipFill>
                      <pic:spPr bwMode="auto">
                        <a:xfrm flipH="0" flipV="0">
                          <a:off x="0" y="0"/>
                          <a:ext cx="6048374" cy="84966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669.02pt;mso-wrap-distance-left:0.00pt;mso-wrap-distance-top:0.00pt;mso-wrap-distance-right:0.00pt;mso-wrap-distance-bottom:0.00pt;z-index:1;" stroked="false">
                <v:imagedata r:id="rId23"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275/2026/0878/VFI-BC.36.A</w:t>
      </w:r>
      <w:r>
        <w:rPr>
          <w:i/>
          <w:lang w:val="pt-BR"/>
        </w:rPr>
        <w:t xml:space="preserve"> ngày </w:t>
      </w:r>
      <w:r>
        <w:rPr>
          <w:i/>
          <w:lang w:val="pt-BR"/>
        </w:rPr>
        <w:t xml:space="preserve">11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54064" cy="272807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86459" name=""/>
                              <pic:cNvPicPr>
                                <a:picLocks noChangeAspect="1"/>
                              </pic:cNvPicPr>
                              <pic:nvPr/>
                            </pic:nvPicPr>
                            <pic:blipFill rotWithShape="1">
                              <a:blip r:embed="rId24"/>
                              <a:stretch/>
                            </pic:blipFill>
                            <pic:spPr bwMode="auto">
                              <a:xfrm flipH="0" flipV="0">
                                <a:off x="0" y="0"/>
                                <a:ext cx="2654064" cy="2728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98pt;height:214.8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94020" cy="256733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6636" name=""/>
                              <pic:cNvPicPr>
                                <a:picLocks noChangeAspect="1"/>
                              </pic:cNvPicPr>
                              <pic:nvPr/>
                            </pic:nvPicPr>
                            <pic:blipFill rotWithShape="1">
                              <a:blip r:embed="rId25"/>
                              <a:stretch/>
                            </pic:blipFill>
                            <pic:spPr bwMode="auto">
                              <a:xfrm flipH="0" flipV="0">
                                <a:off x="0" y="0"/>
                                <a:ext cx="2794019" cy="2567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00pt;height:202.15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0885" cy="222029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98904" name=""/>
                              <pic:cNvPicPr>
                                <a:picLocks noChangeAspect="1"/>
                              </pic:cNvPicPr>
                              <pic:nvPr/>
                            </pic:nvPicPr>
                            <pic:blipFill rotWithShape="1">
                              <a:blip r:embed="rId26"/>
                              <a:stretch/>
                            </pic:blipFill>
                            <pic:spPr bwMode="auto">
                              <a:xfrm flipH="0" flipV="0">
                                <a:off x="0" y="0"/>
                                <a:ext cx="2720884" cy="22202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4.24pt;height:174.83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6084" cy="222624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02651" name=""/>
                              <pic:cNvPicPr>
                                <a:picLocks noChangeAspect="1"/>
                              </pic:cNvPicPr>
                              <pic:nvPr/>
                            </pic:nvPicPr>
                            <pic:blipFill rotWithShape="1">
                              <a:blip r:embed="rId27"/>
                              <a:stretch/>
                            </pic:blipFill>
                            <pic:spPr bwMode="auto">
                              <a:xfrm flipH="0" flipV="0">
                                <a:off x="0" y="0"/>
                                <a:ext cx="2876083" cy="2226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46pt;height:175.29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7141" cy="246437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22433" name=""/>
                              <pic:cNvPicPr>
                                <a:picLocks noChangeAspect="1"/>
                              </pic:cNvPicPr>
                              <pic:nvPr/>
                            </pic:nvPicPr>
                            <pic:blipFill rotWithShape="1">
                              <a:blip r:embed="rId28"/>
                              <a:stretch/>
                            </pic:blipFill>
                            <pic:spPr bwMode="auto">
                              <a:xfrm flipH="0" flipV="0">
                                <a:off x="0" y="0"/>
                                <a:ext cx="2937141" cy="24643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27pt;height:194.04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9296" cy="246485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67290" name=""/>
                              <pic:cNvPicPr>
                                <a:picLocks noChangeAspect="1"/>
                              </pic:cNvPicPr>
                              <pic:nvPr/>
                            </pic:nvPicPr>
                            <pic:blipFill rotWithShape="1">
                              <a:blip r:embed="rId29"/>
                              <a:stretch/>
                            </pic:blipFill>
                            <pic:spPr bwMode="auto">
                              <a:xfrm flipH="0" flipV="0">
                                <a:off x="0" y="0"/>
                                <a:ext cx="2659296" cy="2464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9.39pt;height:194.08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275/2026/0878/VFI-BC.36.A</w:t>
      </w:r>
      <w:r>
        <w:rPr>
          <w:i/>
          <w:lang w:val="pt-BR"/>
        </w:rPr>
        <w:t xml:space="preserve"> </w:t>
      </w:r>
      <w:r>
        <w:rPr>
          <w:i/>
          <w:lang w:val="pt-BR"/>
        </w:rPr>
        <w:t xml:space="preserve">11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https://www.facebook.com/groups/hoimuabannhadatgiarehaiphongvn/posts/26037795672590153/ - 0934.306.299 </w:t>
              <w:br/>
              <w:t xml:space="preserve">(Tuan 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5.670.000.000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5,5m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4797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454797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8.1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73926" cy="3042404"/>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22192111" name="" descr=""/>
                              <pic:cNvPicPr/>
                              <pic:nvPr/>
                            </pic:nvPicPr>
                            <pic:blipFill rotWithShape="1">
                              <a:blip r:embed="rId31"/>
                              <a:stretch/>
                            </pic:blipFill>
                            <pic:spPr bwMode="auto">
                              <a:xfrm flipH="0" flipV="0">
                                <a:off x="0" y="0"/>
                                <a:ext cx="2573926" cy="30424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2.67pt;height:239.5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1772" cy="3042404"/>
                      <wp:effectExtent l="0" t="0" r="0" b="0"/>
                      <wp:docPr id="18" name=""/>
                      <wp:cNvGraphicFramePr/>
                      <a:graphic xmlns:a="http://schemas.openxmlformats.org/drawingml/2006/main">
                        <a:graphicData uri="http://schemas.openxmlformats.org/drawingml/2006/picture">
                          <pic:pic xmlns:pic="http://schemas.openxmlformats.org/drawingml/2006/picture">
                            <pic:nvPicPr>
                              <pic:cNvPr id="284032303" name="" descr=""/>
                              <pic:cNvPicPr/>
                              <pic:nvPr/>
                            </pic:nvPicPr>
                            <pic:blipFill rotWithShape="1">
                              <a:blip r:embed="rId32"/>
                              <a:stretch/>
                            </pic:blipFill>
                            <pic:spPr bwMode="auto">
                              <a:xfrm flipH="0" flipV="0">
                                <a:off x="0" y="0"/>
                                <a:ext cx="2671772" cy="30424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0.38pt;height:239.5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- 0865.844.176</w:t>
              <w:br/>
              <w:t xml:space="preserve">(Thắng)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3.915.000.000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72313" cy="2479865"/>
                      <wp:effectExtent l="0" t="0" r="0" b="0"/>
                      <wp:docPr id="19" name=""/>
                      <wp:cNvGraphicFramePr/>
                      <a:graphic xmlns:a="http://schemas.openxmlformats.org/drawingml/2006/main">
                        <a:graphicData uri="http://schemas.openxmlformats.org/drawingml/2006/picture">
                          <pic:pic xmlns:pic="http://schemas.openxmlformats.org/drawingml/2006/picture">
                            <pic:nvPicPr>
                              <pic:cNvPr id="6657917" name="" descr=""/>
                              <pic:cNvPicPr/>
                              <pic:nvPr/>
                            </pic:nvPicPr>
                            <pic:blipFill rotWithShape="1">
                              <a:blip r:embed="rId33"/>
                              <a:stretch/>
                            </pic:blipFill>
                            <pic:spPr bwMode="auto">
                              <a:xfrm flipH="0" flipV="0">
                                <a:off x="0" y="0"/>
                                <a:ext cx="2472312" cy="24798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4.67pt;height:195.2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9665" cy="2479865"/>
                      <wp:effectExtent l="0" t="0" r="0" b="0"/>
                      <wp:docPr id="20" name=""/>
                      <wp:cNvGraphicFramePr/>
                      <a:graphic xmlns:a="http://schemas.openxmlformats.org/drawingml/2006/main">
                        <a:graphicData uri="http://schemas.openxmlformats.org/drawingml/2006/picture">
                          <pic:pic xmlns:pic="http://schemas.openxmlformats.org/drawingml/2006/picture">
                            <pic:nvPicPr>
                              <pic:cNvPr id="815917397" name="" descr=""/>
                              <pic:cNvPicPr/>
                              <pic:nvPr/>
                            </pic:nvPicPr>
                            <pic:blipFill rotWithShape="1">
                              <a:blip r:embed="rId34"/>
                              <a:stretch/>
                            </pic:blipFill>
                            <pic:spPr bwMode="auto">
                              <a:xfrm flipH="0" flipV="0">
                                <a:off x="0" y="0"/>
                                <a:ext cx="2809664" cy="24798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1.23pt;height:195.26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https://www.facebook.com/groups/nhadatlechan/posts/4523545071227680/ - 0344408486</w:t>
              <w:br/>
              <w:t xml:space="preserve">(Khoa)</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4.185.000.000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đường Thiên Lôi, cách mặt đường Thiên Lôi khoảng 600m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4m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3,5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95352" cy="260683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595352" cy="26068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4.36pt;height:205.2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81102" cy="2634930"/>
                      <wp:effectExtent l="0" t="0" r="0" b="0"/>
                      <wp:docPr id="22" name=""/>
                      <wp:cNvGraphicFramePr/>
                      <a:graphic xmlns:a="http://schemas.openxmlformats.org/drawingml/2006/main">
                        <a:graphicData uri="http://schemas.openxmlformats.org/drawingml/2006/picture">
                          <pic:pic xmlns:pic="http://schemas.openxmlformats.org/drawingml/2006/picture">
                            <pic:nvPicPr>
                              <pic:cNvPr id="550810566" name="" descr=""/>
                              <pic:cNvPicPr/>
                              <pic:nvPr/>
                            </pic:nvPicPr>
                            <pic:blipFill rotWithShape="1">
                              <a:blip r:embed="rId36"/>
                              <a:stretch/>
                            </pic:blipFill>
                            <pic:spPr bwMode="auto">
                              <a:xfrm flipH="0" flipV="0">
                                <a:off x="0" y="0"/>
                                <a:ext cx="2881102" cy="26349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6.86pt;height:207.47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11T15:28:52Z" w:initials="NTTD">
    <w:p w14:paraId="00000001" w14:textId="00000001">
      <w:pPr>
        <w:spacing w:line="240" w:after="0" w:lineRule="auto" w:before="0"/>
        <w:ind w:firstLine="0" w:left="0" w:right="0"/>
        <w:jc w:val="left"/>
      </w:pPr>
      <w:r>
        <w:rPr>
          <w:rFonts w:eastAsia="Arial" w:ascii="Arial" w:hAnsi="Arial" w:cs="Arial"/>
          <w:sz w:val="22"/>
        </w:rPr>
        <w:t xml:space="preserve">BS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50B2A36" w16cex:dateUtc="2026-06-11T08:28:5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50B2A3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FADAF72"/>
    <w:lvl w:ilvl="0">
      <w:isLgl w:val="false"/>
      <w:lvlJc w:val="left"/>
      <w:lvlText w:val="–"/>
      <w:numFmt w:val="bullet"/>
      <w:pPr>
        <w:pBdr/>
        <w:spacing/>
        <w:ind w:hanging="360" w:left="853"/>
      </w:pPr>
      <w:rPr>
        <w:rFonts w:hint="default" w:ascii="Arial" w:hAnsi="Arial" w:eastAsia="Arial" w:cs="Arial"/>
      </w:rPr>
      <w:start w:val="1"/>
      <w:suff w:val="tab"/>
    </w:lvl>
    <w:lvl w:ilvl="1">
      <w:isLgl w:val="false"/>
      <w:lvlJc w:val="left"/>
      <w:lvlText w:val="o"/>
      <w:numFmt w:val="bullet"/>
      <w:pPr>
        <w:pBdr/>
        <w:spacing/>
        <w:ind w:hanging="360" w:left="1573"/>
      </w:pPr>
      <w:rPr>
        <w:rFonts w:hint="default" w:ascii="Courier New" w:hAnsi="Courier New" w:eastAsia="Courier New" w:cs="Courier New"/>
      </w:rPr>
      <w:start w:val="1"/>
      <w:suff w:val="tab"/>
    </w:lvl>
    <w:lvl w:ilvl="2">
      <w:isLgl w:val="false"/>
      <w:lvlJc w:val="left"/>
      <w:lvlText w:val="§"/>
      <w:numFmt w:val="bullet"/>
      <w:pPr>
        <w:pBdr/>
        <w:spacing/>
        <w:ind w:hanging="360" w:left="2293"/>
      </w:pPr>
      <w:rPr>
        <w:rFonts w:hint="default" w:ascii="Wingdings" w:hAnsi="Wingdings" w:eastAsia="Wingdings" w:cs="Wingdings"/>
      </w:rPr>
      <w:start w:val="1"/>
      <w:suff w:val="tab"/>
    </w:lvl>
    <w:lvl w:ilvl="3">
      <w:isLgl w:val="false"/>
      <w:lvlJc w:val="left"/>
      <w:lvlText w:val="·"/>
      <w:numFmt w:val="bullet"/>
      <w:pPr>
        <w:pBdr/>
        <w:spacing/>
        <w:ind w:hanging="360" w:left="3013"/>
      </w:pPr>
      <w:rPr>
        <w:rFonts w:hint="default" w:ascii="Symbol" w:hAnsi="Symbol" w:eastAsia="Symbol" w:cs="Symbol"/>
      </w:rPr>
      <w:start w:val="1"/>
      <w:suff w:val="tab"/>
    </w:lvl>
    <w:lvl w:ilvl="4">
      <w:isLgl w:val="false"/>
      <w:lvlJc w:val="left"/>
      <w:lvlText w:val="o"/>
      <w:numFmt w:val="bullet"/>
      <w:pPr>
        <w:pBdr/>
        <w:spacing/>
        <w:ind w:hanging="360" w:left="3733"/>
      </w:pPr>
      <w:rPr>
        <w:rFonts w:hint="default" w:ascii="Courier New" w:hAnsi="Courier New" w:eastAsia="Courier New" w:cs="Courier New"/>
      </w:rPr>
      <w:start w:val="1"/>
      <w:suff w:val="tab"/>
    </w:lvl>
    <w:lvl w:ilvl="5">
      <w:isLgl w:val="false"/>
      <w:lvlJc w:val="left"/>
      <w:lvlText w:val="§"/>
      <w:numFmt w:val="bullet"/>
      <w:pPr>
        <w:pBdr/>
        <w:spacing/>
        <w:ind w:hanging="360" w:left="4453"/>
      </w:pPr>
      <w:rPr>
        <w:rFonts w:hint="default" w:ascii="Wingdings" w:hAnsi="Wingdings" w:eastAsia="Wingdings" w:cs="Wingdings"/>
      </w:rPr>
      <w:start w:val="1"/>
      <w:suff w:val="tab"/>
    </w:lvl>
    <w:lvl w:ilvl="6">
      <w:isLgl w:val="false"/>
      <w:lvlJc w:val="left"/>
      <w:lvlText w:val="·"/>
      <w:numFmt w:val="bullet"/>
      <w:pPr>
        <w:pBdr/>
        <w:spacing/>
        <w:ind w:hanging="360" w:left="5173"/>
      </w:pPr>
      <w:rPr>
        <w:rFonts w:hint="default" w:ascii="Symbol" w:hAnsi="Symbol" w:eastAsia="Symbol" w:cs="Symbol"/>
      </w:rPr>
      <w:start w:val="1"/>
      <w:suff w:val="tab"/>
    </w:lvl>
    <w:lvl w:ilvl="7">
      <w:isLgl w:val="false"/>
      <w:lvlJc w:val="left"/>
      <w:lvlText w:val="o"/>
      <w:numFmt w:val="bullet"/>
      <w:pPr>
        <w:pBdr/>
        <w:spacing/>
        <w:ind w:hanging="360" w:left="5893"/>
      </w:pPr>
      <w:rPr>
        <w:rFonts w:hint="default" w:ascii="Courier New" w:hAnsi="Courier New" w:eastAsia="Courier New" w:cs="Courier New"/>
      </w:rPr>
      <w:start w:val="1"/>
      <w:suff w:val="tab"/>
    </w:lvl>
    <w:lvl w:ilvl="8">
      <w:isLgl w:val="false"/>
      <w:lvlJc w:val="left"/>
      <w:lvlText w:val="§"/>
      <w:numFmt w:val="bullet"/>
      <w:pPr>
        <w:pBdr/>
        <w:spacing/>
        <w:ind w:hanging="360" w:left="6613"/>
      </w:pPr>
      <w:rPr>
        <w:rFonts w:hint="default" w:ascii="Wingdings" w:hAnsi="Wingdings" w:eastAsia="Wingdings" w:cs="Wingdings"/>
      </w:rPr>
      <w:start w:val="1"/>
      <w:suff w:val="tab"/>
    </w:lvl>
  </w:abstractNum>
  <w:abstractNum w:abstractNumId="38">
    <w:nsid w:val="42AE312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https://www.facebook.com/groups/hoimuabannhadatgiarehaiphongvn/posts/26037795672590153/" TargetMode="External"/><Relationship Id="rId20" Type="http://schemas.openxmlformats.org/officeDocument/2006/relationships/hyperlink" Target="https://www.facebook.com/groups/nhadatlechan/posts/4523545071227680/" TargetMode="External"/><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jpg"/><Relationship Id="rId30" Type="http://schemas.openxmlformats.org/officeDocument/2006/relationships/image" Target="media/image14.jp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jpg"/><Relationship Id="rId34" Type="http://schemas.openxmlformats.org/officeDocument/2006/relationships/image" Target="media/image18.jpg"/><Relationship Id="rId35" Type="http://schemas.openxmlformats.org/officeDocument/2006/relationships/image" Target="media/image19.jpg"/><Relationship Id="rId36" Type="http://schemas.openxmlformats.org/officeDocument/2006/relationships/image" Target="media/image20.jp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2026-06-12T08:49:57Z</dcterms:modified>
</cp:coreProperties>
</file>