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991112"/>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991111"/>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275/2026/0835/VFI-CT.48.A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bCs/>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bCs/>
                                <w:color w:val="000000" w:themeColor="text1"/>
                              </w:rPr>
                            </w:r>
                            <w:r>
                              <w:rPr>
                                <w:rFonts w:ascii="Times New Roman Bold" w:hAnsi="Times New Roman Bold"/>
                                <w:b/>
                                <w:bCs/>
                                <w:color w:val="000000" w:themeColor="text1"/>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DỊCH VỤ VÀ THƯƠNG MẠI BS</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78b, tờ bản đồ số: 48 có địa chỉ: C28 Tổ 4 K3C, thị trấn Đông Anh, huyện Đông Anh, thành phố Hà Nội (nay là xã Thư Lâm, thành phố </w:t>
                            </w:r>
                            <w:r>
                              <w:rPr>
                                <w:color w:val="000000"/>
                              </w:rPr>
                              <w:t xml:space="preserve">Hà Nội) theo 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4.26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000000" w:themeColor="text1"/>
                          <w:sz w:val="30"/>
                          <w:szCs w:val="30"/>
                        </w:rPr>
                      </w:pPr>
                      <w:r>
                        <w:rPr>
                          <w:b/>
                          <w:color w:val="000000" w:themeColor="text1"/>
                          <w:sz w:val="30"/>
                          <w:szCs w:val="30"/>
                        </w:rPr>
                        <w:t xml:space="preserve">CHỨNG THƯ</w:t>
                      </w:r>
                      <w:r>
                        <w:rPr>
                          <w:b/>
                          <w:color w:val="000000" w:themeColor="text1"/>
                          <w:sz w:val="30"/>
                          <w:szCs w:val="30"/>
                        </w:rPr>
                        <w:t xml:space="preserve">,</w:t>
                      </w:r>
                      <w:r>
                        <w:rPr>
                          <w:b/>
                          <w:color w:val="000000" w:themeColor="text1"/>
                          <w:sz w:val="30"/>
                          <w:szCs w:val="30"/>
                        </w:rPr>
                        <w:t xml:space="preserve"> BÁO CÁO THẨM ĐỊNH GIÁ</w:t>
                      </w:r>
                      <w:r>
                        <w:rPr>
                          <w:b/>
                          <w:color w:val="000000" w:themeColor="text1"/>
                          <w:sz w:val="30"/>
                          <w:szCs w:val="30"/>
                        </w:rPr>
                      </w:r>
                      <w:r>
                        <w:rPr>
                          <w:b/>
                          <w:color w:val="000000" w:themeColor="text1"/>
                          <w:sz w:val="30"/>
                          <w:szCs w:val="30"/>
                        </w:rPr>
                      </w:r>
                    </w:p>
                    <w:p>
                      <w:pPr>
                        <w:pBdr/>
                        <w:spacing w:after="120" w:before="120" w:line="276" w:lineRule="auto"/>
                        <w:ind/>
                        <w:jc w:val="center"/>
                        <w:rPr>
                          <w:b/>
                          <w:color w:val="000000" w:themeColor="text1"/>
                        </w:rPr>
                      </w:pPr>
                      <w:r>
                        <w:rPr>
                          <w:b/>
                          <w:color w:val="000000" w:themeColor="text1"/>
                        </w:rPr>
                        <w:t xml:space="preserve">Số: </w:t>
                      </w:r>
                      <w:r>
                        <w:rPr>
                          <w:b/>
                          <w:color w:val="000000" w:themeColor="text1"/>
                        </w:rPr>
                        <w:t xml:space="preserve">275/2026/0835/VFI-CT.48.A</w:t>
                      </w:r>
                      <w:r>
                        <w:rPr>
                          <w:b/>
                          <w:color w:val="000000" w:themeColor="text1"/>
                        </w:rPr>
                      </w:r>
                      <w:r>
                        <w:rPr>
                          <w:b/>
                          <w:color w:val="000000" w:themeColor="text1"/>
                        </w:rPr>
                      </w:r>
                    </w:p>
                    <w:p>
                      <w:pPr>
                        <w:pBdr/>
                        <w:tabs>
                          <w:tab w:val="left" w:leader="none" w:pos="3002"/>
                        </w:tabs>
                        <w:spacing w:after="120" w:before="120" w:line="276" w:lineRule="auto"/>
                        <w:ind/>
                        <w:jc w:val="center"/>
                        <w:rPr>
                          <w:rFonts w:ascii="Times New Roman Bold" w:hAnsi="Times New Roman Bold"/>
                          <w:b/>
                          <w:bCs/>
                          <w:color w:val="000000" w:themeColor="text1"/>
                        </w:rPr>
                      </w:pPr>
                      <w:r>
                        <w:rPr>
                          <w:rFonts w:ascii="Times New Roman Bold" w:hAnsi="Times New Roman Bold"/>
                          <w:b/>
                          <w:color w:val="000000" w:themeColor="text1"/>
                          <w:lang w:val="pt-BR"/>
                        </w:rPr>
                        <w:t xml:space="preserve">Khách hàng yêu cầu: </w:t>
                      </w:r>
                      <w:r>
                        <w:rPr>
                          <w:rFonts w:ascii="Times New Roman Bold" w:hAnsi="Times New Roman Bold"/>
                          <w:b/>
                          <w:bCs/>
                          <w:color w:val="000000" w:themeColor="text1"/>
                        </w:rPr>
                      </w:r>
                      <w:r>
                        <w:rPr>
                          <w:rFonts w:ascii="Times New Roman Bold" w:hAnsi="Times New Roman Bold"/>
                          <w:b/>
                          <w:bCs/>
                          <w:color w:val="000000" w:themeColor="text1"/>
                        </w:rPr>
                      </w:r>
                    </w:p>
                    <w:p>
                      <w:pPr>
                        <w:pBdr/>
                        <w:tabs>
                          <w:tab w:val="left" w:leader="none" w:pos="3002"/>
                        </w:tabs>
                        <w:spacing w:after="120" w:before="120" w:line="276" w:lineRule="auto"/>
                        <w:ind/>
                        <w:jc w:val="center"/>
                        <w:rPr>
                          <w:rFonts w:ascii="Times New Roman Bold" w:hAnsi="Times New Roman Bold"/>
                          <w:b/>
                          <w:bCs/>
                          <w:lang w:val="pt-BR"/>
                        </w:rPr>
                      </w:pPr>
                      <w:r>
                        <w:rPr>
                          <w:rFonts w:ascii="Times New Roman Bold" w:hAnsi="Times New Roman Bold"/>
                          <w:b/>
                          <w:color w:val="000000" w:themeColor="text1"/>
                          <w:lang w:val="pt-BR"/>
                        </w:rPr>
                        <w:t xml:space="preserve">CÔNG TY TNHH DỊCH VỤ VÀ THƯƠNG MẠI BS</w:t>
                      </w:r>
                      <w:r>
                        <w:rPr>
                          <w:rFonts w:ascii="Times New Roman Bold" w:hAnsi="Times New Roman Bold"/>
                          <w:b/>
                          <w:bCs/>
                          <w:lang w:val="pt-BR"/>
                        </w:rPr>
                      </w:r>
                      <w:r>
                        <w:rPr>
                          <w:rFonts w:ascii="Times New Roman Bold" w:hAnsi="Times New Roman Bold"/>
                          <w:b/>
                          <w:bCs/>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78b, tờ bản đồ số: 48 có địa chỉ: C28 Tổ 4 K3C, thị trấn Đông Anh, huyện Đông Anh, thành phố Hà Nội (nay là xã Thư Lâm, thành phố </w:t>
                      </w:r>
                      <w:r>
                        <w:rPr>
                          <w:color w:val="000000"/>
                        </w:rPr>
                        <w:t xml:space="preserve">Hà Nội) theo 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06/2026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4-21</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22</w:t>
            </w:r>
            <w:r>
              <w:rPr>
                <w:b/>
                <w:bCs/>
              </w:rPr>
            </w:r>
            <w:r>
              <w:rPr>
                <w:b/>
                <w:bCs/>
              </w:rPr>
            </w:r>
          </w:p>
        </w:tc>
      </w:tr>
      <w:tr>
        <w:trPr/>
        <w:tc>
          <w:tcPr>
            <w:tcBorders/>
            <w:tcMar>
              <w:left w:w="108" w:type="dxa"/>
              <w:right w:w="108" w:type="dxa"/>
            </w:tcMar>
            <w:tcW w:w="7280" w:type="dxa"/>
            <w:vAlign w:val="center"/>
            <w:textDirection w:val="lrTb"/>
            <w:noWrap w:val="false"/>
          </w:tcPr>
          <w:p>
            <w:pPr>
              <w:pStyle w:val="1027"/>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23-30</w:t>
            </w:r>
            <w:r>
              <w:rPr>
                <w:b/>
                <w:bCs/>
              </w:rPr>
            </w:r>
            <w:r>
              <w:rPr>
                <w:b/>
                <w:bCs/>
              </w:rPr>
            </w:r>
          </w:p>
        </w:tc>
      </w:tr>
    </w:tbl>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29"/>
        <w:gridCol w:w="3160"/>
        <w:gridCol w:w="4890"/>
        <w:gridCol w:w="29"/>
      </w:tblGrid>
      <w:tr>
        <w:trPr>
          <w:trHeight w:val="1152"/>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79"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482"/>
        </w:trPr>
        <w:tc>
          <w:tcPr>
            <w:gridSpan w:val="2"/>
            <w:shd w:val="clear" w:color="auto" w:fill="auto"/>
            <w:tcBorders/>
            <w:tcMar>
              <w:left w:w="108" w:type="dxa"/>
              <w:top w:w="0" w:type="dxa"/>
              <w:right w:w="108" w:type="dxa"/>
              <w:bottom w:w="0" w:type="dxa"/>
            </w:tcMar>
            <w:tcW w:w="4890"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275/2026/0835/VFI-CT.48.A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4890"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26"/>
        <w:pBdr/>
        <w:spacing w:after="120" w:before="200" w:line="288" w:lineRule="auto"/>
        <w:ind/>
        <w:jc w:val="center"/>
        <w:rPr>
          <w:rStyle w:val="1025"/>
          <w:rFonts w:ascii="Times New Roman" w:hAnsi="Times New Roman"/>
          <w:b/>
          <w:bCs/>
          <w:color w:val="auto"/>
          <w:sz w:val="30"/>
          <w:szCs w:val="30"/>
          <w:lang w:val="vi-VN"/>
        </w:rPr>
      </w:pPr>
      <w:r>
        <w:rPr>
          <w:rStyle w:val="1025"/>
          <w:rFonts w:ascii="Times New Roman" w:hAnsi="Times New Roman"/>
          <w:b/>
          <w:bCs/>
          <w:color w:val="auto"/>
          <w:sz w:val="30"/>
          <w:szCs w:val="30"/>
          <w:lang w:val="vi-VN"/>
        </w:rPr>
        <w:t xml:space="preserve">CHỨNG THƯ THẨM ĐỊNH GIÁ</w:t>
      </w:r>
      <w:r>
        <w:rPr>
          <w:rStyle w:val="1025"/>
          <w:rFonts w:ascii="Times New Roman" w:hAnsi="Times New Roman"/>
          <w:b/>
          <w:bCs/>
          <w:color w:val="auto"/>
          <w:sz w:val="30"/>
          <w:szCs w:val="30"/>
          <w:lang w:val="vi-VN"/>
        </w:rPr>
      </w:r>
      <w:r>
        <w:rPr>
          <w:rStyle w:val="102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CÔNG TY TNHH DỊCH VỤ VÀ THƯƠNG MẠI BS</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275/2026/0835/VFI-HĐTĐ.48.A</w:t>
      </w:r>
      <w:r>
        <w:rPr>
          <w:spacing w:val="-4"/>
          <w:lang w:val="vi-VN"/>
        </w:rPr>
        <w:t xml:space="preserve"> ký ngày </w:t>
      </w:r>
      <w:r>
        <w:rPr>
          <w:color w:val="000000" w:themeColor="text1"/>
          <w:spacing w:val="-4"/>
        </w:rPr>
        <w:t xml:space="preserve">1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Dịch vụ và Thương mại BS</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275/2026/0835/VFI-BC.48.A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 tháng 6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TNHH DỊCH VỤ VÀ THƯƠNG MẠI BS</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Nguyễn Thanh Bình                       Chức vụ: Giám đốc</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Nhà C28, tổ 21, xã Thư Lâm, thành phố Hà Nội</w:t>
            </w:r>
            <w:r/>
          </w:p>
        </w:tc>
      </w:tr>
      <w:tr>
        <w:trPr>
          <w:trHeight w:val="20"/>
        </w:trPr>
        <w:tc>
          <w:tcPr>
            <w:shd w:val="clear" w:color="auto" w:fill="auto"/>
            <w:tcBorders/>
            <w:tcW w:w="1109"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0108160136</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Điện thoại</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0587.526.526</w:t>
            </w:r>
            <w:r/>
          </w:p>
        </w:tc>
      </w:tr>
      <w:tr>
        <w:trPr>
          <w:trHeight w:val="20"/>
        </w:trPr>
        <w:tc>
          <w:tcPr>
            <w:shd w:val="clear" w:color="ffffff" w:fill="ffffff"/>
            <w:tcBorders/>
            <w:tcW w:w="1109"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Tài khoản</w:t>
            </w:r>
            <w:r/>
          </w:p>
        </w:tc>
        <w:tc>
          <w:tcPr>
            <w:shd w:val="clear" w:color="ffffff" w:fill="ffffff"/>
            <w:tcBorders/>
            <w:tcW w:w="248" w:type="pct"/>
            <w:vAlign w:val="center"/>
            <w:vMerge w:val="restart"/>
            <w:textDirection w:val="lrTb"/>
            <w:noWrap w:val="false"/>
          </w:tcPr>
          <w:p>
            <w:pPr>
              <w:pBdr/>
              <w:spacing w:after="40" w:before="40" w:line="276" w:lineRule="auto"/>
              <w:ind/>
              <w:jc w:val="center"/>
              <w:rPr>
                <w:bCs/>
                <w:color w:val="000000"/>
                <w:lang w:val="pt-BR"/>
              </w:rPr>
            </w:pPr>
            <w:r>
              <w:rPr>
                <w:bCs/>
                <w:color w:val="000000"/>
                <w:lang w:val="pt-BR"/>
              </w:rPr>
              <w:t xml:space="preserve">:</w:t>
            </w:r>
            <w:r>
              <w:rPr>
                <w:bCs/>
                <w:color w:val="000000"/>
                <w:lang w:val="pt-BR"/>
              </w:rPr>
            </w:r>
            <w:r>
              <w:rPr>
                <w:bCs/>
                <w:color w:val="000000"/>
                <w:lang w:val="pt-BR"/>
              </w:rPr>
            </w:r>
          </w:p>
        </w:tc>
        <w:tc>
          <w:tcPr>
            <w:tcBorders/>
            <w:tcW w:w="3643" w:type="pct"/>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113 002 652 796 – Ngân hàng TMCP Công Thương Việt Nam</w:t>
            </w: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78b, tờ bản đồ số: 48 có địa chỉ: C28 Tổ 4 K3C, thị trấn Đông Anh, huyện Đông Anh, thành phố Hà Nội (nay là xã Thư Lâm, thành phố </w:t>
      </w:r>
      <w:r>
        <w:rPr>
          <w:color w:val="000000" w:themeColor="text1"/>
        </w:rPr>
        <w:t xml:space="preserve">Hà Nội) theo 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06/2026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06/2026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78b, tờ bản đồ số: 48 có địa chỉ: C28 Tổ 4 K3C, thị trấn Đông Anh, huyện Đông Anh, thành phố Hà Nội (nay là xã Thư Lâm, thành phố </w:t>
            </w:r>
            <w:r>
              <w:rPr>
                <w:color w:val="000000"/>
              </w:rPr>
              <w:t xml:space="preserve">Hà Nội) theo 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60</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90.000.000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5.400.000.000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r>
            <w:r>
              <w:rPr>
                <w:b/>
                <w:bCs/>
                <w:color w:val="000000" w:themeColor="text1"/>
              </w:rPr>
              <w:t xml:space="preserve">5.400.000.000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Năm tỷ </w:t>
            </w:r>
            <w:r>
              <w:rPr>
                <w:b/>
                <w:bCs/>
                <w:i/>
                <w:iCs/>
                <w:color w:val="000000"/>
                <w:highlight w:val="white"/>
              </w:rPr>
              <w:t xml:space="preserve">bốn trăm</w:t>
            </w:r>
            <w:r>
              <w:rPr>
                <w:b/>
                <w:bCs/>
                <w:i/>
                <w:iCs/>
                <w:color w:val="000000"/>
                <w:highlight w:val="white"/>
              </w:rPr>
              <w:t xml:space="preserve">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bCs/>
          <w:spacing w:val="-4"/>
          <w:lang w:val="pt-BR"/>
        </w:rPr>
      </w:pPr>
      <w:r>
        <w:rPr>
          <w:lang w:val="pt-BR"/>
        </w:rPr>
        <w:t xml:space="preserve">- </w:t>
      </w:r>
      <w:r>
        <w:rPr>
          <w:lang w:val="pt-BR"/>
        </w:rPr>
        <w:t xml:space="preserve">Chi tiết như Báo cáo kèm theo.</w:t>
      </w:r>
      <w:r>
        <w:rPr>
          <w:rFonts w:eastAsia="Calibri"/>
          <w:b/>
          <w:bCs/>
          <w:spacing w:val="-4"/>
          <w:lang w:val="pt-BR"/>
        </w:rPr>
      </w:r>
      <w:r>
        <w:rPr>
          <w:rFonts w:eastAsia="Calibri"/>
          <w:b/>
          <w:bCs/>
          <w:spacing w:val="-4"/>
          <w:lang w:val="pt-BR"/>
        </w:rPr>
      </w:r>
    </w:p>
    <w:p>
      <w:pPr>
        <w:pBdr/>
        <w:spacing w:after="120" w:before="120" w:line="312" w:lineRule="auto"/>
        <w:ind w:firstLine="360"/>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29"/>
        <w:gridCol w:w="3302"/>
        <w:gridCol w:w="5031"/>
        <w:gridCol w:w="29"/>
      </w:tblGrid>
      <w:tr>
        <w:trPr>
          <w:trHeight w:val="1843"/>
        </w:trPr>
        <w:tc>
          <w:tcPr>
            <w:tcBorders/>
            <w:tcW w:w="1729"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362"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7"/>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trHeight w:val="84"/>
        </w:trPr>
        <w:tc>
          <w:tcPr>
            <w:gridSpan w:val="2"/>
            <w:shd w:val="clear" w:color="auto" w:fill="auto"/>
            <w:tcBorders/>
            <w:tcMar>
              <w:left w:w="108" w:type="dxa"/>
              <w:top w:w="0" w:type="dxa"/>
              <w:right w:w="108" w:type="dxa"/>
              <w:bottom w:w="0" w:type="dxa"/>
            </w:tcMar>
            <w:tcW w:w="5031" w:type="dxa"/>
            <w:textDirection w:val="lrTb"/>
            <w:noWrap w:val="false"/>
          </w:tcPr>
          <w:p>
            <w:pPr>
              <w:pStyle w:val="1026"/>
              <w:pBdr/>
              <w:spacing w:after="60"/>
              <w:ind/>
              <w:rPr>
                <w:color w:val="000000" w:themeColor="text1"/>
                <w:sz w:val="24"/>
                <w:szCs w:val="24"/>
              </w:rPr>
            </w:pPr>
            <w:r>
              <w:rPr>
                <w:rStyle w:val="1025"/>
                <w:rFonts w:ascii="Times New Roman" w:hAnsi="Times New Roman"/>
                <w:color w:val="000000" w:themeColor="text1"/>
                <w:lang w:val="pt-BR"/>
              </w:rPr>
              <w:t xml:space="preserve">Số: </w:t>
            </w:r>
            <w:r>
              <w:rPr>
                <w:rStyle w:val="1025"/>
                <w:rFonts w:ascii="Times New Roman" w:hAnsi="Times New Roman"/>
                <w:color w:val="000000" w:themeColor="text1"/>
                <w:lang w:val="pt-BR"/>
              </w:rPr>
              <w:t xml:space="preserve">275/2026/0835/VFI-BC.48.A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031" w:type="dxa"/>
            <w:textDirection w:val="lrTb"/>
            <w:noWrap w:val="false"/>
          </w:tcPr>
          <w:p>
            <w:pPr>
              <w:pStyle w:val="1026"/>
              <w:pBdr/>
              <w:spacing w:after="60"/>
              <w:ind w:right="-56"/>
              <w:jc w:val="right"/>
              <w:rPr>
                <w:color w:val="000000" w:themeColor="text1"/>
                <w:sz w:val="24"/>
                <w:szCs w:val="24"/>
                <w:lang w:val="vi-VN"/>
              </w:rPr>
            </w:pPr>
            <w:r>
              <w:rPr>
                <w:rStyle w:val="1025"/>
                <w:rFonts w:ascii="Times New Roman" w:hAnsi="Times New Roman"/>
                <w:i/>
                <w:color w:val="auto"/>
              </w:rPr>
              <w:t xml:space="preserve">TP. Hà Nội</w:t>
            </w:r>
            <w:r>
              <w:rPr>
                <w:rStyle w:val="1025"/>
                <w:rFonts w:ascii="Times New Roman" w:hAnsi="Times New Roman"/>
                <w:i/>
                <w:color w:val="auto"/>
                <w:lang w:val="vi-VN"/>
              </w:rPr>
              <w:t xml:space="preserve">, </w:t>
            </w:r>
            <w:r>
              <w:rPr>
                <w:rStyle w:val="1025"/>
                <w:rFonts w:ascii="Times New Roman" w:hAnsi="Times New Roman"/>
                <w:i/>
                <w:color w:val="000000" w:themeColor="text1"/>
                <w:lang w:val="vi-VN"/>
              </w:rPr>
              <w:t xml:space="preserve">ngày 3 tháng 6 năm 2026</w:t>
            </w:r>
            <w:r>
              <w:rPr>
                <w:color w:val="000000" w:themeColor="text1"/>
                <w:sz w:val="24"/>
                <w:szCs w:val="24"/>
                <w:lang w:val="vi-VN"/>
              </w:rPr>
            </w:r>
            <w:r>
              <w:rPr>
                <w:color w:val="000000" w:themeColor="text1"/>
                <w:sz w:val="24"/>
                <w:szCs w:val="24"/>
                <w:lang w:val="vi-VN"/>
              </w:rPr>
            </w:r>
          </w:p>
        </w:tc>
      </w:tr>
    </w:tbl>
    <w:p>
      <w:pPr>
        <w:pStyle w:val="102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275/2026/0835/VFI-CT.48.A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 tháng 6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b/>
                <w:color w:val="000000"/>
                <w:sz w:val="24"/>
              </w:rPr>
              <w:t xml:space="preserve">CÔNG TY TNHH DỊCH VỤ VÀ THƯƠNG MẠI BS</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Đại diện</w:t>
            </w: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b/>
                <w:color w:val="000000"/>
                <w:sz w:val="24"/>
              </w:rPr>
              <w:t xml:space="preserve">Ông Nguyễn Thanh Bình                       Chức vụ: Giám đốc</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Địa chỉ trụ sở</w:t>
            </w:r>
            <w:r/>
          </w:p>
        </w:tc>
        <w:tc>
          <w:tcPr>
            <w:tcBorders/>
            <w:tcW w:w="284" w:type="dxa"/>
            <w:vAlign w:val="center"/>
            <w:vMerge w:val="restart"/>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Nhà C28, tổ 21, xã Thư Lâm, thành phố Hà Nội</w:t>
            </w:r>
            <w:r/>
          </w:p>
        </w:tc>
      </w:tr>
      <w:tr>
        <w:trPr>
          <w:trHeight w:val="20"/>
        </w:trPr>
        <w:tc>
          <w:tcPr>
            <w:tcBorders/>
            <w:tcW w:w="2518"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Mã số thuế</w:t>
            </w:r>
            <w:r/>
          </w:p>
        </w:tc>
        <w:tc>
          <w:tcPr>
            <w:tcBorders/>
            <w:tcW w:w="284" w:type="dxa"/>
            <w:vAlign w:val="center"/>
            <w:vMerge w:val="restart"/>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vMerge w:val="restart"/>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0108160136</w:t>
            </w:r>
            <w:r/>
          </w:p>
        </w:tc>
      </w:tr>
      <w:tr>
        <w:trPr>
          <w:trHeight w:val="616"/>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Điện thoại</w:t>
            </w: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0587.526.526</w:t>
            </w:r>
            <w:r/>
          </w:p>
        </w:tc>
      </w:tr>
      <w:tr>
        <w:trPr>
          <w:trHeight w:val="20"/>
        </w:trPr>
        <w:tc>
          <w:tcPr>
            <w:tcBorders/>
            <w:tcW w:w="2518"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both"/>
              <w:rPr/>
            </w:pPr>
            <w:r>
              <w:rPr>
                <w:rFonts w:ascii="Times New Roman" w:hAnsi="Times New Roman" w:eastAsia="Times New Roman" w:cs="Times New Roman"/>
                <w:color w:val="000000"/>
                <w:sz w:val="24"/>
              </w:rPr>
              <w:t xml:space="preserve">Tài khoản</w:t>
            </w: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rPr/>
            </w:pPr>
            <w:r>
              <w:rPr>
                <w:rFonts w:ascii="Times New Roman" w:hAnsi="Times New Roman" w:eastAsia="Times New Roman" w:cs="Times New Roman"/>
                <w:color w:val="000000"/>
                <w:sz w:val="24"/>
              </w:rPr>
              <w:t xml:space="preserve">113 002 652 796 – Ngân hàng TMCP Công Thương Việt Nam</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78b, tờ bản đồ số: 48 có địa chỉ: C28 Tổ 4 K3C, thị trấn Đông Anh, huyện Đông Anh, thành phố Hà Nội (nay là xã Thư Lâm, thành phố </w:t>
            </w:r>
            <w:r>
              <w:rPr>
                <w:bCs/>
                <w:color w:val="000000" w:themeColor="text1"/>
                <w:lang w:val="pt-BR"/>
              </w:rPr>
              <w:t xml:space="preserve">Hà Nội) theo 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06/2026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r>
            <w:r>
              <w:rPr>
                <w:bCs/>
                <w:color w:val="000000" w:themeColor="text1"/>
                <w:lang w:val="pt-BR"/>
              </w:rPr>
              <w:t xml:space="preserve">Xã Thư Lâm, thành phố </w:t>
            </w:r>
            <w:r>
              <w:rPr>
                <w:bCs/>
                <w:color w:val="000000" w:themeColor="text1"/>
                <w:lang w:val="pt-BR"/>
              </w:rPr>
              <w:t xml:space="preserve">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21.170277777778, 105.85797222222</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1/6/2026</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7"/>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7"/>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7"/>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7"/>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7"/>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7"/>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7"/>
        <w:numPr>
          <w:ilvl w:val="0"/>
          <w:numId w:val="1"/>
        </w:numPr>
        <w:pBdr/>
        <w:spacing w:after="120" w:before="120" w:line="276" w:lineRule="auto"/>
        <w:ind/>
        <w:jc w:val="both"/>
        <w:rPr>
          <w:bCs/>
          <w:spacing w:val="-4"/>
          <w:lang w:val="pt-BR"/>
        </w:rPr>
      </w:pPr>
      <w:r>
        <w:rPr>
          <w:bCs/>
          <w:spacing w:val="-4"/>
          <w:lang w:val="pt-BR"/>
        </w:rPr>
        <w:t xml:space="preserve">Quyết định số 425/QĐ-BXD ngày 30/3/2026 của Bộ Xây dựng về việc Công bố suất vốn đầu tư xây dựng công trình và giá xây dựng tổng hợp bộ phận kết cấu công trình năm 2025;</w:t>
      </w:r>
      <w:r>
        <w:rPr>
          <w:bCs/>
          <w:spacing w:val="-4"/>
          <w:lang w:val="pt-BR"/>
        </w:rPr>
      </w:r>
      <w:r>
        <w:rPr>
          <w:bCs/>
          <w:spacing w:val="-4"/>
          <w:lang w:val="pt-BR"/>
        </w:rPr>
      </w:r>
    </w:p>
    <w:p>
      <w:pPr>
        <w:pStyle w:val="1027"/>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7"/>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7"/>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7"/>
        <w:numPr>
          <w:ilvl w:val="0"/>
          <w:numId w:val="2"/>
        </w:numPr>
        <w:pBdr/>
        <w:tabs>
          <w:tab w:val="left" w:leader="none" w:pos="993"/>
        </w:tabs>
        <w:spacing w:after="120" w:before="120" w:line="276" w:lineRule="auto"/>
        <w:ind/>
        <w:jc w:val="both"/>
        <w:rPr>
          <w:b w:val="0"/>
          <w:bCs w:val="0"/>
          <w:i/>
          <w:iCs/>
        </w:rPr>
      </w:pPr>
      <w:r>
        <w:rPr>
          <w:b w:val="0"/>
          <w:bCs w:val="0"/>
          <w:color w:val="000000" w:themeColor="text1"/>
          <w:lang w:val="pt-BR"/>
        </w:rPr>
      </w:r>
      <w:r>
        <w:rPr>
          <w:b w:val="0"/>
          <w:bCs w:val="0"/>
          <w:color w:val="000000"/>
        </w:rPr>
        <w:t xml:space="preserve">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b w:val="0"/>
          <w:bCs w:val="0"/>
          <w:lang w:val="pt-BR"/>
        </w:rPr>
        <w:t xml:space="preserve">.</w:t>
      </w:r>
      <w:r>
        <w:rPr>
          <w:b w:val="0"/>
          <w:bCs w:val="0"/>
          <w:i/>
          <w:iCs/>
        </w:rPr>
      </w:r>
      <w:r>
        <w:rPr>
          <w:b w:val="0"/>
          <w:bCs w:val="0"/>
          <w:i/>
          <w:iCs/>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w:t>
      </w:r>
      <w:r>
        <w:rPr>
          <w:color w:val="000000" w:themeColor="text1"/>
          <w:spacing w:val="-4"/>
          <w:lang w:val="vi-VN"/>
        </w:rPr>
        <w:t xml:space="preserve">275/2026/0835/VFI-HĐTĐ.48.A</w:t>
      </w:r>
      <w:r>
        <w:rPr>
          <w:spacing w:val="-4"/>
          <w:lang w:val="vi-VN"/>
        </w:rPr>
        <w:t xml:space="preserve"> ký ngày </w:t>
      </w:r>
      <w:r>
        <w:rPr>
          <w:color w:val="000000" w:themeColor="text1"/>
          <w:spacing w:val="-4"/>
        </w:rPr>
        <w:t xml:space="preserve">1 tháng 6 năm 2026</w:t>
      </w:r>
      <w:r>
        <w:rPr>
          <w:spacing w:val="-4"/>
          <w:lang w:val="vi-VN"/>
        </w:rPr>
        <w:t xml:space="preserve"> </w:t>
      </w:r>
      <w:r>
        <w:rPr>
          <w:spacing w:val="-4"/>
          <w:lang w:val="vi-VN"/>
        </w:rPr>
        <w:t xml:space="preserve">giữa </w:t>
      </w:r>
      <w:r>
        <w:rPr>
          <w:rFonts w:ascii="Times New Roman" w:hAnsi="Times New Roman" w:eastAsia="Times New Roman" w:cs="Times New Roman"/>
          <w:color w:val="000000"/>
          <w:spacing w:val="-4"/>
          <w:sz w:val="24"/>
        </w:rPr>
        <w:t xml:space="preserve">Công ty TNHH Dịch vụ và Thương mại BS</w:t>
      </w:r>
      <w:r>
        <w:rPr>
          <w:color w:val="000000" w:themeColor="text1"/>
          <w:lang w:val="pt-BR"/>
        </w:rPr>
        <w:t xml:space="preserve"> với Công ty Cổ phần Thẩm định và Đầu tư Tài chính Hoa Sen.</w:t>
      </w:r>
      <w:r>
        <w:rPr>
          <w:b/>
          <w:lang w:val="pt-BR"/>
        </w:rPr>
      </w:r>
      <w:r>
        <w:rPr>
          <w:b/>
          <w:lang w:val="pt-BR"/>
        </w:rPr>
      </w:r>
    </w:p>
    <w:p>
      <w:pPr>
        <w:pStyle w:val="1027"/>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lang w:val="pt-BR"/>
        </w:rPr>
        <w:tab/>
      </w:r>
      <w:r>
        <w:rPr>
          <w:rFonts w:ascii="Times New Roman" w:hAnsi="Times New Roman" w:eastAsia="Times New Roman" w:cs="Times New Roman"/>
          <w:b/>
          <w:i/>
          <w:color w:val="000000"/>
          <w:sz w:val="24"/>
        </w:rPr>
        <w:t xml:space="preserve">Bức tranh thị trường bất động sản Hà Nội năm 2026: Hạ tầng dẫn dắt, thị trường bước vào chu kỳ tăng trưởng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sang năm 2026, thị trường bất động sản Hà Nội được kỳ vọng bước vào chu kỳ tăng trưởng mới với nền tảng hạ tầng, pháp lý và chính sách ngày càng rõ nét. Thay vì những cơn “sốt nóng”, thị trường vận động theo hướng chọn lọc, phân hóa mạnh, lấy nhu cầu</w:t>
      </w:r>
      <w:r>
        <w:rPr>
          <w:rFonts w:ascii="Times New Roman" w:hAnsi="Times New Roman" w:eastAsia="Times New Roman" w:cs="Times New Roman"/>
          <w:color w:val="000000"/>
          <w:sz w:val="24"/>
        </w:rPr>
        <w:t xml:space="preserve"> ở thực, chất lượng dự án và năng lực doanh nghiệp làm trụ cột phát triển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bối cảnh kinh tế vĩ mô dần ổn định, khuôn khổ pháp lý được hoàn thiện và đầu tư công tiếp tục giữ vai trò "đầu kéo", bất động sản Thủ đô bước vào một chu kỳ phát triển mới – thận trọng hơn, thực chất hơn và lấy hạ tầng làm động lực trung tâm. Thay v</w:t>
      </w:r>
      <w:r>
        <w:rPr>
          <w:rFonts w:ascii="Times New Roman" w:hAnsi="Times New Roman" w:eastAsia="Times New Roman" w:cs="Times New Roman"/>
          <w:color w:val="000000"/>
          <w:sz w:val="24"/>
        </w:rPr>
        <w:t xml:space="preserve">ì những cơn "sốt nóng" ngắn hạn, thị trường năm 2026 được kỳ vọng tăng trưởng trên nền tảng bền vững, gắn chặt với quy hoạch đô thị, nhu cầu ở thực và năng lực triển khai của doanh nghiệp.</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Hạ tầng – "xương sống" mở không gian phát triển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Trong nhiều năm qua, hạ tầng giao thông luôn là yếu tố then chốt định hình không gian phát triển đô thị Hà Nội. Đến năm 2026, vai trò này càng trở nên rõ rệt khi hàng loạt dự án trọng điểm được triển khai đồng bộ, tạo lực đẩy dài hạn cho thị trường bất độ</w:t>
      </w:r>
      <w:r>
        <w:rPr>
          <w:rFonts w:ascii="Times New Roman" w:hAnsi="Times New Roman" w:eastAsia="Times New Roman" w:cs="Times New Roman"/>
          <w:color w:val="000000"/>
          <w:sz w:val="24"/>
        </w:rPr>
        <w:t xml:space="preserve">ng sản.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Dự án đường Vành đai 4 – Vùng Thủ đô, với quy mô hơn 85.000 tỷ đồng, được coi là "đòn bẩy chiến lược" mở rộng không gian phát triển về các hướng Bắc, Tây và Nam. Khi tuyến đường này từng bước thành hình, các khu vực vốn nằm ngoài trung tâm truyền thống sẽ</w:t>
      </w:r>
      <w:r>
        <w:rPr>
          <w:rFonts w:ascii="Times New Roman" w:hAnsi="Times New Roman" w:eastAsia="Times New Roman" w:cs="Times New Roman"/>
          <w:color w:val="000000"/>
          <w:sz w:val="24"/>
        </w:rPr>
        <w:t xml:space="preserve"> có điều kiện kết nối thuận lợi hơn, qua đó gia tăng sức hấp dẫn với các dự án đô thị, khu nhà ở và dịch vụ.</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với đó, hệ thống các tuyến vành đai, trục hướng tâm, các cây cầu vượt sông Hồng và mạng lưới đường sắt đô thị đang dần hoàn thiện, tạo nên cấu trúc giao thông đa lớp cho Thủ đô. PGS.TS Trần Đình Thiên, nguyên Viện trưởng Viện Kinh tế Việt Nam cho rằn</w:t>
      </w:r>
      <w:r>
        <w:rPr>
          <w:rFonts w:ascii="Times New Roman" w:hAnsi="Times New Roman" w:eastAsia="Times New Roman" w:cs="Times New Roman"/>
          <w:color w:val="000000"/>
          <w:sz w:val="24"/>
        </w:rPr>
        <w:t xml:space="preserve">g, hạ tầng giao thông không chỉ đóng vai trò hỗ trợ mà còn mang tính quyết định đối với việc Hà Nội chuyển sang mô hình đô thị đa trung tâm. Khi giao thông đi trước, dòng vốn đầu tư, dân cư và các hoạt động kinh tế sẽ dịch chuyển theo, tạo nền tảng cho tăn</w:t>
      </w:r>
      <w:r>
        <w:rPr>
          <w:rFonts w:ascii="Times New Roman" w:hAnsi="Times New Roman" w:eastAsia="Times New Roman" w:cs="Times New Roman"/>
          <w:color w:val="000000"/>
          <w:sz w:val="24"/>
        </w:rPr>
        <w:t xml:space="preserve">g trưởng bất động sản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Thực tế thị trường cho thấy, các khu vực hưởng lợi trực tiếp từ hạ tầng đều ghi nhận sự cải thiện rõ rệt về giá trị và thanh khoản. Tây Hà Nội, với trục Đại lộ Thăng Long, các tuyến Vành đai 3, 3,5 và định hướng tuyến metro số 5 (Văn Cao – Hòa Lạc), đang </w:t>
      </w:r>
      <w:r>
        <w:rPr>
          <w:rFonts w:ascii="Times New Roman" w:hAnsi="Times New Roman" w:eastAsia="Times New Roman" w:cs="Times New Roman"/>
          <w:color w:val="000000"/>
          <w:sz w:val="24"/>
        </w:rPr>
        <w:t xml:space="preserve">nổi lên như một cực phát triển mới. Ở phía Đông, hệ thống cầu vượt sông Hồng, cùng quy hoạch chỉnh trang đô thị ven sông, tiếp tục mở ra dư địa cho các dự án nhà ở và đô thị sinh thái.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Thị trường chuyển từ "tăng nóng" sang tăng trưởng chọn lọc</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Nếu như giai đoạn trước, thị trường bất động sản Hà Nội từng chứng kiến những đợt tăng giá nhanh ở một số phân khúc, thì bước sang năm 2026, xu hướng chủ đạo là tăng trưởng có chọn lọc. Dòng tiền không còn chạy theo "sóng ngắn" mà ưu tiên những khu vực có</w:t>
      </w:r>
      <w:r>
        <w:rPr>
          <w:rFonts w:ascii="Times New Roman" w:hAnsi="Times New Roman" w:eastAsia="Times New Roman" w:cs="Times New Roman"/>
          <w:color w:val="000000"/>
          <w:sz w:val="24"/>
        </w:rPr>
        <w:t xml:space="preserve"> quy hoạch rõ ràng, hạ tầng đồng bộ và nhu cầu ở thực ổn định.</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Theo ông Nguyễn Văn Đính, Chủ tịch Hội Môi giới Bất động sản Việt Nam (VARS), thị trường bất động sản Hà Nội sẽ không tăng trưởng theo kiểu nóng mà dựa trên nền tảng hạ tầng và nhu cầu thật. Những dự án gắn với các tuyến giao thông lớn, pháp lý minh bạch </w:t>
      </w:r>
      <w:r>
        <w:rPr>
          <w:rFonts w:ascii="Times New Roman" w:hAnsi="Times New Roman" w:eastAsia="Times New Roman" w:cs="Times New Roman"/>
          <w:color w:val="000000"/>
          <w:sz w:val="24"/>
        </w:rPr>
        <w:t xml:space="preserve">và được triển khai bài bản sẽ trở thành động lực chính của thị trường trong năm 2026.</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Số liệu từ các đơn vị nghiên cứu cho thấy, trong giai đoạn gần đây, giá bất động sản tại những khu vực bám trục hạ tầng lớn của Hà Nội vẫn duy trì mức tăng ổn định, trong khi thanh khoản dần cải thiện. Điều này phản ánh sự dịch chuyển của dòng tiền sang c</w:t>
      </w:r>
      <w:r>
        <w:rPr>
          <w:rFonts w:ascii="Times New Roman" w:hAnsi="Times New Roman" w:eastAsia="Times New Roman" w:cs="Times New Roman"/>
          <w:color w:val="000000"/>
          <w:sz w:val="24"/>
        </w:rPr>
        <w:t xml:space="preserve">ác phân khúc an toàn hơn, hạn chế rủi ro và có tiềm năng tăng trưởng dài hạn.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Nguồn cung lớn, thị trường phân hóa rõ nét</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Một đặc điểm nổi bật của thị trường năm 2026 là sự gia tăng mạnh mẽ của nguồn cung, đặc biệt ở phân khúc căn hộ. Dự báo cho thấy, Hà Nội sẽ đón nhận lượng lớn sản phẩm mới từ hàng chục dự án được tháo gỡ vướng mắc pháp lý và tái khởi động. Điều này vừa tạ</w:t>
      </w:r>
      <w:r>
        <w:rPr>
          <w:rFonts w:ascii="Times New Roman" w:hAnsi="Times New Roman" w:eastAsia="Times New Roman" w:cs="Times New Roman"/>
          <w:color w:val="000000"/>
          <w:sz w:val="24"/>
        </w:rPr>
        <w:t xml:space="preserve">o cơ hội cho người mua, vừa đặt ra thách thức cho doanh nghiệp phát triển dự án.</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Ông David Jackson, Tổng Giám đốc Avison Young Việt Nam nhận định, thị trường căn hộ đang bước vào giai đoạn bản lề. Phân khúc này tiếp tục giữ vai trò chủ đạo trong giai đoạn 2025–2026, song sự phát triển sẽ không đồng đều. Các dự án có vị trí thuận lợi, </w:t>
      </w:r>
      <w:r>
        <w:rPr>
          <w:rFonts w:ascii="Times New Roman" w:hAnsi="Times New Roman" w:eastAsia="Times New Roman" w:cs="Times New Roman"/>
          <w:color w:val="000000"/>
          <w:sz w:val="24"/>
        </w:rPr>
        <w:t xml:space="preserve">kết nối hạ tầng tốt, pháp lý hoàn chỉnh và chủ đầu tư uy tín sẽ duy trì thanh khoản, trong khi những dự án xa trung tâm, thiếu tiện ích hoặc định giá vượt khả năng chi trả của số đông sẽ gặp khó.</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Cùng quan điểm, bà Đỗ Thị Thu Hằng, Giám đốc Cấp cao, Bộ phận Nghiên cứu và Tư vấn, Savills Hà Nội cho rằng, những dòng sản phẩm diện tích vừa và nhỏ, đặc biệt là căn hộ một đến hai phòng ngủ, vẫn có sức hút lớn nhờ phù hợp với nhu cầu ở thực. Trong khi đ</w:t>
      </w:r>
      <w:r>
        <w:rPr>
          <w:rFonts w:ascii="Times New Roman" w:hAnsi="Times New Roman" w:eastAsia="Times New Roman" w:cs="Times New Roman"/>
          <w:color w:val="000000"/>
          <w:sz w:val="24"/>
        </w:rPr>
        <w:t xml:space="preserve">ó, phân khúc nhà ở vừa túi tiền và nhà ở xã hội được kỳ vọng sẽ dần cải thiện nguồn cung khi các chính sách mới được triển khai đồng bộ.</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Chính sách và pháp lý – điểm tựa cho chu kỳ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Năm 2026 được xem là thời điểm các chính sách pháp luật về đất đai, nhà ở và kinh doanh bất động sản phát huy hiệu quả rõ nét hơn. Việc tháo gỡ vướng mắc cho hàng nghìn dự án tồn đọng không chỉ giúp giải phóng nguồn lực lớn cho nền kinh tế mà còn bổ sung </w:t>
      </w:r>
      <w:r>
        <w:rPr>
          <w:rFonts w:ascii="Times New Roman" w:hAnsi="Times New Roman" w:eastAsia="Times New Roman" w:cs="Times New Roman"/>
          <w:color w:val="000000"/>
          <w:sz w:val="24"/>
        </w:rPr>
        <w:t xml:space="preserve">nguồn cung đáng kể cho thị trường.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Các cơ chế mới liên quan đến định giá đất, thu hồi đất và mở rộng khả năng tiếp cận quỹ đất được kỳ vọng sẽ rút ngắn thời gian chuẩn bị dự án, giảm chi phí và tăng tính minh bạch. Điều này giúp thị trường vận hành lành mạnh hơn, hạn chế tình trạng "treo" </w:t>
      </w:r>
      <w:r>
        <w:rPr>
          <w:rFonts w:ascii="Times New Roman" w:hAnsi="Times New Roman" w:eastAsia="Times New Roman" w:cs="Times New Roman"/>
          <w:color w:val="000000"/>
          <w:sz w:val="24"/>
        </w:rPr>
        <w:t xml:space="preserve">dự án kéo dài, đồng thời tạo niềm tin cho nhà đầu tư và người mua nhà.</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Bước vào năm 2026, mặt bằng lãi suất được dự báo duy trì ở mức tương đối ổn định, dù có thể xuất hiện những điều chỉnh kỹ thuật. Ông Nguyễn Quốc Anh, Phó Tổng Giám đốc Batdongsan.com.vn cho rằng, mức lãi suất cho vay phổ biến quanh 6–7%/năm vẫn nằm trong </w:t>
      </w:r>
      <w:r>
        <w:rPr>
          <w:rFonts w:ascii="Times New Roman" w:hAnsi="Times New Roman" w:eastAsia="Times New Roman" w:cs="Times New Roman"/>
          <w:color w:val="000000"/>
          <w:sz w:val="24"/>
        </w:rPr>
        <w:t xml:space="preserve">vùng hỗ trợ giao dịch, khác xa giai đoạn "cú sốc kép" năm 2022.</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Ở góc nhìn vĩ mô, TS. Cấn Văn Lực, Chuyên gia Kinh tế trưởng Ngân hàng BIDV, Thành viên Hội đồng Tư vấn chính sách tài chính – tiền tệ quốc gia – nhận định, lãi suất thấp trong giai đoạn tới sẽ không còn kích hoạt đầu cơ mạnh như trước, mà thúc đẩy thị tr</w:t>
      </w:r>
      <w:r>
        <w:rPr>
          <w:rFonts w:ascii="Times New Roman" w:hAnsi="Times New Roman" w:eastAsia="Times New Roman" w:cs="Times New Roman"/>
          <w:color w:val="000000"/>
          <w:sz w:val="24"/>
        </w:rPr>
        <w:t xml:space="preserve">ường phát triển ổn định hơn. Người mua ngày càng thận trọng, ưu tiên pháp lý rõ ràng, chất lượng sản phẩm và uy tín chủ đầu tư – những yếu tố then chốt để hình thành chu kỳ tăng trưởng bền vững.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i/>
          <w:color w:val="000000"/>
          <w:sz w:val="24"/>
        </w:rPr>
        <w:tab/>
        <w:t xml:space="preserve">Triển vọng 2026: tăng trưởng bền vững trên nền tảng mới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nguồn cung tăng mạnh và người mua ngày càng kỹ tính, năm 2026 được xem là giai đoạn sàng lọc rõ nét đối với các doanh nghiệp bất động sản. Những chủ đầu tư có quỹ đất sạch, năng lực tài chính lành mạnh và chiến lược phát triển sản phẩm phù hợp sẽ có c</w:t>
      </w:r>
      <w:r>
        <w:rPr>
          <w:rFonts w:ascii="Times New Roman" w:hAnsi="Times New Roman" w:eastAsia="Times New Roman" w:cs="Times New Roman"/>
          <w:color w:val="000000"/>
          <w:sz w:val="24"/>
        </w:rPr>
        <w:t xml:space="preserve">ơ hội bứt phá. Ngược lại, các doanh nghiệp yếu về pháp lý, phụ thuộc nhiều vào đòn bẩy tài chính hoặc chạy theo đầu cơ ngắn hạn có thể tiếp tục bị đào thải.</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Cuộc cạnh tranh không chỉ dừng ở giá bán mà còn mở rộng sang tiến độ thi công, chất lượng xây dựng, dịch vụ hậu mãi và cam kết vận hành. Trong bối cảnh đó, niềm tin của người mua trở thành tài sản quan trọng nhất mà doanh nghiệp phải gìn giữ.</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Nhìn tổng thể, bức tranh thị trường bất động sản Hà Nội năm 2026 mang gam màu tích cực nhưng không kém phần thận trọng. Hạ tầng tiếp tục đóng vai trò "dẫn lối", chính sách và pháp lý tạo điểm tựa, trong khi nhu cầu ở thực giữ vai trò chủ đạo. Thị trường k</w:t>
      </w:r>
      <w:r>
        <w:rPr>
          <w:rFonts w:ascii="Times New Roman" w:hAnsi="Times New Roman" w:eastAsia="Times New Roman" w:cs="Times New Roman"/>
          <w:color w:val="000000"/>
          <w:sz w:val="24"/>
        </w:rPr>
        <w:t xml:space="preserve">hông còn chỗ cho những cơn sốt ảo, mà hướng tới tăng trưởng ổn định, gắn với chất lượng đô thị và chất lượng sống.</w:t>
      </w:r>
      <w:r/>
    </w:p>
    <w:p>
      <w:pPr>
        <w:pBdr>
          <w:top w:val="none" w:color="000000" w:sz="4" w:space="0"/>
          <w:left w:val="none" w:color="000000" w:sz="4" w:space="0"/>
          <w:bottom w:val="none" w:color="000000" w:sz="4" w:space="0"/>
          <w:right w:val="none" w:color="000000" w:sz="4" w:space="0"/>
        </w:pBdr>
        <w:tabs>
          <w:tab w:val="left" w:leader="none" w:pos="425"/>
        </w:tabs>
        <w:spacing w:after="120" w:before="120" w:line="288" w:lineRule="auto"/>
        <w:ind w:right="0" w:firstLine="0" w:left="0"/>
        <w:jc w:val="both"/>
        <w:rPr/>
      </w:pPr>
      <w:r>
        <w:rPr>
          <w:rFonts w:ascii="Times New Roman" w:hAnsi="Times New Roman" w:eastAsia="Times New Roman" w:cs="Times New Roman"/>
          <w:color w:val="000000"/>
          <w:sz w:val="24"/>
        </w:rPr>
        <w:tab/>
        <w:t xml:space="preserve">Với những nền tảng đó, bất động sản Hà Nội trong năm 2026 được kỳ vọng sẽ bước vào chu kỳ phát triển mới – bền vững hơn, minh bạch hơn và đóng góp hiệu quả hơn cho tăng trưởng kinh tế – xã hội của Thủ đô.</w:t>
      </w:r>
      <w:r/>
    </w:p>
    <w:p>
      <w:pPr>
        <w:pBdr/>
        <w:tabs>
          <w:tab w:val="left" w:leader="none" w:pos="426"/>
        </w:tabs>
        <w:spacing w:after="120" w:before="120" w:line="276" w:lineRule="auto"/>
        <w:ind/>
        <w:jc w:val="center"/>
        <w:rPr>
          <w:bCs/>
          <w:i/>
          <w:lang w:val="pt-BR"/>
        </w:rPr>
      </w:pPr>
      <w:r>
        <w:rPr>
          <w:rFonts w:ascii="Times New Roman" w:hAnsi="Times New Roman" w:eastAsia="Times New Roman" w:cs="Times New Roman"/>
          <w:i/>
          <w:color w:val="000000"/>
          <w:sz w:val="24"/>
        </w:rPr>
        <w:t xml:space="preserve">(Nguồn tham khảo: https://thanglong.chinhphu.vn/buc-tranh-thi-truong-bat-dong-san-ha-noi-nam-2026-ha-tang-dan-dat-thi-truong-buoc-vao-chu-ky-tang-truong-moi-103260101181315972.htm)</w:t>
      </w:r>
      <w:r>
        <w:rPr>
          <w:bCs/>
          <w:i/>
          <w:lang w:val="pt-BR"/>
        </w:rPr>
      </w:r>
      <w:r>
        <w:rPr>
          <w:bCs/>
          <w:i/>
          <w:lang w:val="pt-BR"/>
        </w:rPr>
      </w:r>
    </w:p>
    <w:p>
      <w:pPr>
        <w:pStyle w:val="102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78b, tờ bản đồ số: 48 có địa chỉ: C28 Tổ 4 K3C, thị trấn Đông Anh, huyện Đông Anh, thành phố Hà Nội (nay là xã Thư Lâm, thành phố </w:t>
            </w:r>
            <w:r>
              <w:rPr>
                <w:b/>
                <w:bCs/>
                <w:color w:val="000000"/>
              </w:rPr>
              <w:t xml:space="preserve">Hà Nội) theo 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highlight w:val="white"/>
              </w:rPr>
              <w:t xml:space="preserve">78b</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Tờ bản đồ số:</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pacing w:val="3"/>
                <w:sz w:val="24"/>
                <w:highlight w:val="white"/>
              </w:rPr>
              <w:t xml:space="preserve">48</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b w:val="0"/>
                <w:bCs w:val="0"/>
              </w:rPr>
            </w:pPr>
            <w:r>
              <w:rPr>
                <w:rFonts w:ascii="Times New Roman" w:hAnsi="Times New Roman" w:eastAsia="Times New Roman" w:cs="Times New Roman"/>
                <w:b w:val="0"/>
                <w:bCs w:val="0"/>
                <w:color w:val="000000"/>
                <w:spacing w:val="3"/>
                <w:sz w:val="24"/>
                <w:highlight w:val="white"/>
              </w:rPr>
            </w:r>
            <w:r>
              <w:rPr>
                <w:b w:val="0"/>
                <w:bCs w:val="0"/>
                <w:color w:val="000000"/>
              </w:rPr>
              <w:t xml:space="preserve"> C28 Tổ 4 K3C, thị trấn Đông Anh, huyện Đông Anh, thành phố Hà Nội (nay là xã Thư Lâm, thành phố </w:t>
            </w:r>
            <w:r>
              <w:rPr>
                <w:b w:val="0"/>
                <w:bCs w:val="0"/>
                <w:color w:val="000000"/>
              </w:rPr>
              <w:t xml:space="preserve">Hà Nội)</w:t>
            </w:r>
            <w:r>
              <w:rPr>
                <w:b w:val="0"/>
                <w:bCs w:val="0"/>
              </w:rPr>
            </w:r>
            <w:r>
              <w:rPr>
                <w:b w:val="0"/>
                <w:bCs w:val="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60,0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Lâu dài</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 gốc sử dụng đất:</w:t>
            </w:r>
            <w:r>
              <w:rPr>
                <w:color w:val="000000"/>
              </w:rPr>
            </w:r>
            <w:r>
              <w:rPr>
                <w:color w:val="000000"/>
              </w:rPr>
            </w:r>
          </w:p>
        </w:tc>
        <w:tc>
          <w:tcPr>
            <w:gridSpan w:val="3"/>
            <w:tcBorders/>
            <w:tcW w:w="6259"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Nhận chuyển nhượng QSD đất, QSH nhà ở theo hợp đồng số 1502/2014/HĐCN do VPCC Hà anh chứng nhận ngày 04/8/2014</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w:t>
            </w:r>
            <w:r>
              <w:rPr>
                <w:color w:val="000000"/>
              </w:rPr>
              <w:t xml:space="preserve">ng tin quy ho</w:t>
            </w:r>
            <w:r>
              <w:rPr>
                <w:color w:val="000000"/>
              </w:rPr>
              <w:t xml:space="preserve">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757445" cy="1889491"/>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36552" name=""/>
                              <pic:cNvPicPr>
                                <a:picLocks noChangeAspect="1"/>
                              </pic:cNvPicPr>
                              <pic:nvPr/>
                            </pic:nvPicPr>
                            <pic:blipFill rotWithShape="1">
                              <a:blip r:embed="rId17"/>
                              <a:stretch/>
                            </pic:blipFill>
                            <pic:spPr bwMode="auto">
                              <a:xfrm flipH="0" flipV="0">
                                <a:off x="0" y="0"/>
                                <a:ext cx="3757444" cy="18894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295.86pt;height:148.78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nhựa</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1 mặt tiền</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5,5m + vỉa hè</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r>
            <w:r>
              <w:rPr>
                <w:color w:val="000000" w:themeColor="text1"/>
              </w:rPr>
              <w:t xml:space="preserve">5,5m + vỉa hè</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r>
            <w:r>
              <w:rPr>
                <w:color w:val="000000" w:themeColor="text1"/>
                <w:sz w:val="22"/>
                <w:szCs w:val="22"/>
              </w:rPr>
              <w:t xml:space="preserve">Tài sản cách đường QL3 khoàng 1,3km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highlight w:val="white"/>
              </w:rPr>
            </w:pPr>
            <w:r>
              <w:rPr>
                <w:highlight w:val="white"/>
              </w:rPr>
            </w:r>
            <w:bookmarkStart w:id="3" w:name="OLE_LINK1"/>
            <w:r>
              <w:rPr>
                <w:color w:val="000000" w:themeColor="text1"/>
                <w:highlight w:val="white"/>
              </w:rPr>
              <w:t xml:space="preserve">Hướng Nam: Tiếp giáp đường giao thông.</w:t>
              <w:br/>
            </w:r>
            <w:r>
              <w:rPr>
                <w:color w:val="000000" w:themeColor="text1"/>
                <w:highlight w:val="white"/>
              </w:rPr>
              <w:t xml:space="preserve">Các h</w:t>
            </w:r>
            <w:r>
              <w:rPr>
                <w:color w:val="000000" w:themeColor="text1"/>
                <w:highlight w:val="white"/>
              </w:rPr>
              <w:t xml:space="preserve">ướng khác: Tiếp giáp thửa đất khác.</w:t>
            </w:r>
            <w:bookmarkEnd w:id="3"/>
            <w:r>
              <w:rPr>
                <w:color w:val="000000" w:themeColor="text1"/>
                <w:highlight w:val="white"/>
              </w:rPr>
            </w:r>
            <w:r>
              <w:rPr>
                <w:color w:val="000000" w:themeColor="text1"/>
                <w:highlight w:val="white"/>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21.170277777778</w:t>
            </w:r>
            <w:r>
              <w:rPr>
                <w:color w:val="000000"/>
              </w:rPr>
              <w:t xml:space="preserve">, </w:t>
            </w:r>
            <w:r>
              <w:rPr>
                <w:color w:val="000000"/>
              </w:rPr>
              <w:t xml:space="preserve">105.85797222222</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mc:AlternateContent>
                <mc:Choice Requires="wpg">
                  <w:drawing>
                    <wp:inline xmlns:wp="http://schemas.openxmlformats.org/drawingml/2006/wordprocessingDrawing" distT="0" distB="0" distL="0" distR="0">
                      <wp:extent cx="6048375" cy="3421597"/>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1619037" name=""/>
                              <pic:cNvPicPr>
                                <a:picLocks noChangeAspect="1"/>
                              </pic:cNvPicPr>
                              <pic:nvPr/>
                            </pic:nvPicPr>
                            <pic:blipFill rotWithShape="1">
                              <a:blip r:embed="rId18"/>
                              <a:stretch/>
                            </pic:blipFill>
                            <pic:spPr bwMode="auto">
                              <a:xfrm>
                                <a:off x="0" y="0"/>
                                <a:ext cx="6048374" cy="34215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76.25pt;height:269.42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60,0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4,0</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KT Chiều sâu (m):</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15,0</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Vuông vức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Nam</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r>
            <w:r>
              <w:rPr>
                <w:rFonts w:ascii="Times New Roman" w:hAnsi="Times New Roman" w:eastAsia="Times New Roman" w:cs="Times New Roman"/>
                <w:color w:val="000000"/>
                <w:sz w:val="24"/>
              </w:rPr>
              <w:t xml:space="preserve">Môi trường trong lành, an ninh đảm bảo, dân trí 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Phù hợp để ở </w:t>
            </w:r>
            <w:r/>
          </w:p>
        </w:tc>
        <w:tc>
          <w:tcPr>
            <w:tcBorders/>
            <w:tcW w:w="2126"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 Nhà 3,5 tầng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r>
            <w:r>
              <w:rPr>
                <w:rFonts w:ascii="Times New Roman" w:hAnsi="Times New Roman" w:eastAsia="Times New Roman" w:cs="Times New Roman"/>
                <w:color w:val="000000"/>
                <w:sz w:val="24"/>
              </w:rPr>
              <w:t xml:space="preserve">Tại thời điểm khảo sát, trên đất có công trình nhà 3,5 tầng, kết cấu BTCT, tường xây gạch chịu lực, sàn lát gạch men, xây dựng hết đất, công trình được xây dựng năm 2015, ngoại quan khá. Công trình này khác công trình được chứng nhận trên GCN số </w:t>
            </w:r>
            <w:r>
              <w:rPr>
                <w:rFonts w:ascii="Times New Roman" w:hAnsi="Times New Roman" w:eastAsia="Times New Roman" w:cs="Times New Roman"/>
                <w:color w:val="000000"/>
                <w:spacing w:val="3"/>
                <w:sz w:val="24"/>
                <w:highlight w:val="white"/>
              </w:rPr>
              <w:t xml:space="preserve">BV 422859</w:t>
            </w:r>
            <w:r>
              <w:rPr>
                <w:rFonts w:ascii="Times New Roman" w:hAnsi="Times New Roman" w:eastAsia="Times New Roman" w:cs="Times New Roman"/>
                <w:color w:val="000000"/>
                <w:sz w:val="24"/>
              </w:rPr>
              <w:t xml:space="preserve">. </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7"/>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7"/>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numPr>
          <w:ilvl w:val="0"/>
          <w:numId w:val="39"/>
        </w:numPr>
        <w:pBdr>
          <w:top w:val="none" w:color="000000" w:sz="4" w:space="0"/>
          <w:left w:val="none" w:color="000000" w:sz="4" w:space="0"/>
          <w:bottom w:val="none" w:color="000000" w:sz="4" w:space="0"/>
          <w:right w:val="none" w:color="000000" w:sz="4" w:space="0"/>
        </w:pBdr>
        <w:spacing w:line="276" w:lineRule="auto"/>
        <w:ind/>
        <w:jc w:val="both"/>
        <w:rPr/>
      </w:pPr>
      <w:r>
        <w:rPr>
          <w:rFonts w:ascii="Times New Roman" w:hAnsi="Times New Roman" w:eastAsia="Times New Roman" w:cs="Times New Roman"/>
          <w:color w:val="000000"/>
          <w:sz w:val="24"/>
        </w:rPr>
        <w:t xml:space="preserve">Tại thời điểm khảo sát,</w:t>
      </w:r>
      <w:r>
        <w:rPr>
          <w:rFonts w:ascii="Times New Roman" w:hAnsi="Times New Roman" w:eastAsia="Times New Roman" w:cs="Times New Roman"/>
          <w:color w:val="000000"/>
          <w:sz w:val="24"/>
          <w:highlight w:val="white"/>
        </w:rPr>
        <w:t xml:space="preserve"> </w:t>
      </w:r>
      <w:r>
        <w:rPr>
          <w:rFonts w:ascii="Times New Roman" w:hAnsi="Times New Roman" w:eastAsia="Times New Roman" w:cs="Times New Roman"/>
          <w:color w:val="000000"/>
          <w:sz w:val="24"/>
          <w:highlight w:val="white"/>
        </w:rPr>
        <w:t xml:space="preserve">trên đất có công trình</w:t>
      </w:r>
      <w:r>
        <w:rPr>
          <w:rFonts w:ascii="Times New Roman" w:hAnsi="Times New Roman" w:eastAsia="Times New Roman" w:cs="Times New Roman"/>
          <w:color w:val="000000"/>
          <w:sz w:val="24"/>
          <w:highlight w:val="white"/>
        </w:rPr>
        <w:t xml:space="preserve"> nhà </w:t>
      </w:r>
      <w:r>
        <w:rPr>
          <w:rFonts w:ascii="Times New Roman" w:hAnsi="Times New Roman" w:eastAsia="Times New Roman" w:cs="Times New Roman"/>
          <w:color w:val="000000"/>
          <w:sz w:val="24"/>
        </w:rPr>
        <w:t xml:space="preserve">3,5 tầng, kết cấu BTCT, tường xây gạch chịu lực, sàn lát gạch men, xây dựng hết đất, công trình được xây dựng năm 2015, ngoại quan khá. Công trình này khác công trình được chứng nhận</w:t>
      </w:r>
      <w:r>
        <w:rPr>
          <w:rFonts w:ascii="Times New Roman" w:hAnsi="Times New Roman" w:eastAsia="Times New Roman" w:cs="Times New Roman"/>
          <w:color w:val="000000"/>
          <w:sz w:val="24"/>
        </w:rPr>
        <w:t xml:space="preserve"> trên GCN số </w:t>
      </w:r>
      <w:r>
        <w:rPr>
          <w:rFonts w:ascii="Times New Roman" w:hAnsi="Times New Roman" w:eastAsia="Times New Roman" w:cs="Times New Roman"/>
          <w:color w:val="000000"/>
          <w:spacing w:val="3"/>
          <w:sz w:val="24"/>
          <w:highlight w:val="white"/>
        </w:rPr>
        <w:t xml:space="preserve">BV 422859</w:t>
      </w:r>
      <w:r>
        <w:rPr>
          <w:rFonts w:ascii="Times New Roman" w:hAnsi="Times New Roman" w:eastAsia="Times New Roman" w:cs="Times New Roman"/>
          <w:color w:val="000000"/>
          <w:sz w:val="24"/>
        </w:rPr>
        <w:t xml:space="preserve">. Đồng thời tổ thẩm định cũng không nhận được bất kỳ hồ sơ pháp lý nào liên quan tới CTXD hiện có này. Do đó, theo đề nghị của ngân hàng/khách hàng, tổ thẩm định chỉ xác định giá trị quyền sử dụng đất, không xác định giá trị của công trình xây dựng hiện có</w:t>
      </w:r>
      <w:r>
        <w:rPr>
          <w:rFonts w:ascii="Times New Roman" w:hAnsi="Times New Roman" w:eastAsia="Times New Roman" w:cs="Times New Roman"/>
          <w:color w:val="000000"/>
          <w:sz w:val="24"/>
        </w:rPr>
        <w:t xml:space="preserve"> vào tổng giá trị nhưng vẫn coi công trình xây dựng là phần không thể tách rời của tài sản thẩm định. Kính đề nghị đơn vị sử dụng kết quả lưu ý.</w:t>
      </w:r>
      <w:r/>
    </w:p>
    <w:p>
      <w:pPr>
        <w:pStyle w:val="1027"/>
        <w:numPr>
          <w:ilvl w:val="0"/>
          <w:numId w:val="3"/>
        </w:numPr>
        <w:pBdr/>
        <w:tabs>
          <w:tab w:val="left" w:leader="none" w:pos="993"/>
        </w:tabs>
        <w:spacing w:after="120" w:before="120" w:line="264" w:lineRule="auto"/>
        <w:ind/>
        <w:jc w:val="both"/>
        <w:rPr>
          <w:spacing w:val="-2"/>
          <w:lang w:val="pt-BR"/>
        </w:rPr>
      </w:pPr>
      <w:r>
        <w:rPr>
          <w:rFonts w:ascii="Times New Roman" w:hAnsi="Times New Roman" w:eastAsia="Times New Roman" w:cs="Times New Roman"/>
          <w:color w:val="000000"/>
          <w:sz w:val="24"/>
        </w:rPr>
        <w:t xml:space="preserve">Tại sơ đồ trang 3 GCN không thể hiện đường giao thông tiếp giáp với TSTĐ. Tại thời điểm thẩm định giá, dưới sự hướng dẫn của khách hàng, tổ thẩm định khảo sát được TSTĐ có mặt tiền hướng Nam rộng 4m tiếp giáp với đường giao thông. Tổ thẩm định căn cứ vào t</w:t>
      </w:r>
      <w:r>
        <w:rPr>
          <w:rFonts w:ascii="Times New Roman" w:hAnsi="Times New Roman" w:eastAsia="Times New Roman" w:cs="Times New Roman"/>
          <w:color w:val="000000"/>
          <w:sz w:val="24"/>
        </w:rPr>
        <w:t xml:space="preserve">hông tin khảo sát được để xác định giá trị tài sản. Kính đề nghị tổ chức sử dụng chứng thư lưu ý</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7"/>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7"/>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7"/>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2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27"/>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7"/>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7"/>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7"/>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7"/>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 Lâm,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Thư Lâm, Thành phố Hà Nội</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https://guland.vn/post/ban-68m2-dat-to-22-thi-tran-dong-anh-duong-2-o-to-tranh-full-tho-cu-ngo-thong-dep-1396354</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https://guland.vn/post/chi-3x-ty-co-432m2-dat-o-to-19-thi-tran-dong-anh-cu-duong-o-to-tranh-xe-may-1462385</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https://guland.vn/post/ban-dat-76m2-ngang-400m-gia-11-ty-xa-thu-lam-1756701</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0385999322</w:t>
            </w:r>
            <w:r>
              <w:rPr>
                <w:sz w:val="22"/>
                <w:szCs w:val="22"/>
              </w:rPr>
              <w:t xml:space="preserve"> </w:t>
            </w:r>
            <w:r>
              <w:rPr>
                <w:sz w:val="22"/>
                <w:szCs w:val="22"/>
              </w:rPr>
              <w:br/>
              <w:t xml:space="preserve">(</w:t>
            </w:r>
            <w:r>
              <w:rPr>
                <w:sz w:val="22"/>
                <w:szCs w:val="22"/>
              </w:rPr>
              <w:t xml:space="preserve">Đỗ Tuấn Cương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0385999322</w:t>
            </w:r>
            <w:r>
              <w:rPr>
                <w:sz w:val="22"/>
                <w:szCs w:val="22"/>
              </w:rPr>
              <w:br/>
            </w:r>
            <w:r>
              <w:rPr>
                <w:sz w:val="22"/>
                <w:szCs w:val="22"/>
              </w:rPr>
              <w:t xml:space="preserve">(</w:t>
            </w:r>
            <w:r>
              <w:rPr>
                <w:sz w:val="22"/>
                <w:szCs w:val="22"/>
              </w:rPr>
              <w:t xml:space="preserve">Đỗ Tuấn Cương</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0358357986</w:t>
            </w:r>
            <w:r>
              <w:rPr>
                <w:sz w:val="22"/>
                <w:szCs w:val="22"/>
              </w:rPr>
              <w:br/>
            </w:r>
            <w:r>
              <w:rPr>
                <w:sz w:val="22"/>
                <w:szCs w:val="22"/>
              </w:rPr>
              <w:t xml:space="preserve">(</w:t>
            </w:r>
            <w:r>
              <w:rPr>
                <w:sz w:val="22"/>
                <w:szCs w:val="22"/>
              </w:rPr>
              <w:t xml:space="preserve">Trần Ngọc Quyết</w:t>
            </w:r>
            <w:r>
              <w:rPr>
                <w:sz w:val="22"/>
                <w:szCs w:val="22"/>
              </w:rPr>
              <w:t xml:space="preserve">)</w:t>
            </w:r>
            <w:r>
              <w:rPr>
                <w:sz w:val="22"/>
                <w:szCs w:val="22"/>
              </w:rPr>
            </w:r>
            <w:r>
              <w:rPr>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06/2026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Có Giấy chứng nhận QSDĐ</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QL3 khoàng 1,3km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QL3 khoàng 1,0km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QL3 khoàng 1,2km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Tài sản cách đường QL3 khoàng 1,2km</w:t>
            </w:r>
            <w:r>
              <w:rPr>
                <w:color w:val="000000"/>
                <w:sz w:val="22"/>
                <w:szCs w:val="22"/>
              </w:rPr>
            </w:r>
            <w:r>
              <w:rPr>
                <w:color w:val="000000"/>
                <w:sz w:val="22"/>
                <w:szCs w:val="22"/>
              </w:rPr>
            </w:r>
          </w:p>
        </w:tc>
      </w:tr>
      <w:tr>
        <w:trPr>
          <w:trHeight w:val="608"/>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5,5m +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76</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đâm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vertAlign w:val="baseline"/>
              </w:rPr>
            </w:pPr>
            <w:r>
              <w:rPr>
                <w:color w:val="000000" w:themeColor="text1"/>
                <w:sz w:val="22"/>
                <w:szCs w:val="22"/>
              </w:rPr>
              <w:t xml:space="preserve">Tài sản có 10,0m</w:t>
            </w:r>
            <w:r>
              <w:rPr>
                <w:color w:val="000000" w:themeColor="text1"/>
                <w:sz w:val="22"/>
                <w:szCs w:val="22"/>
                <w:vertAlign w:val="superscript"/>
              </w:rPr>
              <w:t xml:space="preserve">2</w:t>
            </w:r>
            <w:r>
              <w:rPr>
                <w:color w:val="000000" w:themeColor="text1"/>
                <w:sz w:val="22"/>
                <w:szCs w:val="22"/>
                <w:vertAlign w:val="baseline"/>
              </w:rPr>
              <w:t xml:space="preserve"> lưu không phía sau</w:t>
            </w:r>
            <w:r>
              <w:rPr>
                <w:color w:val="000000"/>
                <w:sz w:val="22"/>
                <w:szCs w:val="22"/>
                <w:vertAlign w:val="baseline"/>
              </w:rPr>
            </w:r>
            <w:r>
              <w:rPr>
                <w:color w:val="000000"/>
                <w:sz w:val="22"/>
                <w:szCs w:val="22"/>
                <w:vertAlign w:val="baseline"/>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t xml:space="preserve">Đất trống</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t xml:space="preserve">Đất trống</w:t>
            </w: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t xml:space="preserve">Đất trống</w:t>
            </w:r>
            <w:r>
              <w:rPr>
                <w:color w:val="000000" w:themeColor="text1"/>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6.600.000.000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3.880.000.000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11.000.000.000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9.570.000.000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5.940.000.000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3.492.000.000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9.570.000.000</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87.352.941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80.833.333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125.921.053</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Bất lợi thương mại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r>
      <w:tr>
        <w:trPr>
          <w:trHeight w:val="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Các thông tin khác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7"/>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5.940.000.000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3.492.000.000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9.570.000.000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87.352.941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80.833.333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125.921.053</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Có Giấy chứng nhận QSDĐ</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87.352.941</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80.833.333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125.921.053</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QL3 khoàng 1,3km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QL3 khoàng 1,0km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QL3 khoàng 1,2km</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cách đường QL3 khoàng 1,2km</w:t>
            </w:r>
            <w:r>
              <w:rPr>
                <w:b/>
                <w:bCs/>
                <w:color w:val="000000"/>
                <w:sz w:val="22"/>
                <w:szCs w:val="22"/>
              </w:rPr>
            </w:r>
            <w:r>
              <w:rPr>
                <w:b/>
                <w:bCs/>
                <w:color w:val="000000"/>
                <w:sz w:val="22"/>
                <w:szCs w:val="22"/>
              </w:rPr>
            </w:r>
          </w:p>
        </w:tc>
      </w:tr>
      <w:tr>
        <w:trPr>
          <w:trHeight w:val="347"/>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-1.747.059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-1.616.667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-2.460.526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85.605.882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79.216.666</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123.460.527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5,5m + vỉa hè</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8.083.333</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85.605.882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87.299.999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123.460.527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43,2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76</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-4.041.667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85.605.882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83.258.332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123.460.527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85.605.882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83.258.332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123.460.527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85.605.882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83.258.332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123.460.527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85.605.882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83.258.332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123.460.527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Bất lợi thương mại</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có bất lợi thương 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Đường đâm</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themeColor="text1"/>
                <w:sz w:val="22"/>
                <w:szCs w:val="22"/>
              </w:rPr>
              <w:t xml:space="preserve">Không có bất lợi thương mại</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4.367.647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89.973.529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83.258.332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123.460.527</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Các thông tin khác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Không</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vertAlign w:val="baseline"/>
              </w:rPr>
            </w:pPr>
            <w:r>
              <w:rPr>
                <w:color w:val="000000" w:themeColor="text1"/>
                <w:sz w:val="22"/>
                <w:szCs w:val="22"/>
              </w:rPr>
              <w:t xml:space="preserve">Tài sản có 10,0m</w:t>
            </w:r>
            <w:r>
              <w:rPr>
                <w:color w:val="000000" w:themeColor="text1"/>
                <w:sz w:val="22"/>
                <w:szCs w:val="22"/>
                <w:vertAlign w:val="superscript"/>
              </w:rPr>
              <w:t xml:space="preserve">2</w:t>
            </w:r>
            <w:r>
              <w:rPr>
                <w:color w:val="000000" w:themeColor="text1"/>
                <w:sz w:val="22"/>
                <w:szCs w:val="22"/>
                <w:vertAlign w:val="baseline"/>
              </w:rPr>
              <w:t xml:space="preserve"> lưu không phía sau</w:t>
            </w:r>
            <w:r>
              <w:rPr>
                <w:color w:val="000000"/>
                <w:sz w:val="22"/>
                <w:szCs w:val="22"/>
                <w:vertAlign w:val="baseline"/>
              </w:rPr>
            </w:r>
            <w:r>
              <w:rPr>
                <w:color w:val="000000"/>
                <w:sz w:val="22"/>
                <w:szCs w:val="22"/>
                <w:vertAlign w:val="baseline"/>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-26.052.632</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89.973.529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83.258.332</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97.407.895</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89.973.529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83.258.332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97.407.895</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90.213.252</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-0,27%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-7,71%</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7,98%</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gridSpan w:val="6"/>
            <w:shd w:val="clear" w:color="000000" w:fill="ffffff"/>
            <w:tcBorders/>
            <w:tcW w:w="8883"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w:t>
            </w:r>
            <w:r>
              <w:rPr>
                <w:b/>
                <w:bCs/>
                <w:color w:val="000000"/>
                <w:sz w:val="22"/>
                <w:szCs w:val="22"/>
              </w:rPr>
              <w:t xml:space="preserve">C</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6.114.706</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13.741.667</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28.513.158</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2.620.588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2.424.999</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28.513.158</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0,27% đến</w:t>
      </w:r>
      <w:r>
        <w:t xml:space="preserve"> </w:t>
      </w:r>
      <w:r>
        <w:t xml:space="preserve">7,98%,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89.973.529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29.997.175</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83.258.332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27.750.002</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97.407.895</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32.466.051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90.213.228</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90.000.000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90.000.000</w:t>
      </w:r>
      <w:r>
        <w:rPr>
          <w:b/>
          <w:bCs/>
          <w:color w:val="000000" w:themeColor="text1"/>
        </w:rPr>
        <w:t xml:space="preserve"> </w:t>
      </w:r>
      <w:r>
        <w:rPr>
          <w:b/>
          <w:bCs/>
        </w:rPr>
        <w:t xml:space="preserve">đồng/m².</w:t>
      </w:r>
      <w:r>
        <w:rPr>
          <w:b/>
          <w:bCs/>
        </w:rPr>
      </w:r>
      <w:r>
        <w:rPr>
          <w:b/>
          <w:bCs/>
        </w:rPr>
      </w:r>
    </w:p>
    <w:p>
      <w:pPr>
        <w:pStyle w:val="1027"/>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7"/>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06/2026</w:t>
      </w:r>
      <w:r>
        <w:t xml:space="preserve"> </w:t>
      </w:r>
      <w:r>
        <w:t xml:space="preserve">ước tính </w:t>
      </w:r>
      <w: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78b, tờ bản đồ số: 48 có địa chỉ: C28 Tổ 4 K3C, thị trấn Đông Anh, huyện Đông Anh, thành phố Hà Nội (nay là xã Thư Lâm, thành phố </w:t>
            </w:r>
            <w:r>
              <w:rPr>
                <w:color w:val="000000"/>
              </w:rPr>
              <w:t xml:space="preserve">Hà Nội) theo Giấy chứng nhận quyền sử dụng đất quyền sở hữu nhà ở và tài sản khác gắn liền với đất số: BV 422859, số vào sổ cấp GCN: 2120.QĐUBND.2014 CH.00137.2014 do UBND huyện Đông Anh cấp ngày 27/8/2014 cho Ông Nguyễn Thanh Bình và Bà Ngô Thị Hồng Trang</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60</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90.000.000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5.400.000.000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r>
            <w:r>
              <w:rPr>
                <w:b/>
                <w:bCs/>
                <w:color w:val="000000" w:themeColor="text1"/>
              </w:rPr>
              <w:t xml:space="preserve">5.400.000.000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highlight w:val="white"/>
              </w:rPr>
            </w:pPr>
            <w:r>
              <w:rPr>
                <w:b/>
                <w:bCs/>
                <w:i/>
                <w:iCs/>
                <w:color w:val="000000"/>
                <w:highlight w:val="white"/>
              </w:rPr>
              <w:t xml:space="preserve">(Bằng chữ: </w:t>
            </w:r>
            <w:r>
              <w:rPr>
                <w:b/>
                <w:bCs/>
                <w:i/>
                <w:iCs/>
                <w:color w:val="000000"/>
                <w:highlight w:val="white"/>
              </w:rPr>
              <w:t xml:space="preserve">Năm tỷ </w:t>
            </w:r>
            <w:r>
              <w:rPr>
                <w:b/>
                <w:bCs/>
                <w:i/>
                <w:iCs/>
                <w:color w:val="000000"/>
                <w:highlight w:val="white"/>
              </w:rPr>
              <w:t xml:space="preserve">bốn trăm</w:t>
            </w:r>
            <w:r>
              <w:rPr>
                <w:b/>
                <w:bCs/>
                <w:i/>
                <w:iCs/>
                <w:color w:val="000000"/>
                <w:highlight w:val="white"/>
              </w:rPr>
              <w:t xml:space="preserve"> triệu đồng</w:t>
            </w:r>
            <w:r>
              <w:rPr>
                <w:b/>
                <w:bCs/>
                <w:i/>
                <w:iCs/>
                <w:color w:val="000000"/>
                <w:highlight w:val="white"/>
              </w:rPr>
              <w:t xml:space="preserve">./.)</w:t>
            </w:r>
            <w:r>
              <w:rPr>
                <w:b/>
                <w:bCs/>
                <w:i/>
                <w:iCs/>
                <w:color w:val="000000"/>
                <w:highlight w:val="white"/>
              </w:rPr>
            </w:r>
            <w:r>
              <w:rPr>
                <w:b/>
                <w:bCs/>
                <w:i/>
                <w:iCs/>
                <w:color w:val="000000"/>
                <w:highlight w:val="white"/>
              </w:rPr>
            </w:r>
          </w:p>
        </w:tc>
      </w:tr>
    </w:tbl>
    <w:p>
      <w:pPr>
        <w:pStyle w:val="102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7"/>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7"/>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7"/>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7"/>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7"/>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7"/>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7"/>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7"/>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7"/>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7"/>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7"/>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7"/>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Bdr/>
        <w:shd w:val="nil" w:color="auto"/>
        <w:spacing/>
        <w:ind/>
        <w:rPr>
          <w:lang w:val="vi-VN"/>
        </w:rPr>
      </w:pPr>
      <w:r>
        <w:rPr>
          <w:highlight w:val="none"/>
          <w:lang w:val="vi-VN"/>
        </w:rPr>
        <w:br w:type="page" w:clear="all"/>
      </w:r>
      <w:r>
        <w:rPr>
          <w:lang w:val="vi-VN"/>
        </w:rPr>
      </w:r>
      <w:r>
        <w:rPr>
          <w:lang w:val="vi-VN"/>
        </w:rPr>
      </w:r>
    </w:p>
    <w:p>
      <w:pPr>
        <w:pStyle w:val="1027"/>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275/2026/0835/VFI-CT.48.A</w:t>
      </w:r>
      <w:r>
        <w:rPr>
          <w:color w:val="ff0000"/>
          <w:lang w:val="vi-VN"/>
        </w:rPr>
        <w:t xml:space="preserve"> </w:t>
      </w:r>
      <w:r>
        <w:rPr>
          <w:color w:val="000000" w:themeColor="text1"/>
        </w:rPr>
        <w:t xml:space="preserve">ngày 3 tháng 6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highlight w:val="none"/>
          <w:lang w:val="vi-VN"/>
        </w:rPr>
      </w:r>
      <w:r>
        <w:rPr>
          <w:highlight w:val="non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Phạm Thị Dung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275/2026/0835/VFI-BC.48.A</w:t>
      </w:r>
      <w:r>
        <w:rPr>
          <w:i/>
          <w:lang w:val="pt-BR"/>
        </w:rPr>
        <w:t xml:space="preserve"> </w:t>
      </w:r>
      <w:r>
        <w:rPr>
          <w:i/>
          <w:lang w:val="pt-BR"/>
        </w:rPr>
        <w:t xml:space="preserve">ngày 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 quan tài</w:t>
            </w:r>
            <w:r>
              <w:rPr>
                <w:b/>
                <w:bCs/>
                <w:i/>
                <w:lang w:val="pt-BR"/>
              </w:rPr>
              <w:t xml:space="preserve">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040509" cy="2258290"/>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94143" name=""/>
                              <pic:cNvPicPr>
                                <a:picLocks noChangeAspect="1"/>
                              </pic:cNvPicPr>
                              <pic:nvPr/>
                            </pic:nvPicPr>
                            <pic:blipFill rotWithShape="1">
                              <a:blip r:embed="rId19"/>
                              <a:stretch/>
                            </pic:blipFill>
                            <pic:spPr bwMode="auto">
                              <a:xfrm flipH="0" flipV="0">
                                <a:off x="0" y="0"/>
                                <a:ext cx="1040509" cy="225829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81.93pt;height:177.82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1685780" cy="224770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0590823" name=""/>
                              <pic:cNvPicPr>
                                <a:picLocks noChangeAspect="1"/>
                              </pic:cNvPicPr>
                              <pic:nvPr/>
                            </pic:nvPicPr>
                            <pic:blipFill rotWithShape="1">
                              <a:blip r:embed="rId20"/>
                              <a:stretch/>
                            </pic:blipFill>
                            <pic:spPr bwMode="auto">
                              <a:xfrm flipH="0" flipV="0">
                                <a:off x="0" y="0"/>
                                <a:ext cx="1685779" cy="22477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32.74pt;height:176.98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 khảo 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 trước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75068" cy="2006301"/>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608431" name=""/>
                              <pic:cNvPicPr>
                                <a:picLocks noChangeAspect="1"/>
                              </pic:cNvPicPr>
                              <pic:nvPr/>
                            </pic:nvPicPr>
                            <pic:blipFill rotWithShape="1">
                              <a:blip r:embed="rId21"/>
                              <a:stretch/>
                            </pic:blipFill>
                            <pic:spPr bwMode="auto">
                              <a:xfrm flipH="0" flipV="0">
                                <a:off x="0" y="0"/>
                                <a:ext cx="2675068" cy="200630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10.64pt;height:157.98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6352" cy="2059764"/>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131579" name=""/>
                              <pic:cNvPicPr>
                                <a:picLocks noChangeAspect="1"/>
                              </pic:cNvPicPr>
                              <pic:nvPr/>
                            </pic:nvPicPr>
                            <pic:blipFill rotWithShape="1">
                              <a:blip r:embed="rId22"/>
                              <a:stretch/>
                            </pic:blipFill>
                            <pic:spPr bwMode="auto">
                              <a:xfrm flipH="0" flipV="0">
                                <a:off x="0" y="0"/>
                                <a:ext cx="2746352" cy="205976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16.25pt;height:162.19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 trạng tài 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746607" cy="2059955"/>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285531" name=""/>
                              <pic:cNvPicPr>
                                <a:picLocks noChangeAspect="1"/>
                              </pic:cNvPicPr>
                              <pic:nvPr/>
                            </pic:nvPicPr>
                            <pic:blipFill rotWithShape="1">
                              <a:blip r:embed="rId23"/>
                              <a:stretch/>
                            </pic:blipFill>
                            <pic:spPr bwMode="auto">
                              <a:xfrm flipH="0" flipV="0">
                                <a:off x="0" y="0"/>
                                <a:ext cx="2746606" cy="20599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6.27pt;height:162.20pt;mso-wrap-distance-left:0.00pt;mso-wrap-distance-top:0.00pt;mso-wrap-distance-right:0.00pt;mso-wrap-distance-bottom:0.00pt;z-index:1;" stroked="false">
                      <v:imagedata r:id="rId23"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730546" cy="204791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574285" name=""/>
                              <pic:cNvPicPr>
                                <a:picLocks noChangeAspect="1"/>
                              </pic:cNvPicPr>
                              <pic:nvPr/>
                            </pic:nvPicPr>
                            <pic:blipFill rotWithShape="1">
                              <a:blip r:embed="rId24"/>
                              <a:stretch/>
                            </pic:blipFill>
                            <pic:spPr bwMode="auto">
                              <a:xfrm flipH="0" flipV="0">
                                <a:off x="0" y="0"/>
                                <a:ext cx="2730546" cy="204790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5.00pt;height:161.25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275/2026/0835/VFI-BC.48.A</w:t>
      </w:r>
      <w:r>
        <w:rPr>
          <w:i/>
          <w:lang w:val="pt-BR"/>
        </w:rPr>
        <w:t xml:space="preserve"> ngày </w:t>
      </w:r>
      <w:r>
        <w:rPr>
          <w:i/>
          <w:lang w:val="pt-BR"/>
        </w:rPr>
        <w:t xml:space="preserve">3 tháng 6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https://guland.vn/post/ban-68m2-dat-to-22-thi-tran-dong-anh-duong-2-o-to-tranh-full-tho-cu-ngo-thong-dep-1396354</w:t>
            </w:r>
            <w:r>
              <w:rPr>
                <w:color w:val="000000" w:themeColor="text1"/>
                <w:sz w:val="22"/>
                <w:szCs w:val="22"/>
              </w:rPr>
              <w:br/>
              <w:t xml:space="preserve">0385999322</w:t>
            </w:r>
            <w:r>
              <w:rPr>
                <w:sz w:val="22"/>
                <w:szCs w:val="22"/>
              </w:rPr>
              <w:t xml:space="preserve"> </w:t>
            </w:r>
            <w:r>
              <w:rPr>
                <w:sz w:val="22"/>
                <w:szCs w:val="22"/>
              </w:rPr>
              <w:br/>
              <w:t xml:space="preserve">(Đỗ Tuấn Cương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6.600.000.000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5.940.000.000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(68m²)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QL3 khoàng 1,0km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68</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918485" cy="1980442"/>
                      <wp:effectExtent l="0" t="0" r="0" b="0"/>
                      <wp:docPr id="13" name=""/>
                      <wp:cNvGraphicFramePr/>
                      <a:graphic xmlns:a="http://schemas.openxmlformats.org/drawingml/2006/main">
                        <a:graphicData uri="http://schemas.openxmlformats.org/drawingml/2006/picture">
                          <pic:pic xmlns:pic="http://schemas.openxmlformats.org/drawingml/2006/picture">
                            <pic:nvPicPr>
                              <pic:cNvPr id="1512049557" name="" descr=""/>
                              <pic:cNvPicPr/>
                              <pic:nvPr/>
                            </pic:nvPicPr>
                            <pic:blipFill rotWithShape="1">
                              <a:blip r:embed="rId25"/>
                              <a:stretch/>
                            </pic:blipFill>
                            <pic:spPr bwMode="auto">
                              <a:xfrm flipH="0" flipV="0">
                                <a:off x="0" y="0"/>
                                <a:ext cx="2918484" cy="198044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29.80pt;height:155.94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816230" cy="188145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123293151" name="" descr=""/>
                              <pic:cNvPicPr/>
                              <pic:nvPr/>
                            </pic:nvPicPr>
                            <pic:blipFill rotWithShape="1">
                              <a:blip r:embed="rId26"/>
                              <a:stretch/>
                            </pic:blipFill>
                            <pic:spPr bwMode="auto">
                              <a:xfrm flipH="0" flipV="0">
                                <a:off x="0" y="0"/>
                                <a:ext cx="2816229" cy="188145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1.75pt;height:148.15pt;mso-wrap-distance-left:0.00pt;mso-wrap-distance-top:0.00pt;mso-wrap-distance-right:0.00pt;mso-wrap-distance-bottom:0.00pt;z-index:1;" stroked="false">
                      <v:imagedata r:id="rId26" o:title=""/>
                      <o:lock v:ext="edit" rotation="t"/>
                    </v:shape>
                  </w:pict>
                </mc:Fallback>
              </mc:AlternateContent>
            </w:r>
            <w:r>
              <w:rPr>
                <w:color w:val="000000"/>
                <w:sz w:val="22"/>
                <w:szCs w:val="22"/>
              </w:rPr>
            </w:r>
            <w:r>
              <w:rPr>
                <w:color w:val="000000"/>
                <w:sz w:val="22"/>
                <w:szCs w:val="22"/>
              </w:rPr>
            </w:r>
          </w:p>
        </w:tc>
      </w:tr>
    </w:tbl>
    <w:p>
      <w:pPr>
        <w:pBdr/>
        <w:spacing w:after="200" w:line="276" w:lineRule="auto"/>
        <w:ind/>
        <w:jc w:val="left"/>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Phạm Thị Dung</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iCs/>
          <w:lang w:val="pt-BR"/>
        </w:rPr>
      </w:pPr>
      <w:r>
        <w:rPr>
          <w:b/>
          <w:bCs/>
          <w:iCs/>
          <w:lang w:val="pt-BR"/>
        </w:rPr>
        <w:t xml:space="preserve">TSSS2</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https://guland.vn/post/chi-3x-ty-co-432m2-dat-o-to-19-thi-tran-dong-anh-cu-duong-o-to-tranh-xe-may-1462385</w:t>
            </w:r>
            <w:r>
              <w:rPr>
                <w:color w:val="000000" w:themeColor="text1"/>
                <w:sz w:val="22"/>
                <w:szCs w:val="22"/>
              </w:rPr>
              <w:br/>
              <w:t xml:space="preserve">0385999322</w:t>
            </w:r>
            <w:r>
              <w:rPr>
                <w:sz w:val="22"/>
                <w:szCs w:val="22"/>
              </w:rPr>
              <w:t xml:space="preserve"> </w:t>
            </w:r>
            <w:r>
              <w:rPr>
                <w:sz w:val="22"/>
                <w:szCs w:val="22"/>
              </w:rPr>
              <w:br/>
              <w:t xml:space="preserve">(Đỗ Tuấn Cương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3.880.000.000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3.492.000.000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(43.2m²)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QL3 khoàng 1,2km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43.2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32735" cy="2085886"/>
                      <wp:effectExtent l="0" t="0" r="0" b="0"/>
                      <wp:docPr id="15" name=""/>
                      <wp:cNvGraphicFramePr/>
                      <a:graphic xmlns:a="http://schemas.openxmlformats.org/drawingml/2006/main">
                        <a:graphicData uri="http://schemas.openxmlformats.org/drawingml/2006/picture">
                          <pic:pic xmlns:pic="http://schemas.openxmlformats.org/drawingml/2006/picture">
                            <pic:nvPicPr>
                              <pic:cNvPr id="203470878" name="" descr=""/>
                              <pic:cNvPicPr/>
                              <pic:nvPr/>
                            </pic:nvPicPr>
                            <pic:blipFill rotWithShape="1">
                              <a:blip r:embed="rId27"/>
                              <a:stretch/>
                            </pic:blipFill>
                            <pic:spPr bwMode="auto">
                              <a:xfrm flipH="0" flipV="0">
                                <a:off x="0" y="0"/>
                                <a:ext cx="2632734" cy="208588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07.30pt;height:164.24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700472" cy="1978060"/>
                      <wp:effectExtent l="0" t="0" r="0" b="0"/>
                      <wp:docPr id="16" name=""/>
                      <wp:cNvGraphicFramePr/>
                      <a:graphic xmlns:a="http://schemas.openxmlformats.org/drawingml/2006/main">
                        <a:graphicData uri="http://schemas.openxmlformats.org/drawingml/2006/picture">
                          <pic:pic xmlns:pic="http://schemas.openxmlformats.org/drawingml/2006/picture">
                            <pic:nvPicPr>
                              <pic:cNvPr id="260874699" name="" descr=""/>
                              <pic:cNvPicPr/>
                              <pic:nvPr/>
                            </pic:nvPicPr>
                            <pic:blipFill rotWithShape="1">
                              <a:blip r:embed="rId28"/>
                              <a:stretch/>
                            </pic:blipFill>
                            <pic:spPr bwMode="auto">
                              <a:xfrm flipH="0" flipV="0">
                                <a:off x="0" y="0"/>
                                <a:ext cx="2700471" cy="19780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212.64pt;height:155.75pt;mso-wrap-distance-left:0.00pt;mso-wrap-distance-top:0.00pt;mso-wrap-distance-right:0.00pt;mso-wrap-distance-bottom:0.00pt;z-index:1;" stroked="false">
                      <v:imagedata r:id="rId28"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Phạm Thị Dung</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https://guland.vn/post/ban-dat-76m2-ngang-400m-gia-11-ty-xa-thu-lam-1756701</w:t>
            </w:r>
            <w:r>
              <w:rPr>
                <w:color w:val="000000" w:themeColor="text1"/>
                <w:sz w:val="22"/>
                <w:szCs w:val="22"/>
              </w:rPr>
              <w:br/>
            </w:r>
            <w:r>
              <w:rPr>
                <w:sz w:val="22"/>
                <w:szCs w:val="22"/>
              </w:rPr>
              <w:t xml:space="preserve">SĐT: </w:t>
            </w:r>
            <w:r>
              <w:rPr>
                <w:color w:val="000000" w:themeColor="text1"/>
                <w:sz w:val="22"/>
                <w:szCs w:val="22"/>
              </w:rPr>
              <w:t xml:space="preserve">0358357986</w:t>
            </w:r>
            <w:r>
              <w:rPr>
                <w:sz w:val="22"/>
                <w:szCs w:val="22"/>
              </w:rPr>
              <w:t xml:space="preserve"> </w:t>
            </w:r>
            <w:r>
              <w:rPr>
                <w:sz w:val="22"/>
                <w:szCs w:val="22"/>
              </w:rPr>
              <w:br/>
              <w:t xml:space="preserve">(Trần Ngọc Quyết</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11.000.000.000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9.570.000.000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06/2026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Có Giấy chứng nhận QSDĐ</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(76m²)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cách đường QL3 khoàng 1,2km</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gridSpan w:val="3"/>
            <w:shd w:val="clear" w:color="auto" w:fill="auto"/>
            <w:tcBorders>
              <w:top w:val="none" w:color="000000" w:sz="4" w:space="0"/>
              <w:left w:val="single" w:color="auto" w:sz="4" w:space="0"/>
              <w:bottom w:val="single" w:color="auto" w:sz="4" w:space="0"/>
              <w:right w:val="single" w:color="auto" w:sz="4" w:space="0"/>
            </w:tcBorders>
            <w:tcW w:w="9619" w:type="dxa"/>
            <w:vAlign w:val="center"/>
            <w:textDirection w:val="lrTb"/>
            <w:noWrap/>
          </w:tcPr>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696235" cy="1916582"/>
                      <wp:effectExtent l="0" t="0" r="0" b="0"/>
                      <wp:docPr id="17" name=""/>
                      <wp:cNvGraphicFramePr/>
                      <a:graphic xmlns:a="http://schemas.openxmlformats.org/drawingml/2006/main">
                        <a:graphicData uri="http://schemas.openxmlformats.org/drawingml/2006/picture">
                          <pic:pic xmlns:pic="http://schemas.openxmlformats.org/drawingml/2006/picture">
                            <pic:nvPicPr>
                              <pic:cNvPr id="924381269" name="" descr=""/>
                              <pic:cNvPicPr/>
                              <pic:nvPr/>
                            </pic:nvPicPr>
                            <pic:blipFill rotWithShape="1">
                              <a:blip r:embed="rId29"/>
                              <a:stretch/>
                            </pic:blipFill>
                            <pic:spPr bwMode="auto">
                              <a:xfrm flipH="0" flipV="0">
                                <a:off x="0" y="0"/>
                                <a:ext cx="2696234" cy="1916581"/>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12.30pt;height:150.91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151318" cy="2021417"/>
                      <wp:effectExtent l="0" t="0" r="0" b="0"/>
                      <wp:docPr id="18" name=""/>
                      <wp:cNvGraphicFramePr/>
                      <a:graphic xmlns:a="http://schemas.openxmlformats.org/drawingml/2006/main">
                        <a:graphicData uri="http://schemas.openxmlformats.org/drawingml/2006/picture">
                          <pic:pic xmlns:pic="http://schemas.openxmlformats.org/drawingml/2006/picture">
                            <pic:nvPicPr>
                              <pic:cNvPr id="641221373" name="" descr=""/>
                              <pic:cNvPicPr/>
                              <pic:nvPr/>
                            </pic:nvPicPr>
                            <pic:blipFill rotWithShape="1">
                              <a:blip r:embed="rId30"/>
                              <a:stretch/>
                            </pic:blipFill>
                            <pic:spPr bwMode="auto">
                              <a:xfrm flipH="0" flipV="0">
                                <a:off x="0" y="0"/>
                                <a:ext cx="3151318" cy="2021416"/>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48.14pt;height:159.17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
          </w:p>
          <w:p>
            <w:pPr>
              <w:pBdr/>
              <w:spacing/>
              <w:ind/>
              <w:jc w:val="center"/>
              <w:rPr/>
            </w:pPr>
            <w:r/>
            <w:r/>
          </w:p>
          <w:p>
            <w:pPr>
              <w:pBdr/>
              <w:spacing/>
              <w:ind/>
              <w:rPr/>
            </w:pPr>
            <w:r/>
            <w:r/>
          </w:p>
          <w:p>
            <w:pPr>
              <w:pBdr/>
              <w:spacing/>
              <w:ind/>
              <w:jc w:val="center"/>
              <w:rPr/>
            </w:pPr>
            <w:r/>
            <w:r/>
          </w:p>
          <w:p>
            <w:pPr>
              <w:pBdr/>
              <w:spacing/>
              <w:ind/>
              <w:jc w:val="center"/>
              <w:rPr/>
            </w:pPr>
            <w:r/>
            <w:r/>
          </w:p>
          <w:p>
            <w:pPr>
              <w:pBdr/>
              <w:spacing/>
              <w:ind/>
              <w:jc w:val="center"/>
              <w:rPr/>
            </w:pPr>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t xml:space="preserve">Phạm Thị Dung</w:t>
            </w:r>
            <w:r>
              <w:rPr>
                <w:b/>
                <w:bCs/>
              </w:rPr>
            </w:r>
            <w:r>
              <w:rPr>
                <w:b/>
                <w:bCs/>
              </w:rPr>
            </w:r>
          </w:p>
        </w:tc>
      </w:tr>
    </w:tbl>
    <w:p>
      <w:pPr>
        <w:pBdr/>
        <w:shd w:val="nil" w:color="auto"/>
        <w:spacing/>
        <w:ind/>
        <w:rPr>
          <w:lang w:val="pt-BR"/>
        </w:rPr>
      </w:pPr>
      <w:r>
        <w:rPr>
          <w:iCs/>
          <w:lang w:val="pt-BR"/>
        </w:rPr>
        <w:br w:type="page" w:clear="all"/>
      </w:r>
      <w:r>
        <w:rPr>
          <w:lang w:val="pt-BR"/>
        </w:rPr>
      </w:r>
      <w:r>
        <w:rPr>
          <w:lang w:val="pt-BR"/>
        </w:rPr>
      </w:r>
    </w:p>
    <w:p>
      <w:pPr>
        <w:pBdr/>
        <w:spacing w:after="200" w:line="276" w:lineRule="auto"/>
        <w:ind/>
        <w:jc w:val="center"/>
        <w:rPr>
          <w:b/>
          <w:bCs/>
          <w:iCs/>
          <w:highlight w:val="none"/>
        </w:rPr>
      </w:pPr>
      <w:r>
        <w:rPr>
          <w:b/>
          <w:bCs/>
          <w:iCs/>
          <w:lang w:val="pt-BR"/>
        </w:rPr>
        <w:t xml:space="preserve">BIÊN BẢN KHẢO SÁT </w:t>
      </w:r>
      <w:r>
        <w:rPr>
          <w:b/>
          <w:bCs/>
          <w:iCs/>
          <w:highlight w:val="none"/>
        </w:rPr>
      </w:r>
      <w:r>
        <w:rPr>
          <w:b/>
          <w:bCs/>
          <w:iCs/>
          <w:highlight w:val="none"/>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2811255" name=""/>
                        <pic:cNvPicPr>
                          <a:picLocks noChangeAspect="1"/>
                        </pic:cNvPicPr>
                        <pic:nvPr/>
                      </pic:nvPicPr>
                      <pic:blipFill rotWithShape="1">
                        <a:blip r:embed="rId31"/>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76.25pt;height:635.00pt;mso-wrap-distance-left:0.00pt;mso-wrap-distance-top:0.00pt;mso-wrap-distance-right:0.00pt;mso-wrap-distance-bottom:0.00pt;z-index:1;" stroked="false">
                <v:imagedata r:id="rId31"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lang w:val="pt-BR"/>
        </w:rPr>
      </w:r>
      <w:r>
        <w:rPr>
          <w:lang w:val="pt-BR"/>
        </w:rPr>
      </w:r>
      <w:r>
        <w:rPr>
          <w:lang w:val="pt-BR"/>
        </w:rPr>
      </w:r>
    </w:p>
    <w:p>
      <w:pPr>
        <w:pBdr/>
        <w:spacing w:after="200" w:line="276" w:lineRule="auto"/>
        <w:ind/>
        <w:rPr>
          <w:lang w:val="pt-BR"/>
        </w:rPr>
      </w:pPr>
      <w:r>
        <w:rPr>
          <w:lang w:val="pt-BR"/>
        </w:rPr>
      </w:r>
      <w:r>
        <w:rPr>
          <w:lang w:val="pt-BR"/>
        </w:rPr>
      </w:r>
      <w:r>
        <w:rPr>
          <w:lang w:val="pt-BR"/>
        </w:rPr>
      </w:r>
    </w:p>
    <w:p>
      <w:pPr>
        <w:pBdr/>
        <w:spacing w:after="200" w:line="276" w:lineRule="auto"/>
        <w:ind/>
        <w:jc w:val="center"/>
        <w:rPr>
          <w:b/>
          <w:bCs/>
          <w:highlight w:val="none"/>
          <w:lang w:val="pt-BR" w:bidi="pt-BR"/>
        </w:rPr>
      </w:pPr>
      <w:r>
        <w:rPr>
          <w:b/>
          <w:bCs/>
          <w:iCs/>
          <w:highlight w:val="none"/>
          <w:lang w:val="pt-BR" w:bidi="pt-BR"/>
        </w:rPr>
        <w:t xml:space="preserve">GIẤY CHỨNG NHẬN QSDĐ</w:t>
      </w:r>
      <w:r>
        <w:rPr>
          <w:b/>
          <w:bCs/>
          <w:highlight w:val="none"/>
          <w:lang w:val="pt-BR" w:bidi="pt-BR"/>
        </w:rPr>
      </w:r>
      <w:r>
        <w:rPr>
          <w:b/>
          <w:bCs/>
          <w:highlight w:val="none"/>
          <w:lang w:val="pt-BR" w:bidi="pt-BR"/>
        </w:rPr>
      </w:r>
    </w:p>
    <w:p>
      <w:pPr>
        <w:pBdr/>
        <w:spacing w:after="200" w:line="276" w:lineRule="auto"/>
        <w:ind/>
        <w:jc w:val="center"/>
        <w:rPr>
          <w:b/>
          <w:bCs/>
          <w:highlight w:val="none"/>
        </w:rPr>
      </w:pPr>
      <w:r>
        <w:rPr>
          <w:b/>
          <w:bCs/>
          <w:i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54246" name=""/>
                        <pic:cNvPicPr>
                          <a:picLocks noChangeAspect="1"/>
                        </pic:cNvPicPr>
                        <pic:nvPr/>
                      </pic:nvPicPr>
                      <pic:blipFill rotWithShape="1">
                        <a:blip r:embed="rId32"/>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76.25pt;height:635.00pt;mso-wrap-distance-left:0.00pt;mso-wrap-distance-top:0.00pt;mso-wrap-distance-right:0.00pt;mso-wrap-distance-bottom:0.00pt;z-index:1;" stroked="false">
                <v:imagedata r:id="rId32" o:title=""/>
                <o:lock v:ext="edit" rotation="t"/>
              </v:shape>
            </w:pict>
          </mc:Fallback>
        </mc:AlternateContent>
      </w:r>
      <w:r>
        <w:rPr>
          <w:b/>
          <w:bCs/>
          <w:highlight w:val="none"/>
        </w:rPr>
      </w:r>
      <w:r>
        <w:rPr>
          <w:b/>
          <w:bCs/>
          <w:highlight w:val="none"/>
        </w:rPr>
      </w:r>
    </w:p>
    <w:p>
      <w:pPr>
        <w:pBdr/>
        <w:shd w:val="nil" w:color="auto"/>
        <w:spacing/>
        <w:ind/>
        <w:rPr>
          <w:b/>
          <w:bCs/>
          <w:highlight w:val="none"/>
          <w:lang w:val="pt-BR" w:bidi="pt-BR"/>
        </w:rPr>
      </w:pPr>
      <w:r>
        <w:rPr>
          <w:b/>
          <w:bCs/>
          <w:highlight w:val="none"/>
          <w:lang w:val="pt-BR" w:bidi="pt-BR"/>
        </w:rPr>
        <w:br w:type="page" w:clear="all"/>
      </w:r>
      <w:r>
        <w:rPr>
          <w:b/>
          <w:bCs/>
          <w:highlight w:val="none"/>
          <w:lang w:val="pt-BR" w:bidi="pt-BR"/>
        </w:rPr>
      </w:r>
      <w:r>
        <w:rPr>
          <w:b/>
          <w:bCs/>
          <w:highlight w:val="none"/>
          <w:lang w:val="pt-BR" w:bidi="pt-BR"/>
        </w:rPr>
      </w:r>
    </w:p>
    <w:p>
      <w:pPr>
        <w:pBdr/>
        <w:spacing w:after="200" w:line="276" w:lineRule="auto"/>
        <w:ind/>
        <w:jc w:val="center"/>
        <w:rPr>
          <w:b/>
          <w:bCs/>
          <w:highlight w:val="none"/>
          <w:lang w:val="pt-BR"/>
        </w:rPr>
      </w:pPr>
      <w:r>
        <w:rPr>
          <w:b/>
          <w:b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423089" name=""/>
                        <pic:cNvPicPr>
                          <a:picLocks noChangeAspect="1"/>
                        </pic:cNvPicPr>
                        <pic:nvPr/>
                      </pic:nvPicPr>
                      <pic:blipFill rotWithShape="1">
                        <a:blip r:embed="rId33"/>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476.25pt;height:635.00pt;mso-wrap-distance-left:0.00pt;mso-wrap-distance-top:0.00pt;mso-wrap-distance-right:0.00pt;mso-wrap-distance-bottom:0.00pt;z-index:1;" stroked="false">
                <v:imagedata r:id="rId33" o:title=""/>
                <o:lock v:ext="edit" rotation="t"/>
              </v:shape>
            </w:pict>
          </mc:Fallback>
        </mc:AlternateContent>
      </w:r>
      <w:r>
        <w:rPr>
          <w:b/>
          <w:bCs/>
          <w:highlight w:val="none"/>
          <w:lang w:val="pt-BR"/>
        </w:rPr>
      </w:r>
      <w:r>
        <w:rPr>
          <w:b/>
          <w:bCs/>
          <w:highlight w:val="none"/>
          <w:lang w:val="pt-BR"/>
        </w:rPr>
      </w:r>
    </w:p>
    <w:p>
      <w:pPr>
        <w:pBdr/>
        <w:shd w:val="nil" w:color="auto"/>
        <w:spacing/>
        <w:ind/>
        <w:rPr>
          <w:b/>
          <w:bCs/>
          <w:highlight w:val="none"/>
          <w:lang w:val="pt-BR" w:bidi="pt-BR"/>
        </w:rPr>
      </w:pPr>
      <w:r>
        <w:rPr>
          <w:b/>
          <w:bCs/>
          <w:highlight w:val="none"/>
          <w:lang w:val="pt-BR" w:bidi="pt-BR"/>
        </w:rPr>
        <w:br w:type="page" w:clear="all"/>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160880" name=""/>
                        <pic:cNvPicPr>
                          <a:picLocks noChangeAspect="1"/>
                        </pic:cNvPicPr>
                        <pic:nvPr/>
                      </pic:nvPicPr>
                      <pic:blipFill rotWithShape="1">
                        <a:blip r:embed="rId34"/>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476.25pt;height:635.00pt;mso-wrap-distance-left:0.00pt;mso-wrap-distance-top:0.00pt;mso-wrap-distance-right:0.00pt;mso-wrap-distance-bottom:0.00pt;z-index:1;" stroked="false">
                <v:imagedata r:id="rId34" o:title=""/>
                <o:lock v:ext="edit" rotation="t"/>
              </v:shape>
            </w:pict>
          </mc:Fallback>
        </mc:AlternateContent>
      </w:r>
      <w:r>
        <w:rPr>
          <w:b/>
          <w:bCs/>
          <w:highlight w:val="none"/>
          <w:lang w:val="pt-BR" w:bidi="pt-BR"/>
        </w:rPr>
      </w:r>
      <w:r>
        <w:rPr>
          <w:b/>
          <w:bCs/>
          <w:highlight w:val="none"/>
          <w:lang w:val="pt-BR" w:bidi="pt-BR"/>
        </w:rPr>
      </w:r>
    </w:p>
    <w:p>
      <w:pPr>
        <w:pBdr/>
        <w:shd w:val="nil" w:color="auto"/>
        <w:spacing/>
        <w:ind/>
        <w:rPr>
          <w:b/>
          <w:bCs/>
          <w:highlight w:val="none"/>
          <w:lang w:val="pt-BR" w:bidi="pt-BR"/>
        </w:rPr>
      </w:pPr>
      <w:r>
        <w:rPr>
          <w:b/>
          <w:bCs/>
          <w:highlight w:val="none"/>
          <w:lang w:val="pt-BR" w:bidi="pt-BR"/>
        </w:rPr>
        <w:br w:type="page" w:clear="all"/>
      </w:r>
      <w:r>
        <w:rPr>
          <w:b/>
          <w:bCs/>
          <w:highlight w:val="none"/>
          <w:lang w:val="pt-BR" w:bidi="pt-BR"/>
        </w:rPr>
      </w:r>
      <w:r>
        <w:rPr>
          <w:b/>
          <w:bCs/>
          <w:highlight w:val="none"/>
          <w:lang w:val="pt-BR" w:bidi="pt-BR"/>
        </w:rPr>
      </w:r>
    </w:p>
    <w:p>
      <w:pPr>
        <w:pBdr/>
        <w:spacing w:after="200" w:line="276" w:lineRule="auto"/>
        <w:ind/>
        <w:jc w:val="center"/>
        <w:rPr>
          <w:b/>
          <w:bCs/>
          <w:highlight w:val="none"/>
          <w:lang w:val="pt-BR" w:bidi="pt-BR"/>
        </w:rPr>
      </w:pPr>
      <w:r>
        <w:rPr>
          <w:b/>
          <w:bCs/>
          <w:highlight w:val="none"/>
          <w:lang w:val="pt-BR" w:bidi="pt-BR"/>
        </w:rPr>
      </w:r>
      <w:r>
        <mc:AlternateContent>
          <mc:Choice Requires="wpg">
            <w:drawing>
              <wp:inline xmlns:wp="http://schemas.openxmlformats.org/drawingml/2006/wordprocessingDrawing" distT="0" distB="0" distL="0" distR="0">
                <wp:extent cx="6048375" cy="80645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7082339" name=""/>
                        <pic:cNvPicPr>
                          <a:picLocks noChangeAspect="1"/>
                        </pic:cNvPicPr>
                        <pic:nvPr/>
                      </pic:nvPicPr>
                      <pic:blipFill rotWithShape="1">
                        <a:blip r:embed="rId35"/>
                        <a:stretch/>
                      </pic:blipFill>
                      <pic:spPr bwMode="auto">
                        <a:xfrm>
                          <a:off x="0" y="0"/>
                          <a:ext cx="6048374" cy="80644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476.25pt;height:635.00pt;mso-wrap-distance-left:0.00pt;mso-wrap-distance-top:0.00pt;mso-wrap-distance-right:0.00pt;mso-wrap-distance-bottom:0.00pt;z-index:1;" stroked="false">
                <v:imagedata r:id="rId35" o:title=""/>
                <o:lock v:ext="edit" rotation="t"/>
              </v:shape>
            </w:pict>
          </mc:Fallback>
        </mc:AlternateContent>
      </w:r>
      <w:r>
        <w:rPr>
          <w:b/>
          <w:bCs/>
          <w:highlight w:val="none"/>
          <w:lang w:val="pt-BR" w:bidi="pt-BR"/>
        </w:rPr>
      </w:r>
      <w:r>
        <w:rPr>
          <w:b/>
          <w:bCs/>
          <w:highlight w:val="none"/>
          <w:lang w:val="pt-BR" w:bidi="pt-BR"/>
        </w:rPr>
      </w:r>
    </w:p>
    <w:p>
      <w:pPr>
        <w:pBdr/>
        <w:shd w:val="nil" w:color="auto"/>
        <w:spacing/>
        <w:ind/>
        <w:rPr>
          <w:b/>
          <w:bCs/>
        </w:rPr>
      </w:pPr>
      <w:r>
        <w:rPr>
          <w:b/>
          <w:bCs/>
        </w:rPr>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00392E96"/>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39">
    <w:name w:val="Table Grid Light"/>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Plain Table 1"/>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Plain Table 2"/>
    <w:basedOn w:val="10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3"/>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4"/>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5"/>
    <w:basedOn w:val="10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Grid Table 1 Light"/>
    <w:basedOn w:val="10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Grid Table 1 Light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2"/>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2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3"/>
    <w:basedOn w:val="10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3 - Accent 1"/>
    <w:basedOn w:val="10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5"/>
    <w:basedOn w:val="10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6"/>
    <w:basedOn w:val="10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4"/>
    <w:basedOn w:val="10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4 - Accent 1"/>
    <w:basedOn w:val="10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 Accent 2"/>
    <w:basedOn w:val="10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3"/>
    <w:basedOn w:val="10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4"/>
    <w:basedOn w:val="10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5"/>
    <w:basedOn w:val="10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6"/>
    <w:basedOn w:val="10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5 Dark"/>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5 Dark- Accent 1"/>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 Accent 2"/>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 Accent 3"/>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Accent 4"/>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5"/>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 Accent 6"/>
    <w:basedOn w:val="10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1">
    <w:name w:val="Grid Table 6 Colorful - Accent 1"/>
    <w:basedOn w:val="10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2">
    <w:name w:val="Grid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3">
    <w:name w:val="Grid Table 6 Colorful - Accent 3"/>
    <w:basedOn w:val="10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4">
    <w:name w:val="Grid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5">
    <w:name w:val="Grid Table 6 Colorful - Accent 5"/>
    <w:basedOn w:val="10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6">
    <w:name w:val="Grid Table 6 Colorful - Accent 6"/>
    <w:basedOn w:val="10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7">
    <w:name w:val="Grid Table 7 Colorful"/>
    <w:basedOn w:val="10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7 Colorful - Accent 1"/>
    <w:basedOn w:val="10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7 Colorful - Accent 2"/>
    <w:basedOn w:val="10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3"/>
    <w:basedOn w:val="10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4"/>
    <w:basedOn w:val="10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5"/>
    <w:basedOn w:val="10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6"/>
    <w:basedOn w:val="10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List Table 1 Light"/>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List Table 1 Light - Accent 1"/>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 Accent 2"/>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3"/>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4"/>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5"/>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6"/>
    <w:basedOn w:val="10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2"/>
    <w:basedOn w:val="10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2 - Accent 1"/>
    <w:basedOn w:val="10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 Accent 2"/>
    <w:basedOn w:val="10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3"/>
    <w:basedOn w:val="10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4"/>
    <w:basedOn w:val="10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5"/>
    <w:basedOn w:val="10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6"/>
    <w:basedOn w:val="10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3"/>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3 - Accent 1"/>
    <w:basedOn w:val="10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 Accent 2"/>
    <w:basedOn w:val="10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3"/>
    <w:basedOn w:val="10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4"/>
    <w:basedOn w:val="10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5"/>
    <w:basedOn w:val="10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6"/>
    <w:basedOn w:val="10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4"/>
    <w:basedOn w:val="10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4 - Accent 1"/>
    <w:basedOn w:val="10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 Accent 2"/>
    <w:basedOn w:val="10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3"/>
    <w:basedOn w:val="10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4"/>
    <w:basedOn w:val="10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5"/>
    <w:basedOn w:val="10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6"/>
    <w:basedOn w:val="10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5 Dark"/>
    <w:basedOn w:val="10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3">
    <w:name w:val="List Table 5 Dark - Accent 1"/>
    <w:basedOn w:val="10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4">
    <w:name w:val="List Table 5 Dark - Accent 2"/>
    <w:basedOn w:val="10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3"/>
    <w:basedOn w:val="10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4"/>
    <w:basedOn w:val="10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5"/>
    <w:basedOn w:val="10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6"/>
    <w:basedOn w:val="10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6 Colorful"/>
    <w:basedOn w:val="10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6 Colorful - Accent 1"/>
    <w:basedOn w:val="10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6 Colorful - Accent 2"/>
    <w:basedOn w:val="10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3"/>
    <w:basedOn w:val="10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4"/>
    <w:basedOn w:val="10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5"/>
    <w:basedOn w:val="10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6"/>
    <w:basedOn w:val="10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7 Colorful"/>
    <w:basedOn w:val="10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7">
    <w:name w:val="List Table 7 Colorful - Accent 1"/>
    <w:basedOn w:val="10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38">
    <w:name w:val="List Table 7 Colorful - Accent 2"/>
    <w:basedOn w:val="10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39">
    <w:name w:val="List Table 7 Colorful - Accent 3"/>
    <w:basedOn w:val="10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0">
    <w:name w:val="List Table 7 Colorful - Accent 4"/>
    <w:basedOn w:val="10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1">
    <w:name w:val="List Table 7 Colorful - Accent 5"/>
    <w:basedOn w:val="10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2">
    <w:name w:val="List Table 7 Colorful - Accent 6"/>
    <w:basedOn w:val="10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3">
    <w:name w:val="Lined - Accent"/>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4">
    <w:name w:val="Lined - Accent 1"/>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5">
    <w:name w:val="Lined - Accent 2"/>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3"/>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4"/>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5"/>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6"/>
    <w:basedOn w:val="10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Bordered &amp; Lined - Accent"/>
    <w:basedOn w:val="10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Bordered &amp; Lined - Accent 1"/>
    <w:basedOn w:val="10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2"/>
    <w:basedOn w:val="10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3"/>
    <w:basedOn w:val="10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4"/>
    <w:basedOn w:val="10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5"/>
    <w:basedOn w:val="10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6"/>
    <w:basedOn w:val="10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w:basedOn w:val="10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 Accent 1"/>
    <w:basedOn w:val="10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 Accent 2"/>
    <w:basedOn w:val="10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3"/>
    <w:basedOn w:val="10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4"/>
    <w:basedOn w:val="10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5"/>
    <w:basedOn w:val="10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6"/>
    <w:basedOn w:val="10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4">
    <w:name w:val="Heading 5"/>
    <w:basedOn w:val="1005"/>
    <w:next w:val="1005"/>
    <w:link w:val="96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5">
    <w:name w:val="Heading 6"/>
    <w:basedOn w:val="1005"/>
    <w:next w:val="1005"/>
    <w:link w:val="97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6">
    <w:name w:val="Heading 7"/>
    <w:basedOn w:val="1005"/>
    <w:next w:val="1005"/>
    <w:link w:val="97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7">
    <w:name w:val="Heading 8"/>
    <w:basedOn w:val="1005"/>
    <w:next w:val="1005"/>
    <w:link w:val="97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68">
    <w:name w:val="Heading 9"/>
    <w:basedOn w:val="1005"/>
    <w:next w:val="1005"/>
    <w:link w:val="97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69">
    <w:name w:val="Heading 5 Char"/>
    <w:basedOn w:val="1010"/>
    <w:link w:val="964"/>
    <w:uiPriority w:val="9"/>
    <w:pPr>
      <w:pBdr/>
      <w:spacing/>
      <w:ind/>
    </w:pPr>
    <w:rPr>
      <w:rFonts w:ascii="Arial" w:hAnsi="Arial" w:eastAsia="Arial" w:cs="Arial"/>
      <w:color w:val="0f4761" w:themeColor="accent1" w:themeShade="BF"/>
    </w:rPr>
  </w:style>
  <w:style w:type="character" w:styleId="970">
    <w:name w:val="Heading 6 Char"/>
    <w:basedOn w:val="1010"/>
    <w:link w:val="965"/>
    <w:uiPriority w:val="9"/>
    <w:pPr>
      <w:pBdr/>
      <w:spacing/>
      <w:ind/>
    </w:pPr>
    <w:rPr>
      <w:rFonts w:ascii="Arial" w:hAnsi="Arial" w:eastAsia="Arial" w:cs="Arial"/>
      <w:i/>
      <w:iCs/>
      <w:color w:val="595959" w:themeColor="text1" w:themeTint="A6"/>
    </w:rPr>
  </w:style>
  <w:style w:type="character" w:styleId="971">
    <w:name w:val="Heading 7 Char"/>
    <w:basedOn w:val="1010"/>
    <w:link w:val="966"/>
    <w:uiPriority w:val="9"/>
    <w:pPr>
      <w:pBdr/>
      <w:spacing/>
      <w:ind/>
    </w:pPr>
    <w:rPr>
      <w:rFonts w:ascii="Arial" w:hAnsi="Arial" w:eastAsia="Arial" w:cs="Arial"/>
      <w:color w:val="595959" w:themeColor="text1" w:themeTint="A6"/>
    </w:rPr>
  </w:style>
  <w:style w:type="character" w:styleId="972">
    <w:name w:val="Heading 8 Char"/>
    <w:basedOn w:val="1010"/>
    <w:link w:val="967"/>
    <w:uiPriority w:val="9"/>
    <w:pPr>
      <w:pBdr/>
      <w:spacing/>
      <w:ind/>
    </w:pPr>
    <w:rPr>
      <w:rFonts w:ascii="Arial" w:hAnsi="Arial" w:eastAsia="Arial" w:cs="Arial"/>
      <w:i/>
      <w:iCs/>
      <w:color w:val="272727" w:themeColor="text1" w:themeTint="D8"/>
    </w:rPr>
  </w:style>
  <w:style w:type="character" w:styleId="973">
    <w:name w:val="Heading 9 Char"/>
    <w:basedOn w:val="1010"/>
    <w:link w:val="968"/>
    <w:uiPriority w:val="9"/>
    <w:pPr>
      <w:pBdr/>
      <w:spacing/>
      <w:ind/>
    </w:pPr>
    <w:rPr>
      <w:rFonts w:ascii="Arial" w:hAnsi="Arial" w:eastAsia="Arial" w:cs="Arial"/>
      <w:i/>
      <w:iCs/>
      <w:color w:val="272727" w:themeColor="text1" w:themeTint="D8"/>
    </w:rPr>
  </w:style>
  <w:style w:type="paragraph" w:styleId="974">
    <w:name w:val="Subtitle"/>
    <w:basedOn w:val="1005"/>
    <w:next w:val="1005"/>
    <w:link w:val="975"/>
    <w:uiPriority w:val="11"/>
    <w:qFormat/>
    <w:pPr>
      <w:numPr>
        <w:ilvl w:val="1"/>
      </w:numPr>
      <w:pBdr/>
      <w:spacing/>
      <w:ind/>
    </w:pPr>
    <w:rPr>
      <w:color w:val="595959" w:themeColor="text1" w:themeTint="A6"/>
      <w:spacing w:val="15"/>
      <w:sz w:val="28"/>
      <w:szCs w:val="28"/>
    </w:rPr>
  </w:style>
  <w:style w:type="character" w:styleId="975">
    <w:name w:val="Subtitle Char"/>
    <w:basedOn w:val="1010"/>
    <w:link w:val="974"/>
    <w:uiPriority w:val="11"/>
    <w:pPr>
      <w:pBdr/>
      <w:spacing/>
      <w:ind/>
    </w:pPr>
    <w:rPr>
      <w:color w:val="595959" w:themeColor="text1" w:themeTint="A6"/>
      <w:spacing w:val="15"/>
      <w:sz w:val="28"/>
      <w:szCs w:val="28"/>
    </w:rPr>
  </w:style>
  <w:style w:type="paragraph" w:styleId="976">
    <w:name w:val="Quote"/>
    <w:basedOn w:val="1005"/>
    <w:next w:val="1005"/>
    <w:link w:val="977"/>
    <w:uiPriority w:val="29"/>
    <w:qFormat/>
    <w:pPr>
      <w:pBdr/>
      <w:spacing w:before="160"/>
      <w:ind/>
      <w:jc w:val="center"/>
    </w:pPr>
    <w:rPr>
      <w:i/>
      <w:iCs/>
      <w:color w:val="404040" w:themeColor="text1" w:themeTint="BF"/>
    </w:rPr>
  </w:style>
  <w:style w:type="character" w:styleId="977">
    <w:name w:val="Quote Char"/>
    <w:basedOn w:val="1010"/>
    <w:link w:val="976"/>
    <w:uiPriority w:val="29"/>
    <w:pPr>
      <w:pBdr/>
      <w:spacing/>
      <w:ind/>
    </w:pPr>
    <w:rPr>
      <w:i/>
      <w:iCs/>
      <w:color w:val="404040" w:themeColor="text1" w:themeTint="BF"/>
    </w:rPr>
  </w:style>
  <w:style w:type="character" w:styleId="978">
    <w:name w:val="Intense Emphasis"/>
    <w:basedOn w:val="1010"/>
    <w:uiPriority w:val="21"/>
    <w:qFormat/>
    <w:pPr>
      <w:pBdr/>
      <w:spacing/>
      <w:ind/>
    </w:pPr>
    <w:rPr>
      <w:i/>
      <w:iCs/>
      <w:color w:val="0f4761" w:themeColor="accent1" w:themeShade="BF"/>
    </w:rPr>
  </w:style>
  <w:style w:type="paragraph" w:styleId="979">
    <w:name w:val="Intense Quote"/>
    <w:basedOn w:val="1005"/>
    <w:next w:val="1005"/>
    <w:link w:val="98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0">
    <w:name w:val="Intense Quote Char"/>
    <w:basedOn w:val="1010"/>
    <w:link w:val="979"/>
    <w:uiPriority w:val="30"/>
    <w:pPr>
      <w:pBdr/>
      <w:spacing/>
      <w:ind/>
    </w:pPr>
    <w:rPr>
      <w:i/>
      <w:iCs/>
      <w:color w:val="0f4761" w:themeColor="accent1" w:themeShade="BF"/>
    </w:rPr>
  </w:style>
  <w:style w:type="character" w:styleId="981">
    <w:name w:val="Intense Reference"/>
    <w:basedOn w:val="1010"/>
    <w:uiPriority w:val="32"/>
    <w:qFormat/>
    <w:pPr>
      <w:pBdr/>
      <w:spacing/>
      <w:ind/>
    </w:pPr>
    <w:rPr>
      <w:b/>
      <w:bCs/>
      <w:smallCaps/>
      <w:color w:val="0f4761" w:themeColor="accent1" w:themeShade="BF"/>
      <w:spacing w:val="5"/>
    </w:rPr>
  </w:style>
  <w:style w:type="paragraph" w:styleId="982">
    <w:name w:val="No Spacing"/>
    <w:basedOn w:val="1005"/>
    <w:uiPriority w:val="1"/>
    <w:qFormat/>
    <w:pPr>
      <w:pBdr/>
      <w:spacing w:after="0" w:line="240" w:lineRule="auto"/>
      <w:ind/>
    </w:pPr>
  </w:style>
  <w:style w:type="character" w:styleId="983">
    <w:name w:val="Subtle Emphasis"/>
    <w:basedOn w:val="1010"/>
    <w:uiPriority w:val="19"/>
    <w:qFormat/>
    <w:pPr>
      <w:pBdr/>
      <w:spacing/>
      <w:ind/>
    </w:pPr>
    <w:rPr>
      <w:i/>
      <w:iCs/>
      <w:color w:val="404040" w:themeColor="text1" w:themeTint="BF"/>
    </w:rPr>
  </w:style>
  <w:style w:type="character" w:styleId="984">
    <w:name w:val="Subtle Reference"/>
    <w:basedOn w:val="1010"/>
    <w:uiPriority w:val="31"/>
    <w:qFormat/>
    <w:pPr>
      <w:pBdr/>
      <w:spacing/>
      <w:ind/>
    </w:pPr>
    <w:rPr>
      <w:smallCaps/>
      <w:color w:val="5a5a5a" w:themeColor="text1" w:themeTint="A5"/>
    </w:rPr>
  </w:style>
  <w:style w:type="character" w:styleId="985">
    <w:name w:val="Book Title"/>
    <w:basedOn w:val="1010"/>
    <w:uiPriority w:val="33"/>
    <w:qFormat/>
    <w:pPr>
      <w:pBdr/>
      <w:spacing/>
      <w:ind/>
    </w:pPr>
    <w:rPr>
      <w:b/>
      <w:bCs/>
      <w:i/>
      <w:iCs/>
      <w:spacing w:val="5"/>
    </w:rPr>
  </w:style>
  <w:style w:type="paragraph" w:styleId="986">
    <w:name w:val="Caption"/>
    <w:basedOn w:val="1005"/>
    <w:next w:val="1005"/>
    <w:uiPriority w:val="35"/>
    <w:unhideWhenUsed/>
    <w:qFormat/>
    <w:pPr>
      <w:pBdr/>
      <w:spacing w:after="200" w:line="240" w:lineRule="auto"/>
      <w:ind/>
    </w:pPr>
    <w:rPr>
      <w:i/>
      <w:iCs/>
      <w:color w:val="0e2841" w:themeColor="text2"/>
      <w:sz w:val="18"/>
      <w:szCs w:val="18"/>
    </w:rPr>
  </w:style>
  <w:style w:type="paragraph" w:styleId="987">
    <w:name w:val="footnote text"/>
    <w:basedOn w:val="1005"/>
    <w:link w:val="988"/>
    <w:uiPriority w:val="99"/>
    <w:semiHidden/>
    <w:unhideWhenUsed/>
    <w:pPr>
      <w:pBdr/>
      <w:spacing w:after="0" w:line="240" w:lineRule="auto"/>
      <w:ind/>
    </w:pPr>
    <w:rPr>
      <w:sz w:val="20"/>
      <w:szCs w:val="20"/>
    </w:rPr>
  </w:style>
  <w:style w:type="character" w:styleId="988">
    <w:name w:val="Footnote Text Char"/>
    <w:basedOn w:val="1010"/>
    <w:link w:val="987"/>
    <w:uiPriority w:val="99"/>
    <w:semiHidden/>
    <w:pPr>
      <w:pBdr/>
      <w:spacing/>
      <w:ind/>
    </w:pPr>
    <w:rPr>
      <w:sz w:val="20"/>
      <w:szCs w:val="20"/>
    </w:rPr>
  </w:style>
  <w:style w:type="character" w:styleId="989">
    <w:name w:val="footnote reference"/>
    <w:basedOn w:val="1010"/>
    <w:uiPriority w:val="99"/>
    <w:semiHidden/>
    <w:unhideWhenUsed/>
    <w:pPr>
      <w:pBdr/>
      <w:spacing/>
      <w:ind/>
    </w:pPr>
    <w:rPr>
      <w:vertAlign w:val="superscript"/>
    </w:rPr>
  </w:style>
  <w:style w:type="paragraph" w:styleId="990">
    <w:name w:val="endnote text"/>
    <w:basedOn w:val="1005"/>
    <w:link w:val="991"/>
    <w:uiPriority w:val="99"/>
    <w:semiHidden/>
    <w:unhideWhenUsed/>
    <w:pPr>
      <w:pBdr/>
      <w:spacing w:after="0" w:line="240" w:lineRule="auto"/>
      <w:ind/>
    </w:pPr>
    <w:rPr>
      <w:sz w:val="20"/>
      <w:szCs w:val="20"/>
    </w:rPr>
  </w:style>
  <w:style w:type="character" w:styleId="991">
    <w:name w:val="Endnote Text Char"/>
    <w:basedOn w:val="1010"/>
    <w:link w:val="990"/>
    <w:uiPriority w:val="99"/>
    <w:semiHidden/>
    <w:pPr>
      <w:pBdr/>
      <w:spacing/>
      <w:ind/>
    </w:pPr>
    <w:rPr>
      <w:sz w:val="20"/>
      <w:szCs w:val="20"/>
    </w:rPr>
  </w:style>
  <w:style w:type="character" w:styleId="992">
    <w:name w:val="endnote reference"/>
    <w:basedOn w:val="1010"/>
    <w:uiPriority w:val="99"/>
    <w:semiHidden/>
    <w:unhideWhenUsed/>
    <w:pPr>
      <w:pBdr/>
      <w:spacing/>
      <w:ind/>
    </w:pPr>
    <w:rPr>
      <w:vertAlign w:val="superscript"/>
    </w:rPr>
  </w:style>
  <w:style w:type="paragraph" w:styleId="993">
    <w:name w:val="toc 1"/>
    <w:basedOn w:val="1005"/>
    <w:next w:val="1005"/>
    <w:uiPriority w:val="39"/>
    <w:unhideWhenUsed/>
    <w:pPr>
      <w:pBdr/>
      <w:spacing w:after="100"/>
      <w:ind/>
    </w:pPr>
  </w:style>
  <w:style w:type="paragraph" w:styleId="994">
    <w:name w:val="toc 2"/>
    <w:basedOn w:val="1005"/>
    <w:next w:val="1005"/>
    <w:uiPriority w:val="39"/>
    <w:unhideWhenUsed/>
    <w:pPr>
      <w:pBdr/>
      <w:spacing w:after="100"/>
      <w:ind w:left="220"/>
    </w:pPr>
  </w:style>
  <w:style w:type="paragraph" w:styleId="995">
    <w:name w:val="toc 3"/>
    <w:basedOn w:val="1005"/>
    <w:next w:val="1005"/>
    <w:uiPriority w:val="39"/>
    <w:unhideWhenUsed/>
    <w:pPr>
      <w:pBdr/>
      <w:spacing w:after="100"/>
      <w:ind w:left="440"/>
    </w:pPr>
  </w:style>
  <w:style w:type="paragraph" w:styleId="996">
    <w:name w:val="toc 4"/>
    <w:basedOn w:val="1005"/>
    <w:next w:val="1005"/>
    <w:uiPriority w:val="39"/>
    <w:unhideWhenUsed/>
    <w:pPr>
      <w:pBdr/>
      <w:spacing w:after="100"/>
      <w:ind w:left="660"/>
    </w:pPr>
  </w:style>
  <w:style w:type="paragraph" w:styleId="997">
    <w:name w:val="toc 5"/>
    <w:basedOn w:val="1005"/>
    <w:next w:val="1005"/>
    <w:uiPriority w:val="39"/>
    <w:unhideWhenUsed/>
    <w:pPr>
      <w:pBdr/>
      <w:spacing w:after="100"/>
      <w:ind w:left="880"/>
    </w:pPr>
  </w:style>
  <w:style w:type="paragraph" w:styleId="998">
    <w:name w:val="toc 6"/>
    <w:basedOn w:val="1005"/>
    <w:next w:val="1005"/>
    <w:uiPriority w:val="39"/>
    <w:unhideWhenUsed/>
    <w:pPr>
      <w:pBdr/>
      <w:spacing w:after="100"/>
      <w:ind w:left="1100"/>
    </w:pPr>
  </w:style>
  <w:style w:type="paragraph" w:styleId="999">
    <w:name w:val="toc 7"/>
    <w:basedOn w:val="1005"/>
    <w:next w:val="1005"/>
    <w:uiPriority w:val="39"/>
    <w:unhideWhenUsed/>
    <w:pPr>
      <w:pBdr/>
      <w:spacing w:after="100"/>
      <w:ind w:left="1320"/>
    </w:pPr>
  </w:style>
  <w:style w:type="paragraph" w:styleId="1000">
    <w:name w:val="toc 8"/>
    <w:basedOn w:val="1005"/>
    <w:next w:val="1005"/>
    <w:uiPriority w:val="39"/>
    <w:unhideWhenUsed/>
    <w:pPr>
      <w:pBdr/>
      <w:spacing w:after="100"/>
      <w:ind w:left="1540"/>
    </w:pPr>
  </w:style>
  <w:style w:type="paragraph" w:styleId="1001">
    <w:name w:val="toc 9"/>
    <w:basedOn w:val="1005"/>
    <w:next w:val="1005"/>
    <w:uiPriority w:val="39"/>
    <w:unhideWhenUsed/>
    <w:pPr>
      <w:pBdr/>
      <w:spacing w:after="100"/>
      <w:ind w:left="1760"/>
    </w:pPr>
  </w:style>
  <w:style w:type="character" w:styleId="1002">
    <w:name w:val="Placeholder Text"/>
    <w:basedOn w:val="1010"/>
    <w:uiPriority w:val="99"/>
    <w:semiHidden/>
    <w:pPr>
      <w:pBdr/>
      <w:spacing/>
      <w:ind/>
    </w:pPr>
    <w:rPr>
      <w:color w:val="666666"/>
    </w:rPr>
  </w:style>
  <w:style w:type="paragraph" w:styleId="1003">
    <w:name w:val="TOC Heading"/>
    <w:uiPriority w:val="39"/>
    <w:unhideWhenUsed/>
    <w:pPr>
      <w:pBdr/>
      <w:spacing/>
      <w:ind/>
    </w:pPr>
  </w:style>
  <w:style w:type="paragraph" w:styleId="1004">
    <w:name w:val="table of figures"/>
    <w:basedOn w:val="1005"/>
    <w:next w:val="1005"/>
    <w:uiPriority w:val="99"/>
    <w:unhideWhenUsed/>
    <w:pPr>
      <w:pBdr/>
      <w:spacing w:after="0" w:afterAutospacing="0"/>
      <w:ind/>
    </w:pPr>
  </w:style>
  <w:style w:type="paragraph" w:styleId="1005" w:default="1">
    <w:name w:val="Normal"/>
    <w:qFormat/>
    <w:pPr>
      <w:pBdr/>
      <w:spacing w:after="0" w:line="240" w:lineRule="auto"/>
      <w:ind/>
    </w:pPr>
    <w:rPr>
      <w:rFonts w:ascii="Times New Roman" w:hAnsi="Times New Roman" w:eastAsia="Times New Roman" w:cs="Times New Roman"/>
      <w:sz w:val="24"/>
      <w:szCs w:val="24"/>
    </w:rPr>
  </w:style>
  <w:style w:type="paragraph" w:styleId="1006">
    <w:name w:val="Heading 1"/>
    <w:basedOn w:val="1005"/>
    <w:next w:val="1005"/>
    <w:link w:val="1013"/>
    <w:qFormat/>
    <w:pPr>
      <w:keepNext w:val="true"/>
      <w:pBdr/>
      <w:spacing w:after="120" w:before="120"/>
      <w:ind/>
      <w:jc w:val="center"/>
      <w:outlineLvl w:val="0"/>
    </w:pPr>
    <w:rPr>
      <w:b/>
      <w:bCs/>
      <w:sz w:val="27"/>
      <w:szCs w:val="27"/>
    </w:rPr>
  </w:style>
  <w:style w:type="paragraph" w:styleId="1007">
    <w:name w:val="Heading 2"/>
    <w:basedOn w:val="1005"/>
    <w:next w:val="1005"/>
    <w:link w:val="101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08">
    <w:name w:val="Heading 3"/>
    <w:basedOn w:val="1005"/>
    <w:next w:val="1005"/>
    <w:link w:val="1015"/>
    <w:qFormat/>
    <w:pPr>
      <w:keepNext w:val="true"/>
      <w:pBdr/>
      <w:spacing w:before="60"/>
      <w:ind/>
      <w:outlineLvl w:val="2"/>
    </w:pPr>
    <w:rPr>
      <w:sz w:val="28"/>
      <w:szCs w:val="28"/>
    </w:rPr>
  </w:style>
  <w:style w:type="paragraph" w:styleId="1009">
    <w:name w:val="Heading 4"/>
    <w:basedOn w:val="1005"/>
    <w:next w:val="1005"/>
    <w:link w:val="1016"/>
    <w:qFormat/>
    <w:pPr>
      <w:keepNext w:val="true"/>
      <w:pBdr/>
      <w:spacing/>
      <w:ind/>
      <w:jc w:val="center"/>
      <w:outlineLvl w:val="3"/>
    </w:pPr>
    <w:rPr>
      <w:b/>
      <w:bCs/>
    </w:rPr>
  </w:style>
  <w:style w:type="character" w:styleId="1010" w:default="1">
    <w:name w:val="Default Paragraph Font"/>
    <w:uiPriority w:val="1"/>
    <w:semiHidden/>
    <w:unhideWhenUsed/>
    <w:pPr>
      <w:pBdr/>
      <w:spacing/>
      <w:ind/>
    </w:pPr>
  </w:style>
  <w:style w:type="table" w:styleId="10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2" w:default="1">
    <w:name w:val="No List"/>
    <w:uiPriority w:val="99"/>
    <w:semiHidden/>
    <w:unhideWhenUsed/>
    <w:pPr>
      <w:pBdr/>
      <w:spacing/>
      <w:ind/>
    </w:pPr>
  </w:style>
  <w:style w:type="character" w:styleId="1013" w:customStyle="1">
    <w:name w:val="Heading 1 Char"/>
    <w:basedOn w:val="1010"/>
    <w:link w:val="1006"/>
    <w:pPr>
      <w:pBdr/>
      <w:spacing/>
      <w:ind/>
    </w:pPr>
    <w:rPr>
      <w:rFonts w:ascii="Times New Roman" w:hAnsi="Times New Roman" w:eastAsia="Times New Roman" w:cs="Times New Roman"/>
      <w:b/>
      <w:bCs/>
      <w:sz w:val="27"/>
      <w:szCs w:val="27"/>
    </w:rPr>
  </w:style>
  <w:style w:type="character" w:styleId="1014" w:customStyle="1">
    <w:name w:val="Heading 2 Char"/>
    <w:basedOn w:val="1010"/>
    <w:link w:val="1007"/>
    <w:uiPriority w:val="9"/>
    <w:pPr>
      <w:pBdr/>
      <w:spacing/>
      <w:ind/>
    </w:pPr>
    <w:rPr>
      <w:rFonts w:asciiTheme="majorHAnsi" w:hAnsiTheme="majorHAnsi" w:eastAsiaTheme="majorEastAsia" w:cstheme="majorBidi"/>
      <w:color w:val="365f91" w:themeColor="accent1" w:themeShade="BF"/>
      <w:sz w:val="26"/>
      <w:szCs w:val="26"/>
    </w:rPr>
  </w:style>
  <w:style w:type="character" w:styleId="1015" w:customStyle="1">
    <w:name w:val="Heading 3 Char"/>
    <w:basedOn w:val="1010"/>
    <w:link w:val="1008"/>
    <w:pPr>
      <w:pBdr/>
      <w:spacing/>
      <w:ind/>
    </w:pPr>
    <w:rPr>
      <w:rFonts w:ascii="Times New Roman" w:hAnsi="Times New Roman" w:eastAsia="Times New Roman" w:cs="Times New Roman"/>
      <w:sz w:val="28"/>
      <w:szCs w:val="28"/>
    </w:rPr>
  </w:style>
  <w:style w:type="character" w:styleId="1016" w:customStyle="1">
    <w:name w:val="Heading 4 Char"/>
    <w:basedOn w:val="1010"/>
    <w:link w:val="1009"/>
    <w:pPr>
      <w:pBdr/>
      <w:spacing/>
      <w:ind/>
    </w:pPr>
    <w:rPr>
      <w:rFonts w:ascii="Times New Roman" w:hAnsi="Times New Roman" w:eastAsia="Times New Roman" w:cs="Times New Roman"/>
      <w:b/>
      <w:bCs/>
      <w:sz w:val="24"/>
      <w:szCs w:val="24"/>
    </w:rPr>
  </w:style>
  <w:style w:type="character" w:styleId="1017">
    <w:name w:val="Hyperlink"/>
    <w:uiPriority w:val="99"/>
    <w:pPr>
      <w:pBdr/>
      <w:spacing/>
      <w:ind/>
    </w:pPr>
    <w:rPr>
      <w:color w:val="000000"/>
      <w:u w:val="single"/>
    </w:rPr>
  </w:style>
  <w:style w:type="character" w:styleId="1018">
    <w:name w:val="Strong"/>
    <w:uiPriority w:val="22"/>
    <w:qFormat/>
    <w:pPr>
      <w:pBdr/>
      <w:spacing/>
      <w:ind/>
    </w:pPr>
    <w:rPr>
      <w:b/>
      <w:bCs/>
    </w:rPr>
  </w:style>
  <w:style w:type="paragraph" w:styleId="1019">
    <w:name w:val="Balloon Text"/>
    <w:basedOn w:val="1005"/>
    <w:link w:val="1020"/>
    <w:uiPriority w:val="99"/>
    <w:semiHidden/>
    <w:unhideWhenUsed/>
    <w:pPr>
      <w:pBdr/>
      <w:spacing/>
      <w:ind/>
    </w:pPr>
    <w:rPr>
      <w:rFonts w:ascii="Tahoma" w:hAnsi="Tahoma" w:cs="Tahoma"/>
      <w:sz w:val="16"/>
      <w:szCs w:val="16"/>
    </w:rPr>
  </w:style>
  <w:style w:type="character" w:styleId="1020" w:customStyle="1">
    <w:name w:val="Balloon Text Char"/>
    <w:basedOn w:val="1010"/>
    <w:link w:val="1019"/>
    <w:uiPriority w:val="99"/>
    <w:semiHidden/>
    <w:pPr>
      <w:pBdr/>
      <w:spacing/>
      <w:ind/>
    </w:pPr>
    <w:rPr>
      <w:rFonts w:ascii="Tahoma" w:hAnsi="Tahoma" w:eastAsia="Times New Roman" w:cs="Tahoma"/>
      <w:sz w:val="16"/>
      <w:szCs w:val="16"/>
    </w:rPr>
  </w:style>
  <w:style w:type="paragraph" w:styleId="1021">
    <w:name w:val="Header"/>
    <w:basedOn w:val="1005"/>
    <w:link w:val="1022"/>
    <w:unhideWhenUsed/>
    <w:pPr>
      <w:pBdr/>
      <w:tabs>
        <w:tab w:val="center" w:leader="none" w:pos="4680"/>
        <w:tab w:val="right" w:leader="none" w:pos="9360"/>
      </w:tabs>
      <w:spacing/>
      <w:ind/>
    </w:pPr>
  </w:style>
  <w:style w:type="character" w:styleId="1022" w:customStyle="1">
    <w:name w:val="Header Char"/>
    <w:basedOn w:val="1010"/>
    <w:link w:val="1021"/>
    <w:pPr>
      <w:pBdr/>
      <w:spacing/>
      <w:ind/>
    </w:pPr>
    <w:rPr>
      <w:rFonts w:ascii="Times New Roman" w:hAnsi="Times New Roman" w:eastAsia="Times New Roman" w:cs="Times New Roman"/>
      <w:sz w:val="24"/>
      <w:szCs w:val="24"/>
    </w:rPr>
  </w:style>
  <w:style w:type="paragraph" w:styleId="1023">
    <w:name w:val="Footer"/>
    <w:basedOn w:val="1005"/>
    <w:link w:val="1024"/>
    <w:uiPriority w:val="99"/>
    <w:unhideWhenUsed/>
    <w:pPr>
      <w:pBdr/>
      <w:tabs>
        <w:tab w:val="center" w:leader="none" w:pos="4680"/>
        <w:tab w:val="right" w:leader="none" w:pos="9360"/>
      </w:tabs>
      <w:spacing/>
      <w:ind/>
    </w:pPr>
  </w:style>
  <w:style w:type="character" w:styleId="1024" w:customStyle="1">
    <w:name w:val="Footer Char"/>
    <w:basedOn w:val="1010"/>
    <w:link w:val="1023"/>
    <w:uiPriority w:val="99"/>
    <w:pPr>
      <w:pBdr/>
      <w:spacing/>
      <w:ind/>
    </w:pPr>
    <w:rPr>
      <w:rFonts w:ascii="Times New Roman" w:hAnsi="Times New Roman" w:eastAsia="Times New Roman" w:cs="Times New Roman"/>
      <w:sz w:val="24"/>
      <w:szCs w:val="24"/>
    </w:rPr>
  </w:style>
  <w:style w:type="character" w:styleId="1025" w:customStyle="1">
    <w:name w:val="normal-h1"/>
    <w:pPr>
      <w:pBdr/>
      <w:spacing/>
      <w:ind/>
    </w:pPr>
    <w:rPr>
      <w:rFonts w:hint="default" w:ascii=".VnTime" w:hAnsi=".VnTime"/>
      <w:color w:val="0000ff"/>
      <w:sz w:val="24"/>
      <w:szCs w:val="24"/>
    </w:rPr>
  </w:style>
  <w:style w:type="paragraph" w:styleId="1026" w:customStyle="1">
    <w:name w:val="normal-p"/>
    <w:basedOn w:val="1005"/>
    <w:pPr>
      <w:pBdr/>
      <w:spacing/>
      <w:ind/>
      <w:jc w:val="both"/>
    </w:pPr>
    <w:rPr>
      <w:sz w:val="20"/>
      <w:szCs w:val="20"/>
    </w:rPr>
  </w:style>
  <w:style w:type="paragraph" w:styleId="1027">
    <w:name w:val="List Paragraph"/>
    <w:basedOn w:val="1005"/>
    <w:link w:val="1114"/>
    <w:uiPriority w:val="34"/>
    <w:qFormat/>
    <w:pPr>
      <w:pBdr/>
      <w:spacing/>
      <w:ind w:left="720"/>
    </w:pPr>
  </w:style>
  <w:style w:type="paragraph" w:styleId="1028">
    <w:name w:val="Normal (Web)"/>
    <w:basedOn w:val="1005"/>
    <w:uiPriority w:val="99"/>
    <w:pPr>
      <w:pBdr/>
      <w:spacing w:after="100" w:afterAutospacing="1" w:before="100" w:beforeAutospacing="1"/>
      <w:ind/>
    </w:pPr>
  </w:style>
  <w:style w:type="paragraph" w:styleId="1029">
    <w:name w:val="Body Text"/>
    <w:basedOn w:val="1005"/>
    <w:link w:val="1030"/>
    <w:pPr>
      <w:pBdr/>
      <w:spacing w:after="120"/>
      <w:ind/>
      <w:jc w:val="both"/>
    </w:pPr>
  </w:style>
  <w:style w:type="character" w:styleId="1030" w:customStyle="1">
    <w:name w:val="Body Text Char"/>
    <w:basedOn w:val="1010"/>
    <w:link w:val="1029"/>
    <w:pPr>
      <w:pBdr/>
      <w:spacing/>
      <w:ind/>
    </w:pPr>
    <w:rPr>
      <w:rFonts w:ascii="Times New Roman" w:hAnsi="Times New Roman" w:eastAsia="Times New Roman" w:cs="Times New Roman"/>
      <w:sz w:val="24"/>
      <w:szCs w:val="24"/>
    </w:rPr>
  </w:style>
  <w:style w:type="table" w:styleId="1031">
    <w:name w:val="Table Grid"/>
    <w:basedOn w:val="101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3">
    <w:name w:val="annotation reference"/>
    <w:basedOn w:val="1010"/>
    <w:uiPriority w:val="99"/>
    <w:semiHidden/>
    <w:unhideWhenUsed/>
    <w:pPr>
      <w:pBdr/>
      <w:spacing/>
      <w:ind/>
    </w:pPr>
    <w:rPr>
      <w:sz w:val="16"/>
      <w:szCs w:val="16"/>
    </w:rPr>
  </w:style>
  <w:style w:type="paragraph" w:styleId="1034">
    <w:name w:val="annotation text"/>
    <w:basedOn w:val="1005"/>
    <w:link w:val="1035"/>
    <w:uiPriority w:val="99"/>
    <w:unhideWhenUsed/>
    <w:pPr>
      <w:pBdr/>
      <w:spacing/>
      <w:ind/>
    </w:pPr>
    <w:rPr>
      <w:sz w:val="20"/>
      <w:szCs w:val="20"/>
    </w:rPr>
  </w:style>
  <w:style w:type="character" w:styleId="1035" w:customStyle="1">
    <w:name w:val="Comment Text Char"/>
    <w:basedOn w:val="1010"/>
    <w:link w:val="1034"/>
    <w:uiPriority w:val="99"/>
    <w:pPr>
      <w:pBdr/>
      <w:spacing/>
      <w:ind/>
    </w:pPr>
    <w:rPr>
      <w:rFonts w:ascii="Times New Roman" w:hAnsi="Times New Roman" w:eastAsia="Times New Roman" w:cs="Times New Roman"/>
      <w:sz w:val="20"/>
      <w:szCs w:val="20"/>
    </w:rPr>
  </w:style>
  <w:style w:type="paragraph" w:styleId="1036">
    <w:name w:val="annotation subject"/>
    <w:basedOn w:val="1034"/>
    <w:next w:val="1034"/>
    <w:link w:val="1037"/>
    <w:uiPriority w:val="99"/>
    <w:semiHidden/>
    <w:unhideWhenUsed/>
    <w:pPr>
      <w:pBdr/>
      <w:spacing/>
      <w:ind/>
    </w:pPr>
    <w:rPr>
      <w:b/>
      <w:bCs/>
    </w:rPr>
  </w:style>
  <w:style w:type="character" w:styleId="1037" w:customStyle="1">
    <w:name w:val="Comment Subject Char"/>
    <w:basedOn w:val="1035"/>
    <w:link w:val="1036"/>
    <w:uiPriority w:val="99"/>
    <w:semiHidden/>
    <w:pPr>
      <w:pBdr/>
      <w:spacing/>
      <w:ind/>
    </w:pPr>
    <w:rPr>
      <w:rFonts w:ascii="Times New Roman" w:hAnsi="Times New Roman" w:eastAsia="Times New Roman" w:cs="Times New Roman"/>
      <w:b/>
      <w:bCs/>
      <w:sz w:val="20"/>
      <w:szCs w:val="20"/>
    </w:rPr>
  </w:style>
  <w:style w:type="paragraph" w:styleId="1038" w:customStyle="1">
    <w:name w:val="font5"/>
    <w:basedOn w:val="1005"/>
    <w:pPr>
      <w:pBdr/>
      <w:spacing w:after="100" w:afterAutospacing="1" w:before="100" w:beforeAutospacing="1"/>
      <w:ind/>
    </w:pPr>
    <w:rPr>
      <w:rFonts w:ascii="Tahoma" w:hAnsi="Tahoma" w:cs="Tahoma"/>
      <w:color w:val="000000"/>
      <w:sz w:val="18"/>
      <w:szCs w:val="18"/>
    </w:rPr>
  </w:style>
  <w:style w:type="paragraph" w:styleId="1039" w:customStyle="1">
    <w:name w:val="font6"/>
    <w:basedOn w:val="1005"/>
    <w:pPr>
      <w:pBdr/>
      <w:spacing w:after="100" w:afterAutospacing="1" w:before="100" w:beforeAutospacing="1"/>
      <w:ind/>
    </w:pPr>
    <w:rPr>
      <w:rFonts w:ascii="Tahoma" w:hAnsi="Tahoma" w:cs="Tahoma"/>
      <w:b/>
      <w:bCs/>
      <w:color w:val="000000"/>
      <w:sz w:val="18"/>
      <w:szCs w:val="18"/>
    </w:rPr>
  </w:style>
  <w:style w:type="paragraph" w:styleId="1040" w:customStyle="1">
    <w:name w:val="xl23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1" w:customStyle="1">
    <w:name w:val="xl234"/>
    <w:basedOn w:val="1005"/>
    <w:pPr>
      <w:pBdr/>
      <w:spacing w:after="100" w:afterAutospacing="1" w:before="100" w:beforeAutospacing="1"/>
      <w:ind/>
      <w:jc w:val="center"/>
    </w:pPr>
  </w:style>
  <w:style w:type="paragraph" w:styleId="1042" w:customStyle="1">
    <w:name w:val="xl235"/>
    <w:basedOn w:val="1005"/>
    <w:pPr>
      <w:pBdr/>
      <w:spacing w:after="100" w:afterAutospacing="1" w:before="100" w:beforeAutospacing="1"/>
      <w:ind/>
      <w:jc w:val="center"/>
    </w:pPr>
    <w:rPr>
      <w:b/>
      <w:bCs/>
    </w:rPr>
  </w:style>
  <w:style w:type="paragraph" w:styleId="1043" w:customStyle="1">
    <w:name w:val="xl236"/>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4" w:customStyle="1">
    <w:name w:val="xl23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5" w:customStyle="1">
    <w:name w:val="xl238"/>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6" w:customStyle="1">
    <w:name w:val="xl23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7" w:customStyle="1">
    <w:name w:val="xl240"/>
    <w:basedOn w:val="1005"/>
    <w:pPr>
      <w:pBdr/>
      <w:spacing w:after="100" w:afterAutospacing="1" w:before="100" w:beforeAutospacing="1"/>
      <w:ind/>
    </w:pPr>
  </w:style>
  <w:style w:type="paragraph" w:styleId="1048" w:customStyle="1">
    <w:name w:val="xl241"/>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9" w:customStyle="1">
    <w:name w:val="xl242"/>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0" w:customStyle="1">
    <w:name w:val="xl243"/>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1" w:customStyle="1">
    <w:name w:val="xl244"/>
    <w:basedOn w:val="1005"/>
    <w:pPr>
      <w:pBdr/>
      <w:spacing w:after="100" w:afterAutospacing="1" w:before="100" w:beforeAutospacing="1"/>
      <w:ind/>
    </w:pPr>
    <w:rPr>
      <w:b/>
      <w:bCs/>
    </w:rPr>
  </w:style>
  <w:style w:type="paragraph" w:styleId="1052" w:customStyle="1">
    <w:name w:val="xl245"/>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3" w:customStyle="1">
    <w:name w:val="xl24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4" w:customStyle="1">
    <w:name w:val="xl247"/>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5" w:customStyle="1">
    <w:name w:val="xl24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6" w:customStyle="1">
    <w:name w:val="xl24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7" w:customStyle="1">
    <w:name w:val="xl25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58" w:customStyle="1">
    <w:name w:val="xl25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59" w:customStyle="1">
    <w:name w:val="xl25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0" w:customStyle="1">
    <w:name w:val="xl253"/>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1" w:customStyle="1">
    <w:name w:val="xl254"/>
    <w:basedOn w:val="100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2" w:customStyle="1">
    <w:name w:val="xl255"/>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3" w:customStyle="1">
    <w:name w:val="xl256"/>
    <w:basedOn w:val="100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4" w:customStyle="1">
    <w:name w:val="xl25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5" w:customStyle="1">
    <w:name w:val="xl258"/>
    <w:basedOn w:val="100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6" w:customStyle="1">
    <w:name w:val="xl25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7" w:customStyle="1">
    <w:name w:val="xl260"/>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8" w:customStyle="1">
    <w:name w:val="xl261"/>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9" w:customStyle="1">
    <w:name w:val="xl262"/>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0" w:customStyle="1">
    <w:name w:val="xl263"/>
    <w:basedOn w:val="1005"/>
    <w:pPr>
      <w:pBdr/>
      <w:shd w:val="clear" w:color="000000" w:fill="ffffff"/>
      <w:spacing w:after="100" w:afterAutospacing="1" w:before="100" w:beforeAutospacing="1"/>
      <w:ind/>
    </w:pPr>
  </w:style>
  <w:style w:type="paragraph" w:styleId="1071" w:customStyle="1">
    <w:name w:val="xl264"/>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2" w:customStyle="1">
    <w:name w:val="xl265"/>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3" w:customStyle="1">
    <w:name w:val="xl26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4" w:customStyle="1">
    <w:name w:val="xl267"/>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5" w:customStyle="1">
    <w:name w:val="xl268"/>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6" w:customStyle="1">
    <w:name w:val="xl269"/>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7" w:customStyle="1">
    <w:name w:val="xl27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8" w:customStyle="1">
    <w:name w:val="xl271"/>
    <w:basedOn w:val="100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79" w:customStyle="1">
    <w:name w:val="xl27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0" w:customStyle="1">
    <w:name w:val="xl273"/>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1" w:customStyle="1">
    <w:name w:val="xl274"/>
    <w:basedOn w:val="100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75"/>
    <w:basedOn w:val="1005"/>
    <w:pPr>
      <w:pBdr/>
      <w:spacing w:after="100" w:afterAutospacing="1" w:before="100" w:beforeAutospacing="1"/>
      <w:ind/>
    </w:pPr>
  </w:style>
  <w:style w:type="paragraph" w:styleId="1083" w:customStyle="1">
    <w:name w:val="xl27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4" w:customStyle="1">
    <w:name w:val="xl277"/>
    <w:basedOn w:val="100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5" w:customStyle="1">
    <w:name w:val="xl278"/>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6" w:customStyle="1">
    <w:name w:val="xl279"/>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7" w:customStyle="1">
    <w:name w:val="xl280"/>
    <w:basedOn w:val="100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8" w:customStyle="1">
    <w:name w:val="xl281"/>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9" w:customStyle="1">
    <w:name w:val="xl282"/>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0" w:customStyle="1">
    <w:name w:val="xl283"/>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1" w:customStyle="1">
    <w:name w:val="xl284"/>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092" w:customStyle="1">
    <w:name w:val="xl285"/>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3" w:customStyle="1">
    <w:name w:val="xl286"/>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4" w:customStyle="1">
    <w:name w:val="xl287"/>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5" w:customStyle="1">
    <w:name w:val="xl288"/>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096" w:customStyle="1">
    <w:name w:val="xl289"/>
    <w:basedOn w:val="1005"/>
    <w:pPr>
      <w:pBdr>
        <w:left w:val="single" w:color="000000" w:sz="4" w:space="0"/>
        <w:right w:val="single" w:color="000000" w:sz="4" w:space="0"/>
      </w:pBdr>
      <w:spacing w:after="100" w:afterAutospacing="1" w:before="100" w:beforeAutospacing="1"/>
      <w:ind/>
    </w:pPr>
    <w:rPr>
      <w:b/>
      <w:bCs/>
    </w:rPr>
  </w:style>
  <w:style w:type="paragraph" w:styleId="1097" w:customStyle="1">
    <w:name w:val="xl290"/>
    <w:basedOn w:val="100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98" w:customStyle="1">
    <w:name w:val="xl291"/>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99" w:customStyle="1">
    <w:name w:val="xl292"/>
    <w:basedOn w:val="1005"/>
    <w:pPr>
      <w:pBdr>
        <w:top w:val="single" w:color="000000" w:sz="4" w:space="0"/>
        <w:left w:val="single" w:color="000000" w:sz="4" w:space="0"/>
        <w:right w:val="single" w:color="000000" w:sz="4" w:space="0"/>
      </w:pBdr>
      <w:spacing w:after="100" w:afterAutospacing="1" w:before="100" w:beforeAutospacing="1"/>
      <w:ind/>
    </w:pPr>
  </w:style>
  <w:style w:type="paragraph" w:styleId="1100" w:customStyle="1">
    <w:name w:val="xl293"/>
    <w:basedOn w:val="1005"/>
    <w:pPr>
      <w:pBdr>
        <w:left w:val="single" w:color="000000" w:sz="4" w:space="0"/>
        <w:bottom w:val="single" w:color="000000" w:sz="4" w:space="0"/>
        <w:right w:val="single" w:color="000000" w:sz="4" w:space="0"/>
      </w:pBdr>
      <w:spacing w:after="100" w:afterAutospacing="1" w:before="100" w:beforeAutospacing="1"/>
      <w:ind/>
    </w:pPr>
  </w:style>
  <w:style w:type="paragraph" w:styleId="1101" w:customStyle="1">
    <w:name w:val="xl294"/>
    <w:basedOn w:val="100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2">
    <w:name w:val="Title"/>
    <w:basedOn w:val="1005"/>
    <w:link w:val="1103"/>
    <w:qFormat/>
    <w:pPr>
      <w:pBdr/>
      <w:spacing/>
      <w:ind/>
      <w:jc w:val="center"/>
    </w:pPr>
    <w:rPr>
      <w:b/>
      <w:bCs/>
      <w:sz w:val="32"/>
      <w:szCs w:val="26"/>
    </w:rPr>
  </w:style>
  <w:style w:type="character" w:styleId="1103" w:customStyle="1">
    <w:name w:val="Title Char"/>
    <w:basedOn w:val="1010"/>
    <w:link w:val="1102"/>
    <w:pPr>
      <w:pBdr/>
      <w:spacing/>
      <w:ind/>
    </w:pPr>
    <w:rPr>
      <w:rFonts w:ascii="Times New Roman" w:hAnsi="Times New Roman" w:eastAsia="Times New Roman" w:cs="Times New Roman"/>
      <w:b/>
      <w:bCs/>
      <w:sz w:val="32"/>
      <w:szCs w:val="26"/>
    </w:rPr>
  </w:style>
  <w:style w:type="character" w:styleId="1104" w:customStyle="1">
    <w:name w:val="Unresolved Mention1"/>
    <w:basedOn w:val="1010"/>
    <w:uiPriority w:val="99"/>
    <w:semiHidden/>
    <w:unhideWhenUsed/>
    <w:pPr>
      <w:pBdr/>
      <w:spacing/>
      <w:ind/>
    </w:pPr>
    <w:rPr>
      <w:color w:val="605e5c"/>
      <w:shd w:val="clear" w:color="auto" w:fill="e1dfdd"/>
    </w:rPr>
  </w:style>
  <w:style w:type="character" w:styleId="1105" w:customStyle="1">
    <w:name w:val="Body text (3)_"/>
    <w:link w:val="1106"/>
    <w:pPr>
      <w:pBdr/>
      <w:spacing/>
      <w:ind/>
    </w:pPr>
    <w:rPr>
      <w:rFonts w:ascii="Times New Roman" w:hAnsi="Times New Roman" w:cs="Times New Roman"/>
      <w:i/>
      <w:iCs/>
      <w:spacing w:val="4"/>
      <w:shd w:val="clear" w:color="auto" w:fill="ffffff"/>
    </w:rPr>
  </w:style>
  <w:style w:type="paragraph" w:styleId="1106" w:customStyle="1">
    <w:name w:val="Body text (3)1"/>
    <w:basedOn w:val="1005"/>
    <w:link w:val="110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7" w:customStyle="1">
    <w:name w:val="t-j"/>
    <w:basedOn w:val="1005"/>
    <w:pPr>
      <w:pBdr/>
      <w:spacing w:after="100" w:afterAutospacing="1" w:before="100" w:beforeAutospacing="1"/>
      <w:ind/>
    </w:pPr>
  </w:style>
  <w:style w:type="character" w:styleId="1108" w:customStyle="1">
    <w:name w:val="Unresolved Mention2"/>
    <w:basedOn w:val="1010"/>
    <w:uiPriority w:val="99"/>
    <w:semiHidden/>
    <w:unhideWhenUsed/>
    <w:pPr>
      <w:pBdr/>
      <w:spacing/>
      <w:ind/>
    </w:pPr>
    <w:rPr>
      <w:color w:val="605e5c"/>
      <w:shd w:val="clear" w:color="auto" w:fill="e1dfdd"/>
    </w:rPr>
  </w:style>
  <w:style w:type="character" w:styleId="1109">
    <w:name w:val="FollowedHyperlink"/>
    <w:basedOn w:val="1010"/>
    <w:uiPriority w:val="99"/>
    <w:semiHidden/>
    <w:unhideWhenUsed/>
    <w:pPr>
      <w:pBdr/>
      <w:spacing/>
      <w:ind/>
    </w:pPr>
    <w:rPr>
      <w:color w:val="800080" w:themeColor="followedHyperlink"/>
      <w:u w:val="single"/>
    </w:rPr>
  </w:style>
  <w:style w:type="character" w:styleId="1110" w:customStyle="1">
    <w:name w:val="text"/>
    <w:basedOn w:val="1010"/>
    <w:pPr>
      <w:pBdr/>
      <w:spacing/>
      <w:ind/>
    </w:pPr>
  </w:style>
  <w:style w:type="character" w:styleId="1111" w:customStyle="1">
    <w:name w:val="card-send-time__sendtime"/>
    <w:basedOn w:val="1010"/>
    <w:pPr>
      <w:pBdr/>
      <w:spacing/>
      <w:ind/>
    </w:pPr>
  </w:style>
  <w:style w:type="character" w:styleId="1112" w:customStyle="1">
    <w:name w:val="Đề cập Chưa giải quyết1"/>
    <w:basedOn w:val="1010"/>
    <w:uiPriority w:val="99"/>
    <w:semiHidden/>
    <w:unhideWhenUsed/>
    <w:pPr>
      <w:pBdr/>
      <w:spacing/>
      <w:ind/>
    </w:pPr>
    <w:rPr>
      <w:color w:val="605e5c"/>
      <w:shd w:val="clear" w:color="auto" w:fill="e1dfdd"/>
    </w:rPr>
  </w:style>
  <w:style w:type="paragraph" w:styleId="1113" w:customStyle="1">
    <w:name w:val="nqtitle"/>
    <w:basedOn w:val="1005"/>
    <w:pPr>
      <w:pBdr/>
      <w:spacing w:after="100" w:afterAutospacing="1" w:before="100" w:beforeAutospacing="1"/>
      <w:ind/>
    </w:pPr>
    <w:rPr>
      <w:lang w:val="vi-VN" w:eastAsia="vi-VN"/>
    </w:rPr>
  </w:style>
  <w:style w:type="character" w:styleId="1114" w:customStyle="1">
    <w:name w:val="List Paragraph Char"/>
    <w:link w:val="1027"/>
    <w:uiPriority w:val="34"/>
    <w:qFormat/>
    <w:pPr>
      <w:pBdr/>
      <w:spacing/>
      <w:ind/>
    </w:pPr>
    <w:rPr>
      <w:rFonts w:ascii="Times New Roman" w:hAnsi="Times New Roman" w:eastAsia="Times New Roman" w:cs="Times New Roman"/>
      <w:sz w:val="24"/>
      <w:szCs w:val="24"/>
    </w:rPr>
  </w:style>
  <w:style w:type="character" w:styleId="1115" w:customStyle="1">
    <w:name w:val="Đề cập Chưa giải quyết2"/>
    <w:basedOn w:val="1010"/>
    <w:uiPriority w:val="99"/>
    <w:semiHidden/>
    <w:unhideWhenUsed/>
    <w:pPr>
      <w:pBdr/>
      <w:spacing/>
      <w:ind/>
    </w:pPr>
    <w:rPr>
      <w:color w:val="605e5c"/>
      <w:shd w:val="clear" w:color="auto" w:fill="e1dfdd"/>
    </w:rPr>
  </w:style>
  <w:style w:type="character" w:styleId="1116" w:customStyle="1">
    <w:name w:val="Unresolved Mention3"/>
    <w:basedOn w:val="1010"/>
    <w:uiPriority w:val="99"/>
    <w:semiHidden/>
    <w:unhideWhenUsed/>
    <w:pPr>
      <w:pBdr/>
      <w:spacing/>
      <w:ind/>
    </w:pPr>
    <w:rPr>
      <w:color w:val="605e5c"/>
      <w:shd w:val="clear" w:color="auto" w:fill="e1dfdd"/>
    </w:rPr>
  </w:style>
  <w:style w:type="character" w:styleId="1117" w:customStyle="1">
    <w:name w:val="copy"/>
    <w:basedOn w:val="1010"/>
    <w:pPr>
      <w:pBdr/>
      <w:spacing/>
      <w:ind/>
    </w:pPr>
  </w:style>
  <w:style w:type="paragraph" w:styleId="1118" w:customStyle="1">
    <w:name w:val="align-justify"/>
    <w:basedOn w:val="1005"/>
    <w:pPr>
      <w:pBdr/>
      <w:spacing w:after="100" w:afterAutospacing="1" w:before="100" w:beforeAutospacing="1"/>
      <w:ind/>
    </w:pPr>
  </w:style>
  <w:style w:type="character" w:styleId="1119" w:customStyle="1">
    <w:name w:val="btn"/>
    <w:basedOn w:val="1010"/>
    <w:pPr>
      <w:pBdr/>
      <w:spacing/>
      <w:ind/>
    </w:pPr>
  </w:style>
  <w:style w:type="character" w:styleId="1120" w:customStyle="1">
    <w:name w:val="hide_mobile"/>
    <w:basedOn w:val="1010"/>
    <w:pPr>
      <w:pBdr/>
      <w:spacing/>
      <w:ind/>
    </w:pPr>
  </w:style>
  <w:style w:type="character" w:styleId="1121">
    <w:name w:val="Emphasis"/>
    <w:basedOn w:val="1010"/>
    <w:uiPriority w:val="20"/>
    <w:qFormat/>
    <w:pPr>
      <w:pBdr/>
      <w:spacing/>
      <w:ind/>
    </w:pPr>
    <w:rPr>
      <w:i/>
      <w:iCs/>
    </w:rPr>
  </w:style>
  <w:style w:type="character" w:styleId="1122" w:customStyle="1">
    <w:name w:val="t1"/>
    <w:basedOn w:val="1010"/>
    <w:pPr>
      <w:pBdr/>
      <w:spacing/>
      <w:ind/>
    </w:pPr>
  </w:style>
  <w:style w:type="character" w:styleId="1123" w:customStyle="1">
    <w:name w:val="Unresolved Mention4"/>
    <w:basedOn w:val="1010"/>
    <w:uiPriority w:val="99"/>
    <w:semiHidden/>
    <w:unhideWhenUsed/>
    <w:pPr>
      <w:pBdr/>
      <w:spacing/>
      <w:ind/>
    </w:pPr>
    <w:rPr>
      <w:color w:val="605e5c"/>
      <w:shd w:val="clear" w:color="auto" w:fill="e1dfdd"/>
    </w:rPr>
  </w:style>
  <w:style w:type="character" w:styleId="1124">
    <w:name w:val="Unresolved Mention"/>
    <w:basedOn w:val="101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jpg"/><Relationship Id="rId20" Type="http://schemas.openxmlformats.org/officeDocument/2006/relationships/image" Target="media/image6.jpg"/><Relationship Id="rId21" Type="http://schemas.openxmlformats.org/officeDocument/2006/relationships/image" Target="media/image7.jpg"/><Relationship Id="rId22" Type="http://schemas.openxmlformats.org/officeDocument/2006/relationships/image" Target="media/image8.jpg"/><Relationship Id="rId23" Type="http://schemas.openxmlformats.org/officeDocument/2006/relationships/image" Target="media/image9.jpg"/><Relationship Id="rId24" Type="http://schemas.openxmlformats.org/officeDocument/2006/relationships/image" Target="media/image10.jp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jpg"/><Relationship Id="rId33" Type="http://schemas.openxmlformats.org/officeDocument/2006/relationships/image" Target="media/image19.jpg"/><Relationship Id="rId34" Type="http://schemas.openxmlformats.org/officeDocument/2006/relationships/image" Target="media/image20.jpg"/><Relationship Id="rId35" Type="http://schemas.openxmlformats.org/officeDocument/2006/relationships/image" Target="media/image21.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cp:lastModifiedBy>
  <cp:revision>286</cp:revision>
  <dcterms:created xsi:type="dcterms:W3CDTF">2025-09-15T09:58:00Z</dcterms:created>
  <dcterms:modified xsi:type="dcterms:W3CDTF">2026-06-11T02:43:04Z</dcterms:modified>
</cp:coreProperties>
</file>