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4998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4998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GIAO NHẬN QUỐC TẾ TRƯỜNG THÀNH</w:t>
                            </w:r>
                            <w:r>
                              <w:rPr>
                                <w:rFonts w:ascii="Times New Roman Bold" w:hAnsi="Times New Roman Bold"/>
                                <w:b/>
                                <w:lang w:val="pt-BR"/>
                              </w:rPr>
                            </w:r>
                            <w:r>
                              <w:rPr>
                                <w:rFonts w:ascii="Times New Roman Bold" w:hAnsi="Times New Roman Bold"/>
                                <w:b/>
                                <w:lang w:val="pt-BR"/>
                              </w:rPr>
                            </w:r>
                          </w:p>
                          <w:p>
                            <w:pPr>
                              <w:pBdr/>
                              <w:spacing w:after="0" w:before="0" w:line="348" w:lineRule="auto"/>
                              <w:ind/>
                              <w:jc w:val="both"/>
                              <w:rPr>
                                <w:b w:val="0"/>
                                <w:bCs w:val="0"/>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sở h</w:t>
                            </w:r>
                            <w:r>
                              <w:rPr>
                                <w:rFonts w:ascii="Times New Roman" w:hAnsi="Times New Roman" w:eastAsia="Times New Roman" w:cs="Times New Roman"/>
                                <w:b w:val="0"/>
                                <w:bCs w:val="0"/>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val="0"/>
                                <w:bCs w:val="0"/>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val="0"/>
                                <w:bCs w:val="0"/>
                                <w:color w:val="000000"/>
                                <w:sz w:val="24"/>
                              </w:rPr>
                              <w:t xml:space="preserve">.</w:t>
                            </w:r>
                            <w:r>
                              <w:rPr>
                                <w:b w:val="0"/>
                                <w:bCs w:val="0"/>
                              </w:rPr>
                            </w:r>
                            <w:r>
                              <w:rPr>
                                <w:b w:val="0"/>
                                <w:bCs w:val="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7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275/2026/0869/VFI-CT.57.A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GIAO NHẬN QUỐC TẾ TRƯỜNG THÀNH</w:t>
                      </w:r>
                      <w:r>
                        <w:rPr>
                          <w:rFonts w:ascii="Times New Roman Bold" w:hAnsi="Times New Roman Bold"/>
                          <w:b/>
                          <w:lang w:val="pt-BR"/>
                        </w:rPr>
                      </w:r>
                      <w:r>
                        <w:rPr>
                          <w:rFonts w:ascii="Times New Roman Bold" w:hAnsi="Times New Roman Bold"/>
                          <w:b/>
                          <w:lang w:val="pt-BR"/>
                        </w:rPr>
                      </w:r>
                    </w:p>
                    <w:p>
                      <w:pPr>
                        <w:pBdr/>
                        <w:spacing w:after="0" w:before="0" w:line="348" w:lineRule="auto"/>
                        <w:ind/>
                        <w:jc w:val="both"/>
                        <w:rPr>
                          <w:b w:val="0"/>
                          <w:bCs w:val="0"/>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Quyền sở h</w:t>
                      </w:r>
                      <w:r>
                        <w:rPr>
                          <w:rFonts w:ascii="Times New Roman" w:hAnsi="Times New Roman" w:eastAsia="Times New Roman" w:cs="Times New Roman"/>
                          <w:b w:val="0"/>
                          <w:bCs w:val="0"/>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val="0"/>
                          <w:bCs w:val="0"/>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val="0"/>
                          <w:bCs w:val="0"/>
                          <w:color w:val="000000"/>
                          <w:sz w:val="24"/>
                        </w:rPr>
                        <w:t xml:space="preserve">.</w:t>
                      </w:r>
                      <w:r>
                        <w:rPr>
                          <w:b w:val="0"/>
                          <w:bCs w:val="0"/>
                        </w:rPr>
                      </w:r>
                      <w:r>
                        <w:rPr>
                          <w:b w:val="0"/>
                          <w:bCs w:val="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86" w:type="dxa"/>
        <w:tblBorders/>
        <w:tblLayout w:type="fixed"/>
        <w:tblLook w:val="04A0" w:firstRow="1" w:lastRow="0" w:firstColumn="1" w:lastColumn="0" w:noHBand="0" w:noVBand="1"/>
      </w:tblPr>
      <w:tblGrid>
        <w:gridCol w:w="881"/>
        <w:gridCol w:w="3939"/>
        <w:gridCol w:w="881"/>
        <w:gridCol w:w="4533"/>
        <w:gridCol w:w="53"/>
      </w:tblGrid>
      <w:tr>
        <w:trPr>
          <w:trHeight w:val="1152"/>
        </w:trPr>
        <w:tc>
          <w:tcPr>
            <w:gridSpan w:val="2"/>
            <w:tcBorders/>
            <w:tcW w:w="48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546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82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275/2026/0869VFI-CT.57.A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533"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GIAO NHẬN QUỐC TẾ TRƯỜNG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275/2026/0869/VFI-HĐTĐ.57.A</w:t>
      </w:r>
      <w:r>
        <w:rPr>
          <w:spacing w:val="-4"/>
          <w:lang w:val="vi-VN"/>
        </w:rPr>
        <w:t xml:space="preserve"> ký ngày 0</w:t>
      </w:r>
      <w:r>
        <w:rPr>
          <w:color w:val="000000" w:themeColor="text1"/>
          <w:spacing w:val="-4"/>
        </w:rPr>
        <w:t xml:space="preserve">9 tháng 6 năm 2026</w:t>
      </w:r>
      <w:r>
        <w:rPr>
          <w:spacing w:val="-4"/>
          <w:lang w:val="vi-VN"/>
        </w:rPr>
        <w:t xml:space="preserve"> </w:t>
      </w:r>
      <w:r>
        <w:rPr>
          <w:spacing w:val="-4"/>
          <w:lang w:val="vi-VN"/>
        </w:rPr>
        <w:t xml:space="preserve">giữa </w:t>
      </w:r>
      <w:r>
        <w:rPr>
          <w:color w:val="000000" w:themeColor="text1"/>
          <w:spacing w:val="-4"/>
        </w:rPr>
        <w:t xml:space="preserve">Công ty TNHH Giao nhận Quốc tế Trường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275/2026/0869/VFI-BC.57.A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GIAO NHẬN QUỐC TẾ TRƯỜNG THÀNH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0105937262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nhà 16 ngõ 41 đường Khương Đình, Phường Thượng Đình, Quận Thanh Xuân, Thành phố Hà Nội.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rPr>
                <w:bCs/>
              </w:rPr>
            </w:pPr>
            <w:r>
              <w:rPr>
                <w:bCs/>
              </w:rPr>
              <w:t xml:space="preserve">Đại diện</w:t>
            </w:r>
            <w:r>
              <w:rPr>
                <w:bCs/>
              </w:rPr>
            </w:r>
            <w:r>
              <w:rPr>
                <w:bCs/>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Bà Lê Thị Thu Hương             Chức vụ: Giám Đốc</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0" w:before="0" w:line="276" w:lineRule="auto"/>
        <w:ind/>
        <w:jc w:val="both"/>
        <w:rPr>
          <w:rFonts w:ascii="Times New Roman" w:hAnsi="Times New Roman" w:eastAsia="Times New Roman" w:cs="Times New Roman"/>
          <w:b w:val="0"/>
          <w:bCs w:val="0"/>
          <w:color w:val="000000"/>
          <w:sz w:val="24"/>
          <w:szCs w:val="24"/>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b w:val="0"/>
          <w:bCs w:val="0"/>
          <w:color w:val="000000" w:themeColor="text1"/>
        </w:rPr>
        <w:t xml:space="preserve"> </w:t>
      </w:r>
      <w:r>
        <w:rPr>
          <w:rFonts w:ascii="Times New Roman" w:hAnsi="Times New Roman" w:eastAsia="Times New Roman" w:cs="Times New Roman"/>
          <w:b w:val="0"/>
          <w:bCs w:val="0"/>
          <w:color w:val="000000"/>
          <w:sz w:val="24"/>
        </w:rPr>
        <w:t xml:space="preserve">Quyền sở h</w:t>
      </w:r>
      <w:r>
        <w:rPr>
          <w:rFonts w:ascii="Times New Roman" w:hAnsi="Times New Roman" w:eastAsia="Times New Roman" w:cs="Times New Roman"/>
          <w:b w:val="0"/>
          <w:bCs w:val="0"/>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val="0"/>
          <w:bCs w:val="0"/>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8"/>
        <w:gridCol w:w="2873"/>
        <w:gridCol w:w="1926"/>
        <w:gridCol w:w="2000"/>
        <w:gridCol w:w="2090"/>
      </w:tblGrid>
      <w:tr>
        <w:trPr>
          <w:trHeight w:val="715"/>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7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9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47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99" w:type="dxa"/>
            <w:vAlign w:val="center"/>
            <w:textDirection w:val="lrTb"/>
            <w:noWrap w:val="false"/>
          </w:tcPr>
          <w:p>
            <w:pPr>
              <w:pBdr/>
              <w:spacing w:after="0" w:before="0" w:line="276" w:lineRule="auto"/>
              <w:ind w:right="108" w:firstLine="0" w:left="142"/>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z w:val="24"/>
              </w:rPr>
              <w:t xml:space="preserve">Quyền sở h</w:t>
            </w:r>
            <w:r>
              <w:rPr>
                <w:rFonts w:ascii="Times New Roman" w:hAnsi="Times New Roman" w:eastAsia="Times New Roman" w:cs="Times New Roman"/>
                <w:b/>
                <w:bCs/>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bCs/>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209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44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7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129,4</w:t>
            </w:r>
            <w:r/>
          </w:p>
        </w:tc>
        <w:tc>
          <w:tcPr>
            <w:shd w:val="clear" w:color="ffffff" w:fill="ffffff"/>
            <w:tcBorders>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76.000.000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90" w:type="dxa"/>
            <w:vAlign w:val="center"/>
            <w:textDirection w:val="lrTb"/>
            <w:noWrap w:val="false"/>
          </w:tcPr>
          <w:p>
            <w:pPr>
              <w:pBdr/>
              <w:spacing w:after="0" w:before="0" w:line="240" w:lineRule="auto"/>
              <w:ind w:right="107" w:firstLine="0" w:left="0"/>
              <w:jc w:val="right"/>
              <w:rPr/>
            </w:pPr>
            <w:r>
              <w:rPr>
                <w:rFonts w:ascii="Times New Roman" w:hAnsi="Times New Roman" w:eastAsia="Times New Roman" w:cs="Times New Roman"/>
                <w:color w:val="000000"/>
                <w:sz w:val="24"/>
              </w:rPr>
              <w:t xml:space="preserve">9.834.400.000</w:t>
            </w:r>
            <w:r/>
          </w:p>
        </w:tc>
      </w:tr>
      <w:tr>
        <w:trPr>
          <w:trHeight w:val="414"/>
        </w:trPr>
        <w:tc>
          <w:tcPr>
            <w:gridSpan w:val="4"/>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0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color w:val="000000"/>
                <w:sz w:val="24"/>
              </w:rPr>
            </w:r>
            <w:r/>
          </w:p>
        </w:tc>
        <w:tc>
          <w:tcPr>
            <w:shd w:val="clear" w:color="ffffff" w:fill="ffffff"/>
            <w:tcBorders>
              <w:bottom w:val="single" w:color="000000" w:sz="6" w:space="0"/>
              <w:right w:val="single" w:color="000000" w:sz="6" w:space="0"/>
            </w:tcBorders>
            <w:tcMar>
              <w:left w:w="0" w:type="dxa"/>
              <w:top w:w="0" w:type="dxa"/>
              <w:right w:w="0" w:type="dxa"/>
              <w:bottom w:w="0" w:type="dxa"/>
            </w:tcMar>
            <w:tcW w:w="2090" w:type="dxa"/>
            <w:vAlign w:val="center"/>
            <w:vMerge w:val="restart"/>
            <w:textDirection w:val="lrTb"/>
            <w:noWrap w:val="false"/>
          </w:tcPr>
          <w:p>
            <w:pPr>
              <w:pBdr/>
              <w:spacing w:after="0" w:before="0" w:line="240" w:lineRule="auto"/>
              <w:ind w:right="107" w:firstLine="0" w:left="0"/>
              <w:jc w:val="right"/>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9.834.400.000</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436"/>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4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tám trăm ba mươi bốn triệu bốn trăm nghìn đồng chẵn ./.)</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428"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634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548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275/2026/0869/VFI-BC.57.A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5489"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275/2026/0869/VFI-CT.57.A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GIAO NHẬN QUỐC TẾ TRƯỜNG THÀNH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0105937262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Số nhà 16 ngõ 41 đường Khương Đình, Phường Thượng Đình, Quận Thanh Xuân, Thành phố Hà Nội.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Bà Lê Thị Thu Hương             Chức vụ: Giám Đốc</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0" w:before="0" w:line="276" w:lineRule="auto"/>
              <w:ind/>
              <w:jc w:val="both"/>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Quyền sở h</w:t>
            </w:r>
            <w:r>
              <w:rPr>
                <w:rFonts w:ascii="Times New Roman" w:hAnsi="Times New Roman" w:eastAsia="Times New Roman" w:cs="Times New Roman"/>
                <w:b w:val="0"/>
                <w:bCs w:val="0"/>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val="0"/>
                <w:bCs w:val="0"/>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val="0"/>
                <w:bCs w:val="0"/>
                <w:color w:val="000000"/>
                <w:sz w:val="24"/>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Phú Diễn,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21.042222222222, 105.76602777778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09/6/2026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Bdr/>
        <w:tabs>
          <w:tab w:val="left" w:leader="none" w:pos="993"/>
        </w:tabs>
        <w:spacing w:after="120" w:before="120" w:line="276" w:lineRule="auto"/>
        <w:ind w:firstLine="0" w:left="360"/>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06988642, số </w:t>
      </w:r>
      <w:r>
        <w:rPr>
          <w:rFonts w:ascii="Times New Roman" w:hAnsi="Times New Roman" w:eastAsia="Times New Roman" w:cs="Times New Roman"/>
          <w:b w:val="0"/>
          <w:bCs w:val="0"/>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val="0"/>
          <w:bCs w:val="0"/>
          <w:color w:val="000000"/>
          <w:sz w:val="24"/>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275/2026/0869/VFI-HĐTĐ.57.A ngày 09/6/2026 giữa Công ty TNHH Giao nhận Quốc tế Trường Thành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Giá chung cư cũ Hà Nội liên tục tăng nóng từ đầu năm nay. Tuy nhiên, hiện tượng FOMO đã giảm dần. Sau khi giá tăng không ngừng, nhiều người quyết định dừng kế hoạch tìm kiếm mua nhà, nghe ngóng diễn biến của thị trường hoặc có người quyết </w:t>
      </w:r>
      <w:r>
        <w:rPr>
          <w:shd w:val="clear" w:color="auto" w:fill="ffffff"/>
        </w:rPr>
        <w:t xml:space="preserve">định chuyển sang mua nhà thổ cư. Thời điểm 3 tháng đầu năm 2024, nhiều người bị ảnh hưởng bởi tâm lý FOMO gấp gáp mua chung cư vì sợ giá phân khúc này tiếp tục nóng và không còn ở mức giá hợp lý. Tuy nhiên, ở thời điểm hiện tại nhiều người tìm mua căn hộ c</w:t>
      </w:r>
      <w:r>
        <w:rPr>
          <w:shd w:val="clear" w:color="auto" w:fill="ffffff"/>
        </w:rPr>
        <w:t xml:space="preserve">hung cư đang giữ tâm lý nghe ngóng, chờ đợi và trì hoãn kế hoạch mua nhà. Chính động thái chờ đợi diễn biến tích cực hơn về nguồn cung, giá bán trong thời gian tới của nhiều người đã khiến giao dịch của thị trường căn hộ chung cư giảm đáng kể trong thời gi</w:t>
      </w:r>
      <w:r>
        <w:rPr>
          <w:shd w:val="clear" w:color="auto" w:fill="ffffff"/>
        </w:rPr>
        <w:t xml:space="preserve">an qua. Anh H. - một nhà đầu tư có hơn chục năm kinh nghiệm chia sẻ rằng, thị trường bất động sản luôn có những giai đoạn sốt giá, đẩy giá trị lên cao ngất ngưởng trong thời gian ngắn. Lý do xuất phát từ một bộ phận người đầu tư lướt sóng, ôm hàng rẻ từ tr</w:t>
      </w:r>
      <w:r>
        <w:rPr>
          <w:shd w:val="clear" w:color="auto" w:fill="ffffff"/>
        </w:rPr>
        <w:t xml:space="preserve">ước tạo giao dịch ảo, tự mua bán qua lại với nhau. Sau khi tạo "sóng" xong, giá chung cư đã được thiết lập mặt bằng mới, khó có thể giảm được. Bởi, các khu xây mới bây giờ đều định giá 60-70 triệu đồng/m</w:t>
      </w:r>
      <w:r>
        <w:rPr>
          <w:shd w:val="clear" w:color="auto" w:fill="ffffff"/>
          <w:vertAlign w:val="superscript"/>
        </w:rPr>
        <w:t xml:space="preserve">2</w:t>
      </w:r>
      <w:r>
        <w:rPr>
          <w:shd w:val="clear" w:color="auto" w:fill="ffffff"/>
        </w:rPr>
        <w:t xml:space="preserve">. Do đó, khi "sóng" ngừng, giá sẽ đi ngang, khó giảm</w:t>
      </w:r>
      <w:r>
        <w:rPr>
          <w:shd w:val="clear" w:color="auto" w:fill="ffffff"/>
        </w:rPr>
        <w:t xml:space="preserve"> sâu.</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Theo khảo sát của PropertyGuru Việt Nam trong tháng 3 và tháng 4.2024 ghi nhận, mặt bằng giá căn hộ chung cư của Hà Nội vẫn tiếp tục tăng cao so với thời điểm đầu năm. So với tháng 2.2024, thị trường căn hộ chung cư Hà Nội trong tháng 3 và tháng 4 ti</w:t>
      </w:r>
      <w:r>
        <w:rPr>
          <w:shd w:val="clear" w:color="auto" w:fill="ffffff"/>
        </w:rPr>
        <w:t xml:space="preserve">ếp tục tăng từ 100-300 triệu đồng/căn tại hầu khắp các dự án. Mức tăng mạnh nhất trong 2 tháng qua thuộc về các dự án khu vực nội đô trung tâm Thanh Xuân, Đống Đa, Cầu Giấy, Ba Đình… mức tăng đạt trung bình 200-300 triệu đồng/căn. Một số quận cận kề vùng v</w:t>
      </w:r>
      <w:r>
        <w:rPr>
          <w:shd w:val="clear" w:color="auto" w:fill="ffffff"/>
        </w:rPr>
        <w:t xml:space="preserve">en hoặc thuộc vùng ven hẳn như Hà Đông, Nam Từ Liêm, Hoài Đức, mức tăng thấp hơn, đạt trung bình 100-200 triệu đồng/căn. Tuy nhiên, cũng theo khảo sát được PropertyGuru Việt Nam thực hiện từ nửa cuối tháng 4 đến đầu tháng 5, thanh khoản của thị trường căn </w:t>
      </w:r>
      <w:r>
        <w:rPr>
          <w:shd w:val="clear" w:color="auto" w:fill="ffffff"/>
        </w:rPr>
        <w:t xml:space="preserve">hộ chung cư đang có dấu hiệu chậm lại. Tại một số dự án, số lượng giao dịch phát sinh trong tháng 4 đến hiện tại đã giảm mạnh, chỉ bằng khoảng 1 nửa so với thời kì “đỉnh cao”.</w:t>
      </w:r>
      <w:r/>
    </w:p>
    <w:p>
      <w:pPr>
        <w:pBdr/>
        <w:tabs>
          <w:tab w:val="left" w:leader="none" w:pos="426"/>
        </w:tabs>
        <w:spacing w:after="120" w:before="120" w:line="276" w:lineRule="auto"/>
        <w:ind w:right="0" w:firstLine="283" w:left="0"/>
        <w:jc w:val="both"/>
        <w:rPr/>
      </w:pPr>
      <w:r>
        <w:rPr>
          <w:shd w:val="clear" w:color="auto" w:fill="ffffff"/>
        </w:rPr>
        <w:t xml:space="preserve">Theo TS Nguyễn Văn Đính - Phó Chủ tịch Hiệp hội Bất động sản Việt Nam, trong ngắ</w:t>
      </w:r>
      <w:r>
        <w:rPr>
          <w:shd w:val="clear" w:color="auto" w:fill="ffffff"/>
        </w:rPr>
        <w:t xml:space="preserve">n hạn, giá căn hộ tại trung tâm các thành phố lớn sẽ tiếp tục duy trì đà tăng, nhất là tại phân khúc bình dân, trung cấp. Trong khi đó, giá mua đi, bán lại của các dự án cao cấp, hạng sang có thể ghi nhận mức giảm nhẹ. Sau đó, khi nguồn cung nhà ở xã hội b</w:t>
      </w:r>
      <w:r>
        <w:rPr>
          <w:shd w:val="clear" w:color="auto" w:fill="ffffff"/>
        </w:rPr>
        <w:t xml:space="preserve">ật tăng, mặt bằng giá căn hộ sẽ xuống mức phù hợp hơn với người dân có nhu cầu ở thực. Nguồn cung căn hộ tại Hà Nội và TPHCM dự kiến sẽ tăng trở lại.</w:t>
      </w:r>
      <w:r/>
    </w:p>
    <w:p>
      <w:pPr>
        <w:pBdr/>
        <w:tabs>
          <w:tab w:val="left" w:leader="none" w:pos="426"/>
        </w:tabs>
        <w:spacing w:after="120" w:before="120" w:line="276" w:lineRule="auto"/>
        <w:ind w:right="0" w:firstLine="283" w:left="0"/>
        <w:jc w:val="center"/>
        <w:rPr>
          <w:bCs/>
          <w:i/>
        </w:rPr>
      </w:pPr>
      <w:r>
        <w:rPr>
          <w:i/>
          <w:iCs/>
          <w:shd w:val="clear" w:color="auto" w:fill="ffffff"/>
        </w:rPr>
        <w:t xml:space="preserve">(Nguồn tham khảo: https://laodong.vn/bat-dong-san/gia-chung-cu-ha-noi-sap-ha-nhiet-qua-thoi-ky-dinh-cao-1337925.ldo)</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456"/>
        <w:gridCol w:w="2049"/>
        <w:gridCol w:w="2453"/>
        <w:gridCol w:w="2401"/>
      </w:tblGrid>
      <w:tr>
        <w:trPr>
          <w:trHeight w:val="173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8" w:type="dxa"/>
            <w:vAlign w:val="center"/>
            <w:textDirection w:val="lrTb"/>
            <w:noWrap w:val="false"/>
          </w:tcPr>
          <w:p>
            <w:pPr>
              <w:pBdr/>
              <w:spacing w:after="0" w:before="0" w:line="240" w:lineRule="auto"/>
              <w:ind w:right="153" w:firstLine="0" w:left="142"/>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sở h</w:t>
            </w:r>
            <w:r>
              <w:rPr>
                <w:rFonts w:ascii="Times New Roman" w:hAnsi="Times New Roman" w:eastAsia="Times New Roman" w:cs="Times New Roman"/>
                <w:b/>
                <w:bCs/>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bCs/>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bCs/>
                <w:color w:val="000000"/>
                <w:sz w:val="24"/>
              </w:rPr>
              <w:t xml:space="preserve">.</w:t>
            </w:r>
            <w:r>
              <w:rPr>
                <w:b/>
                <w:bCs/>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8"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Thửa đất:</w:t>
            </w:r>
            <w:r/>
          </w:p>
        </w:tc>
        <w:tc>
          <w:tcPr>
            <w:tcBorders>
              <w:bottom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299</w:t>
            </w:r>
            <w:r/>
          </w:p>
        </w:tc>
        <w:tc>
          <w:tcPr>
            <w:tcBorders>
              <w:bottom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81</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3" w:type="dxa"/>
            <w:vAlign w:val="center"/>
            <w:textDirection w:val="lrTb"/>
            <w:noWrap w:val="false"/>
          </w:tcPr>
          <w:p>
            <w:pPr>
              <w:pBdr/>
              <w:spacing w:after="0" w:before="0" w:line="240" w:lineRule="auto"/>
              <w:ind w:right="153" w:firstLine="0" w:left="142"/>
              <w:jc w:val="both"/>
              <w:rPr/>
            </w:pPr>
            <w:r>
              <w:rPr>
                <w:rFonts w:ascii="Times New Roman" w:hAnsi="Times New Roman" w:eastAsia="Times New Roman" w:cs="Times New Roman"/>
                <w:color w:val="000000"/>
                <w:sz w:val="24"/>
              </w:rPr>
              <w:t xml:space="preserve">Khu KO2 (Khu B), khu nhà ở văn phòng dịch vụ tại  136 Hồ Tùng Mậu, phường Phú Diễn, Thành phố Hà Nội</w:t>
            </w:r>
            <w:r/>
          </w:p>
        </w:tc>
      </w:tr>
      <w:tr>
        <w:trPr>
          <w:trHeight w:val="124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1.848,0</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Sử dụng chung của các chủ sở hữu căn hộ chung cư, công trình xây dựng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Lâu dài</w:t>
            </w:r>
            <w:r/>
          </w:p>
        </w:tc>
      </w:tr>
      <w:tr>
        <w:trPr>
          <w:trHeight w:val="129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3" w:type="dxa"/>
            <w:vAlign w:val="center"/>
            <w:textDirection w:val="lrTb"/>
            <w:noWrap w:val="false"/>
          </w:tcPr>
          <w:p>
            <w:pPr>
              <w:pBdr/>
              <w:spacing w:after="0" w:before="0" w:line="240" w:lineRule="auto"/>
              <w:ind w:right="153" w:firstLine="0" w:left="142"/>
              <w:jc w:val="both"/>
              <w:rPr/>
            </w:pPr>
            <w:r>
              <w:rPr>
                <w:rFonts w:ascii="Times New Roman" w:hAnsi="Times New Roman" w:eastAsia="Times New Roman" w:cs="Times New Roman"/>
                <w:color w:val="000000"/>
                <w:sz w:val="24"/>
              </w:rPr>
              <w:t xml:space="preserve">Giấy chứng nhận này được cấp đổi từ Giấy chứng nhận quyền sử dụng đất, quyền sở hữu tài sản gắn liền với đất số: AA 03888143 do Văn phòng đăng ký đất đai Hà Nội cấp ngày 1310/2025 do nhận chuyển nhượng.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58" w:type="dxa"/>
            <w:vAlign w:val="center"/>
            <w:textDirection w:val="lrTb"/>
            <w:noWrap w:val="false"/>
          </w:tcPr>
          <w:p>
            <w:pPr>
              <w:pBdr/>
              <w:spacing w:after="0" w:before="0" w:line="240" w:lineRule="auto"/>
              <w:ind w:right="153" w:firstLine="0" w:left="142"/>
              <w:rPr>
                <w:highlight w:val="white"/>
              </w:rPr>
            </w:pPr>
            <w:r>
              <w:rPr>
                <w:rFonts w:ascii="Times New Roman" w:hAnsi="Times New Roman" w:eastAsia="Times New Roman" w:cs="Times New Roman"/>
                <w:color w:val="000000"/>
                <w:sz w:val="24"/>
                <w:highlight w:val="white"/>
              </w:rPr>
              <w:t xml:space="preserve">Vị trí trên bản đồ vệ tinh: </w:t>
            </w:r>
            <w:r>
              <w:rPr>
                <w:highlight w:val="white"/>
              </w:rPr>
            </w:r>
            <w:r>
              <w:rPr>
                <w:highlight w:val="white"/>
              </w:rP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358" w:type="dxa"/>
            <w:vAlign w:val="center"/>
            <w:textDirection w:val="lrTb"/>
            <w:noWrap w:val="false"/>
          </w:tcPr>
          <w:p>
            <w:pPr>
              <w:pBdr/>
              <w:spacing w:after="0" w:before="0" w:line="240" w:lineRule="auto"/>
              <w:ind w:right="153" w:firstLine="0" w:left="142"/>
              <w:rPr>
                <w:highlight w:val="yellow"/>
              </w:rPr>
            </w:pPr>
            <w:r>
              <w:rPr>
                <w:highlight w:val="yellow"/>
              </w:rPr>
            </w:r>
            <w:r>
              <mc:AlternateContent>
                <mc:Choice Requires="wpg">
                  <w:drawing>
                    <wp:inline xmlns:wp="http://schemas.openxmlformats.org/drawingml/2006/wordprocessingDrawing" distT="0" distB="0" distL="0" distR="0">
                      <wp:extent cx="5499067" cy="294299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37499" name=""/>
                              <pic:cNvPicPr>
                                <a:picLocks noChangeAspect="1"/>
                              </pic:cNvPicPr>
                              <pic:nvPr/>
                            </pic:nvPicPr>
                            <pic:blipFill rotWithShape="1">
                              <a:blip r:embed="rId17"/>
                              <a:stretch/>
                            </pic:blipFill>
                            <pic:spPr bwMode="auto">
                              <a:xfrm flipH="0" flipV="0">
                                <a:off x="0" y="0"/>
                                <a:ext cx="5499066" cy="294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3.00pt;height:231.73pt;mso-wrap-distance-left:0.00pt;mso-wrap-distance-top:0.00pt;mso-wrap-distance-right:0.00pt;mso-wrap-distance-bottom:0.00pt;z-index:1;" stroked="false">
                      <v:imagedata r:id="rId17" o:title=""/>
                      <o:lock v:ext="edit" rotation="t"/>
                    </v:shape>
                  </w:pict>
                </mc:Fallback>
              </mc:AlternateContent>
            </w:r>
            <w:r>
              <w:rPr>
                <w:highlight w:val="yellow"/>
              </w:rPr>
            </w:r>
            <w:r>
              <w:rPr>
                <w:highlight w:val="yellow"/>
              </w:rP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8"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b/>
                <w:color w:val="000000"/>
                <w:sz w:val="24"/>
              </w:rPr>
              <w:t xml:space="preserve">Thông tin về căn hộ</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Diện tích thông thuỷ (m²):</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129,4</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Diện tích tim tường (m²):</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w:t>
            </w:r>
            <w:r/>
          </w:p>
        </w:tc>
      </w:tr>
      <w:tr>
        <w:trPr>
          <w:trHeight w:val="217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Hình thức sở hữu:</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Sở hữu chung của vợ và chồng</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Vị trí:</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Tài sản là căn hộ chung cư số 1110 - tầng 11,  khu nhà ở văn phòng dịch vụ tại  136 Hồ Tùng Mậu, phường Phú Diễn, Thành phố Hà Nội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Vị trí tầng:</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Tầng 11/40</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Số mặt tiền:</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Căn góc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Hướng cửa:</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 Nam</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Hướng ban công: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 Bắc; và Đông</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Cấu trúc:</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3 phòng ngủ, 2 nhà vệ sinh,  phòng khách + nhà bếp</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Nội thất:</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Chưa có nội thất</w:t>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358"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Cấp điện, cấp nước sạch, mạng internet,… hoàn thiện</w:t>
            </w:r>
            <w:r/>
          </w:p>
        </w:tc>
      </w:tr>
      <w:tr>
        <w:trPr>
          <w:trHeight w:val="3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56"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9"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53" w:type="dxa"/>
            <w:vAlign w:val="center"/>
            <w:textDirection w:val="lrTb"/>
            <w:noWrap w:val="false"/>
          </w:tcPr>
          <w:p>
            <w:pPr>
              <w:pBdr/>
              <w:spacing w:after="0" w:before="0" w:line="240" w:lineRule="auto"/>
              <w:ind w:right="153"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1" w:type="dxa"/>
            <w:vAlign w:val="center"/>
            <w:textDirection w:val="lrTb"/>
            <w:noWrap w:val="false"/>
          </w:tcPr>
          <w:p>
            <w:pPr>
              <w:pBdr/>
              <w:spacing w:after="0" w:before="0" w:line="240" w:lineRule="auto"/>
              <w:ind w:right="153" w:firstLine="0" w:left="142"/>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559"/>
        <w:gridCol w:w="1559"/>
        <w:gridCol w:w="2126"/>
        <w:gridCol w:w="1984"/>
        <w:gridCol w:w="1843"/>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2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559"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559"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7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KO2 (Khu B), khu nhà ở văn phòng dịch vụ tại 136 Hồ Tùng Mậu, phường Phú Diễn, Thành phố Hà Nội</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KO2 (Khu B tòa S1)  nhà ở văn phòng dịch vụ tại 136 Hồ Tùng Mậu, phường Phú Diễn, Thành phố Hà Nội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KO2 (khu B, tòa S4) nhà ở văn phòng dịch vụ tại 136 Hồ Tùng Mậu, phường Phú Diễn, Thành phố Hà Nội</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KO1 (khu R, tòa R4) nhà ở văn phòng dịch vụ tại 136 Hồ Tùng Mậu, phường Phú Diễn, Thành phố Hà Nội</w:t>
            </w:r>
            <w:r/>
          </w:p>
        </w:tc>
      </w:tr>
      <w:tr>
        <w:trPr>
          <w:trHeight w:val="3685"/>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hyperlink r:id="rId18" w:tooltip="https://batdongsan.com.vn/ban-can-ho-chung-cu-duong-ho-tung-mau-phuong-phu-dien-goldmark-city/ban-3-ngu-cccc-khu-sapphire-mau-pr45793032?gidzl=T0_MGsnAO3fo6DP6PbLXEdCHq4Dn3cDjQKA047TVCsje5O5685unE6uKZq0W2cjeQ47O6c8iV8TBQaffEW" w:history="1">
              <w:r>
                <w:rPr>
                  <w:rFonts w:ascii="Times New Roman" w:hAnsi="Times New Roman" w:eastAsia="Times New Roman" w:cs="Times New Roman"/>
                  <w:color w:val="000000"/>
                  <w:sz w:val="22"/>
                  <w:szCs w:val="22"/>
                </w:rPr>
                <w:t xml:space="preserve">https://batdongsan.com.vn/ban-can-ho-chung-cu-duong-ho-tung-mau-phuong-phu-dien-goldmark-city/ban-3-ngu-cccc-khu-sapphire-mau-pr45793032?gidzl=T0_MGsnAO3fo6DP6PbLXEdCHq4Dn3cDjQKA047TVCsje5O5685unE6uKZq0W2cjeQ47O6c8iV8TBQaffEW</w:t>
              </w:r>
            </w:hyperlink>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hyperlink r:id="rId19" w:tooltip="https://batdongsan.com.vn/ban-can-ho-chung-cu-duong-ho-tung-mau-phuong-phu-dien-goldmark-city/goc-sieu-ep-full-noi-that-cao-cap-xach-vali-ve-o-luon-pr45711770" w:history="1">
              <w:r>
                <w:rPr>
                  <w:rFonts w:ascii="Times New Roman" w:hAnsi="Times New Roman" w:eastAsia="Times New Roman" w:cs="Times New Roman"/>
                  <w:color w:val="000000"/>
                  <w:sz w:val="22"/>
                  <w:szCs w:val="22"/>
                </w:rPr>
                <w:t xml:space="preserve">https://batdongsan.com.vn/ban-can-ho-chung-cu-duong-ho-tung-mau-phuong-phu-dien-goldmark-city/goc-sieu-ep-full-noi-that-cao-cap-xach-vali-ve-o-luon-pr45711770</w:t>
              </w:r>
            </w:hyperlink>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hyperlink r:id="rId20" w:tooltip="https://batdongsan.com.vn/ban-can-ho-chung-cu-duong-ho-tung-mau-phuong-phu-dien-goldmark-city/ban-goc-136-110m-3pn-view-ep-gia-tot-pr45860280?gidzl=5ugE375MJ14HdOu9UqbD4H2QYGbi74v32idPMcfD7aKBdjWCFKmS5WsVrWez64P62yg1K69IvVClTrP54G" w:history="1">
              <w:r>
                <w:rPr>
                  <w:rFonts w:ascii="Times New Roman" w:hAnsi="Times New Roman" w:eastAsia="Times New Roman" w:cs="Times New Roman"/>
                  <w:color w:val="000000"/>
                  <w:sz w:val="22"/>
                  <w:szCs w:val="22"/>
                </w:rPr>
                <w:t xml:space="preserve">https://batdongsan.com.vn/ban-can-ho-chung-cu-duong-ho-tung-mau-phuong-phu-dien-goldmark-city/ban-goc-136-110m-3pn-view-ep-gia-tot-pr45860280?gidzl=5ugE375MJ14HdOu9UqbD4H2QYGbi74v32idPMcfD7aKBdjWCFKmS5WsVrWez64P62yg1K69IvVClTrP54G</w:t>
              </w:r>
            </w:hyperlink>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0912.599604</w:t>
              <w:br/>
              <w:t xml:space="preserve">(Sale: Kim Chi)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0977.007235</w:t>
              <w:br/>
              <w:t xml:space="preserve">(Sale: Nam Cao)</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0963.467555</w:t>
              <w:br/>
              <w:t xml:space="preserve">(Sale: Trịnh Dũng)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326"/>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GCN</w:t>
            </w:r>
            <w:r>
              <w:rPr>
                <w:b w:val="0"/>
                <w:bCs w:val="0"/>
              </w:rPr>
            </w:r>
            <w:r>
              <w:rPr>
                <w:b w:val="0"/>
                <w:bCs w:val="0"/>
              </w:rP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Có GCN</w:t>
            </w:r>
            <w:r>
              <w:rPr>
                <w:b w:val="0"/>
                <w:bCs w:val="0"/>
              </w:rPr>
            </w:r>
            <w:r>
              <w:rPr>
                <w:b w:val="0"/>
                <w:bCs w:val="0"/>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b w:val="0"/>
                <w:bCs w:val="0"/>
              </w:rPr>
            </w:pPr>
            <w:r>
              <w:rPr>
                <w:b w:val="0"/>
                <w:bCs w:val="0"/>
              </w:rPr>
            </w:r>
            <w:r>
              <w:rPr>
                <w:rFonts w:ascii="Times New Roman" w:hAnsi="Times New Roman" w:eastAsia="Times New Roman" w:cs="Times New Roman"/>
                <w:b w:val="0"/>
                <w:bCs w:val="0"/>
                <w:color w:val="000000"/>
                <w:sz w:val="22"/>
              </w:rPr>
              <w:t xml:space="preserve">Có GCN</w:t>
            </w:r>
            <w:r>
              <w:rPr>
                <w:b w:val="0"/>
                <w:bCs w:val="0"/>
              </w:rPr>
            </w:r>
            <w:r>
              <w:rPr>
                <w:b w:val="0"/>
                <w:bCs w:val="0"/>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val="0"/>
                <w:bCs w:val="0"/>
              </w:rPr>
            </w:pPr>
            <w:r>
              <w:rPr>
                <w:b w:val="0"/>
                <w:bCs w:val="0"/>
              </w:rPr>
            </w:r>
            <w:r>
              <w:rPr>
                <w:rFonts w:ascii="Times New Roman" w:hAnsi="Times New Roman" w:eastAsia="Times New Roman" w:cs="Times New Roman"/>
                <w:b w:val="0"/>
                <w:bCs w:val="0"/>
                <w:color w:val="000000"/>
                <w:sz w:val="22"/>
              </w:rPr>
              <w:t xml:space="preserve">Có GCN</w:t>
            </w:r>
            <w:r>
              <w:rPr>
                <w:b w:val="0"/>
                <w:bCs w:val="0"/>
              </w:rPr>
            </w:r>
            <w:r>
              <w:rPr>
                <w:b w:val="0"/>
                <w:bCs w:val="0"/>
              </w:rP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3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số 1110 - tầng 11,  khu nhà ở văn phòng dịch vụ tại  136 Hồ Tùng Mậu, phường Phú Diễn, Thành phố Hà Nội</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văn phòng dịch vụ tại  136 Hồ Tùng Mậu, phường Phú Diễn, Thành phố Hà Nội</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văn phòng dịch vụ tại  136 Hồ Tùng Mậu, phường Phú Diễn, Thành phố Hà Nội</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văn phòng dịch vụ tại  136 Hồ Tùng Mậu, phường Phú Diễn,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129,4</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113,0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103,7</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110,0</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11/40</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27/40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2/40</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7/40</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phòng khách + nhà bếp</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phòng khách + nhà bếp</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phòng khách + nhà bếp</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Chưa có nội thất</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9.600.000.000</w:t>
            </w:r>
            <w:r/>
          </w:p>
        </w:tc>
        <w:tc>
          <w:tcPr>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8.900.000.000</w:t>
            </w:r>
            <w:r/>
          </w:p>
        </w:tc>
        <w:tc>
          <w:tcPr>
            <w:tcBorders>
              <w:left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8.950.000.000</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8.640.000.000</w:t>
            </w:r>
            <w:r>
              <w:rPr>
                <w:b/>
                <w:bCs/>
              </w:rPr>
            </w:r>
            <w:r>
              <w:rPr>
                <w:b/>
                <w:bCs/>
              </w:rP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8.188.000.000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8.234.000.000</w:t>
            </w:r>
            <w:r>
              <w:rPr>
                <w:b/>
                <w:bCs/>
              </w:rPr>
            </w:r>
            <w:r>
              <w:rPr>
                <w:b/>
                <w:bCs/>
              </w:rP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Đơn giá QSD căn hộ (đồng/m2)</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76.460.177</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78.958.534</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74.854.545</w:t>
            </w:r>
            <w:r>
              <w:rPr>
                <w:b/>
                <w:bCs/>
              </w:rPr>
            </w:r>
            <w:r>
              <w:rPr>
                <w:b/>
                <w:bCs/>
              </w:rP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Loại căn hộ</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1"/>
        <w:gridCol w:w="1701"/>
        <w:gridCol w:w="789"/>
        <w:gridCol w:w="1559"/>
        <w:gridCol w:w="1633"/>
        <w:gridCol w:w="1633"/>
        <w:gridCol w:w="1553"/>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8.640.000.000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8.188.000.000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8.234.000.000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76.460.177</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78.958.534</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74.854.545</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76.460.177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74.854.545 </w:t>
            </w:r>
            <w:r/>
          </w:p>
        </w:tc>
      </w:tr>
      <w:tr>
        <w:trPr>
          <w:trHeight w:val="425"/>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GCN</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GCN</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GCN</w:t>
            </w:r>
            <w:r>
              <w:rPr>
                <w:rFonts w:ascii="Times New Roman" w:hAnsi="Times New Roman" w:eastAsia="Times New Roman" w:cs="Times New Roman"/>
                <w:b/>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GCN</w:t>
            </w:r>
            <w:r>
              <w:rPr>
                <w:rFonts w:ascii="Times New Roman" w:hAnsi="Times New Roman" w:eastAsia="Times New Roman" w:cs="Times New Roman"/>
                <w:b/>
                <w:color w:val="000000"/>
                <w:sz w:val="22"/>
              </w:rPr>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76.460.177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74.854.545 </w:t>
            </w:r>
            <w:r/>
          </w:p>
        </w:tc>
      </w:tr>
      <w:tr>
        <w:trPr>
          <w:trHeight w:val="22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số 1110 - tầng 11,  khu nhà ở văn phòng dịch vụ tại  136 Hồ Tùng Mậu, phường Phú Diễn,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khu nhà ở văn phòng dịch vụ tại  136 Hồ Tùng Mậu, phường Phú Diễn,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khu nhà ở văn phòng dịch vụ tại  136 Hồ Tùng Mậu, phường Phú Diễn, Thành phố Hà Nội</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là căn hộ chung cư khu nhà ở văn phòng dịch vụ tại  136 Hồ Tùng Mậu, phường Phú Diễn, Thành phố Hà Nội</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76.460.177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sàn </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129,4</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113,0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103,7</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76.460.177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Loại căn hộ</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Căn góc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3.823.009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80.283.186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11/40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27/40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2/40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Tầng 7/40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3.947.927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80.283.186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82.906.461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41"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Chưa có nội thất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Nội thất cơ bản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-3.823.009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-3.947.927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-2.245.636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76.460.177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-2.245.636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76.460.177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78.958.534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72.608.909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48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76.009.207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0,6%</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7.646.018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7.895.853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2.245.636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- 3%</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4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7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55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6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15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2.245.636</w:t>
            </w:r>
            <w:r/>
          </w:p>
        </w:tc>
      </w:tr>
    </w:tbl>
    <w:p>
      <w:pPr>
        <w:pBdr/>
        <w:spacing w:after="120" w:before="120" w:line="276" w:lineRule="auto"/>
        <w:ind/>
        <w:jc w:val="both"/>
        <w:rPr>
          <w:b/>
          <w:bCs/>
          <w:i/>
          <w:iCs/>
          <w:highlight w:val="none"/>
        </w:rPr>
      </w:pP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-4,5</w:t>
      </w:r>
      <w:r>
        <w:t xml:space="preserve">% đến</w:t>
      </w:r>
      <w:r>
        <w:t xml:space="preserve"> </w:t>
      </w:r>
      <w:r>
        <w:t xml:space="preserve">3,9%,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15"/>
        <w:gridCol w:w="2111"/>
        <w:gridCol w:w="2123"/>
        <w:gridCol w:w="2117"/>
        <w:gridCol w:w="2124"/>
      </w:tblGrid>
      <w:tr>
        <w:trPr>
          <w:trHeight w:val="11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0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05"/>
        </w:trPr>
        <w:tc>
          <w:tcPr>
            <w:tcBorders>
              <w:left w:val="single" w:color="000000" w:sz="6" w:space="0"/>
              <w:bottom w:val="single" w:color="000000" w:sz="6" w:space="0"/>
              <w:right w:val="single" w:color="000000" w:sz="6" w:space="0"/>
            </w:tcBorders>
            <w:tcMar>
              <w:left w:w="0" w:type="dxa"/>
              <w:top w:w="0" w:type="dxa"/>
              <w:right w:w="0" w:type="dxa"/>
              <w:bottom w:w="0" w:type="dxa"/>
            </w:tcMar>
            <w:tcW w:w="10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0" w:type="dxa"/>
              <w:top w:w="0" w:type="dxa"/>
              <w:right w:w="0" w:type="dxa"/>
              <w:bottom w:w="0" w:type="dxa"/>
            </w:tcMar>
            <w:tcW w:w="21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76.460.177</w:t>
            </w:r>
            <w:r/>
          </w:p>
        </w:tc>
        <w:tc>
          <w:tcPr>
            <w:tcBorders>
              <w:bottom w:val="single" w:color="000000" w:sz="6" w:space="0"/>
              <w:right w:val="single" w:color="000000" w:sz="6" w:space="0"/>
            </w:tcBorders>
            <w:tcMar>
              <w:left w:w="0" w:type="dxa"/>
              <w:top w:w="0" w:type="dxa"/>
              <w:right w:w="0" w:type="dxa"/>
              <w:bottom w:w="0" w:type="dxa"/>
            </w:tcMar>
            <w:tcW w:w="21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1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25.486.726</w:t>
            </w:r>
            <w:r/>
          </w:p>
        </w:tc>
      </w:tr>
      <w:tr>
        <w:trPr>
          <w:trHeight w:val="305"/>
        </w:trPr>
        <w:tc>
          <w:tcPr>
            <w:tcBorders>
              <w:left w:val="single" w:color="000000" w:sz="6" w:space="0"/>
              <w:bottom w:val="single" w:color="000000" w:sz="6" w:space="0"/>
              <w:right w:val="single" w:color="000000" w:sz="6" w:space="0"/>
            </w:tcBorders>
            <w:tcMar>
              <w:left w:w="0" w:type="dxa"/>
              <w:top w:w="0" w:type="dxa"/>
              <w:right w:w="0" w:type="dxa"/>
              <w:bottom w:w="0" w:type="dxa"/>
            </w:tcMar>
            <w:tcW w:w="10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21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78.958.534</w:t>
            </w:r>
            <w:r/>
          </w:p>
        </w:tc>
        <w:tc>
          <w:tcPr>
            <w:tcBorders>
              <w:bottom w:val="single" w:color="000000" w:sz="6" w:space="0"/>
              <w:right w:val="single" w:color="000000" w:sz="6" w:space="0"/>
            </w:tcBorders>
            <w:tcMar>
              <w:left w:w="0" w:type="dxa"/>
              <w:top w:w="0" w:type="dxa"/>
              <w:right w:w="0" w:type="dxa"/>
              <w:bottom w:w="0" w:type="dxa"/>
            </w:tcMar>
            <w:tcW w:w="21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1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26.319.511</w:t>
            </w:r>
            <w:r/>
          </w:p>
        </w:tc>
      </w:tr>
      <w:tr>
        <w:trPr>
          <w:trHeight w:val="305"/>
        </w:trPr>
        <w:tc>
          <w:tcPr>
            <w:tcBorders>
              <w:left w:val="single" w:color="000000" w:sz="6" w:space="0"/>
              <w:bottom w:val="single" w:color="000000" w:sz="6" w:space="0"/>
              <w:right w:val="single" w:color="000000" w:sz="6" w:space="0"/>
            </w:tcBorders>
            <w:tcMar>
              <w:left w:w="0" w:type="dxa"/>
              <w:top w:w="0" w:type="dxa"/>
              <w:right w:w="0" w:type="dxa"/>
              <w:bottom w:w="0" w:type="dxa"/>
            </w:tcMar>
            <w:tcW w:w="10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21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0" w:type="dxa"/>
              <w:top w:w="0" w:type="dxa"/>
              <w:right w:w="0" w:type="dxa"/>
              <w:bottom w:w="0" w:type="dxa"/>
            </w:tcMar>
            <w:tcW w:w="21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72.608.909</w:t>
            </w:r>
            <w:r/>
          </w:p>
        </w:tc>
        <w:tc>
          <w:tcPr>
            <w:tcBorders>
              <w:bottom w:val="single" w:color="000000" w:sz="6" w:space="0"/>
              <w:right w:val="single" w:color="000000" w:sz="6" w:space="0"/>
            </w:tcBorders>
            <w:tcMar>
              <w:left w:w="0" w:type="dxa"/>
              <w:top w:w="0" w:type="dxa"/>
              <w:right w:w="0" w:type="dxa"/>
              <w:bottom w:w="0" w:type="dxa"/>
            </w:tcMar>
            <w:tcW w:w="21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0" w:type="dxa"/>
              <w:top w:w="0" w:type="dxa"/>
              <w:right w:w="0" w:type="dxa"/>
              <w:bottom w:w="0" w:type="dxa"/>
            </w:tcMar>
            <w:tcW w:w="21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24.202.970</w:t>
            </w:r>
            <w:r/>
          </w:p>
        </w:tc>
      </w:tr>
      <w:tr>
        <w:trPr>
          <w:trHeight w:val="295"/>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0" w:type="dxa"/>
              <w:top w:w="0" w:type="dxa"/>
              <w:right w:w="0" w:type="dxa"/>
              <w:bottom w:w="0" w:type="dxa"/>
            </w:tcMar>
            <w:tcW w:w="21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76.009.207</w:t>
            </w:r>
            <w:r/>
          </w:p>
        </w:tc>
      </w:tr>
      <w:tr>
        <w:trPr>
          <w:trHeight w:val="295"/>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1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76.000.000</w:t>
            </w:r>
            <w:r/>
          </w:p>
        </w:tc>
      </w:tr>
    </w:tbl>
    <w:p>
      <w:pPr>
        <w:pBdr/>
        <w:spacing w:after="120" w:before="120" w:line="33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76.000.000</w:t>
      </w:r>
      <w:r>
        <w:rPr>
          <w:b/>
          <w:bCs/>
          <w:color w:val="000000" w:themeColor="text1"/>
        </w:rPr>
        <w:t xml:space="preserve"> </w:t>
      </w:r>
      <w:r>
        <w:rPr>
          <w:b/>
          <w:bCs/>
        </w:rPr>
        <w:t xml:space="preserve">đồng/m².</w:t>
      </w:r>
      <w:r>
        <w:rPr>
          <w:b/>
          <w:bCs/>
          <w:highlight w:val="none"/>
        </w:rPr>
      </w:r>
      <w:r>
        <w:rPr>
          <w:b/>
          <w:bCs/>
          <w:highlight w:val="none"/>
        </w:rPr>
      </w:r>
    </w:p>
    <w:p>
      <w:pPr>
        <w:pStyle w:val="1025"/>
        <w:numPr>
          <w:ilvl w:val="0"/>
          <w:numId w:val="26"/>
        </w:numPr>
        <w:pBdr/>
        <w:spacing w:after="120" w:before="120" w:line="33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33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rPr>
          <w:highlight w:val="none"/>
        </w:rPr>
      </w:r>
      <w:r>
        <w:rPr>
          <w:highlight w:val="none"/>
        </w:rPr>
      </w:r>
    </w:p>
    <w:p>
      <w:pPr>
        <w:pStyle w:val="1025"/>
        <w:pBdr/>
        <w:tabs>
          <w:tab w:val="left" w:leader="none" w:pos="993"/>
        </w:tabs>
        <w:spacing w:after="120" w:before="120" w:line="336" w:lineRule="auto"/>
        <w:ind w:left="0"/>
        <w:jc w:val="both"/>
        <w:rPr>
          <w:highlight w:val="none"/>
        </w:rPr>
      </w:pPr>
      <w:r>
        <w:rPr>
          <w:highlight w:val="none"/>
        </w:rPr>
      </w:r>
      <w:r>
        <w:rPr>
          <w:highlight w:val="none"/>
        </w:rPr>
      </w:r>
      <w:r>
        <w:rPr>
          <w:highlight w:val="none"/>
        </w:rPr>
      </w:r>
    </w:p>
    <w:p>
      <w:pPr>
        <w:pStyle w:val="1025"/>
        <w:pBdr/>
        <w:tabs>
          <w:tab w:val="left" w:leader="none" w:pos="993"/>
        </w:tabs>
        <w:spacing w:after="120" w:before="120" w:line="336" w:lineRule="auto"/>
        <w:ind w:left="0"/>
        <w:jc w:val="both"/>
        <w:rPr>
          <w:highlight w:val="none"/>
        </w:rPr>
      </w:pPr>
      <w:r>
        <w:rPr>
          <w:highlight w:val="none"/>
        </w:rPr>
      </w:r>
      <w:r>
        <w:rPr>
          <w:highlight w:val="none"/>
        </w:rPr>
      </w:r>
      <w:r>
        <w:rPr>
          <w:highlight w:val="none"/>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8"/>
        <w:gridCol w:w="2873"/>
        <w:gridCol w:w="1926"/>
        <w:gridCol w:w="2000"/>
        <w:gridCol w:w="2090"/>
      </w:tblGrid>
      <w:tr>
        <w:trPr>
          <w:trHeight w:val="715"/>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7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9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24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99" w:type="dxa"/>
            <w:vAlign w:val="center"/>
            <w:textDirection w:val="lrTb"/>
            <w:noWrap w:val="false"/>
          </w:tcPr>
          <w:p>
            <w:pPr>
              <w:pBdr/>
              <w:spacing w:after="0" w:before="0" w:line="276" w:lineRule="auto"/>
              <w:ind w:right="108" w:firstLine="0" w:left="142"/>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z w:val="24"/>
              </w:rPr>
              <w:t xml:space="preserve">Quyền sở h</w:t>
            </w:r>
            <w:r>
              <w:rPr>
                <w:rFonts w:ascii="Times New Roman" w:hAnsi="Times New Roman" w:eastAsia="Times New Roman" w:cs="Times New Roman"/>
                <w:b/>
                <w:bCs/>
                <w:color w:val="000000"/>
                <w:sz w:val="24"/>
              </w:rPr>
              <w:t xml:space="preserve">ữu căn hộ chung cư số 1110 - Toà nhà Sapphire 1, địa chỉ: Khu KO2 (Khu B), khu nhà ở văn phòng dịch vụ tại 136 Hồ Tùng Mậu, phường Phú Diễn, Thành phố Hà Nội theo Giấy chứng nhận quyền sử dụng đất, quyền sở hữu tài sản gắn liền với đất số: AA 06988642, số </w:t>
            </w:r>
            <w:r>
              <w:rPr>
                <w:rFonts w:ascii="Times New Roman" w:hAnsi="Times New Roman" w:eastAsia="Times New Roman" w:cs="Times New Roman"/>
                <w:b/>
                <w:bCs/>
                <w:color w:val="000000"/>
                <w:sz w:val="24"/>
              </w:rPr>
              <w:t xml:space="preserve">vào sổ cấp GCN: VP 75183 do Văn phòng Đăng ký Đất đai Hà Nội cấp ngày 28/5/2026; Chủ sở hữu căn hộ là Ông Dương Trần Khánh và Bà Lê Thị Thu Hương</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2090"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44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873"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4"/>
              </w:rPr>
              <w:t xml:space="preserve">Căn hộ chung cư</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129,4</w:t>
            </w:r>
            <w:r/>
          </w:p>
        </w:tc>
        <w:tc>
          <w:tcPr>
            <w:shd w:val="clear" w:color="ffffff" w:fill="ffffff"/>
            <w:tcBorders>
              <w:bottom w:val="single" w:color="000000" w:sz="6" w:space="0"/>
              <w:right w:val="single" w:color="000000" w:sz="6" w:space="0"/>
            </w:tcBorders>
            <w:tcMar>
              <w:left w:w="0" w:type="dxa"/>
              <w:top w:w="0" w:type="dxa"/>
              <w:right w:w="0" w:type="dxa"/>
              <w:bottom w:w="0" w:type="dxa"/>
            </w:tcMar>
            <w:tcW w:w="2000" w:type="dxa"/>
            <w:vAlign w:val="center"/>
            <w:textDirection w:val="lrTb"/>
            <w:noWrap w:val="false"/>
          </w:tcPr>
          <w:p>
            <w:pPr>
              <w:pBdr/>
              <w:spacing w:after="0" w:before="0" w:line="240" w:lineRule="auto"/>
              <w:ind w:right="0" w:firstLine="0" w:left="142"/>
              <w:jc w:val="center"/>
              <w:rPr/>
            </w:pPr>
            <w:r>
              <w:rPr>
                <w:rFonts w:ascii="Times New Roman" w:hAnsi="Times New Roman" w:eastAsia="Times New Roman" w:cs="Times New Roman"/>
                <w:color w:val="000000"/>
                <w:sz w:val="24"/>
              </w:rPr>
              <w:t xml:space="preserve">76.000.000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090" w:type="dxa"/>
            <w:vAlign w:val="center"/>
            <w:textDirection w:val="lrTb"/>
            <w:noWrap w:val="false"/>
          </w:tcPr>
          <w:p>
            <w:pPr>
              <w:pBdr/>
              <w:spacing w:after="0" w:before="0" w:line="240" w:lineRule="auto"/>
              <w:ind w:right="107" w:firstLine="0" w:left="0"/>
              <w:jc w:val="right"/>
              <w:rPr/>
            </w:pPr>
            <w:r>
              <w:rPr>
                <w:rFonts w:ascii="Times New Roman" w:hAnsi="Times New Roman" w:eastAsia="Times New Roman" w:cs="Times New Roman"/>
                <w:color w:val="000000"/>
                <w:sz w:val="24"/>
              </w:rPr>
              <w:t xml:space="preserve">9.834.400.000</w:t>
            </w:r>
            <w:r/>
          </w:p>
        </w:tc>
      </w:tr>
      <w:tr>
        <w:trPr>
          <w:trHeight w:val="414"/>
        </w:trPr>
        <w:tc>
          <w:tcPr>
            <w:gridSpan w:val="4"/>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407"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90" w:type="dxa"/>
            <w:vAlign w:val="center"/>
            <w:vMerge w:val="restart"/>
            <w:textDirection w:val="lrTb"/>
            <w:noWrap w:val="false"/>
          </w:tcPr>
          <w:p>
            <w:pPr>
              <w:pBdr/>
              <w:spacing w:after="0" w:before="0" w:line="240" w:lineRule="auto"/>
              <w:ind w:right="107" w:firstLine="0" w:left="0"/>
              <w:jc w:val="right"/>
              <w:rPr>
                <w:rFonts w:ascii="Times New Roman" w:hAnsi="Times New Roman" w:eastAsia="Times New Roman" w:cs="Times New Roman"/>
                <w:b/>
                <w:bCs/>
                <w:color w:val="000000"/>
                <w:sz w:val="24"/>
              </w:rPr>
            </w:pPr>
            <w:r>
              <w:rPr>
                <w:rFonts w:ascii="Times New Roman" w:hAnsi="Times New Roman" w:eastAsia="Times New Roman" w:cs="Times New Roman"/>
                <w:b/>
                <w:bCs/>
                <w:color w:val="000000"/>
                <w:sz w:val="24"/>
              </w:rPr>
              <w:t xml:space="preserve">9.834.400.000</w:t>
            </w: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r>
          </w:p>
        </w:tc>
      </w:tr>
      <w:tr>
        <w:trPr>
          <w:trHeight w:val="436"/>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4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tám trăm ba mươi bốn triệu, bốn trăm nghìn đồng chẵn ./.)</w:t>
            </w:r>
            <w:r>
              <w:rPr>
                <w:rFonts w:ascii="Times New Roman" w:hAnsi="Times New Roman" w:eastAsia="Times New Roman" w:cs="Times New Roman"/>
                <w:b/>
                <w:i/>
                <w:color w:val="000000"/>
                <w:sz w:val="24"/>
              </w:rPr>
            </w:r>
            <w:r/>
          </w:p>
        </w:tc>
      </w:tr>
    </w:tbl>
    <w:p>
      <w:pPr>
        <w:pStyle w:val="1025"/>
        <w:pBdr/>
        <w:tabs>
          <w:tab w:val="left" w:leader="none" w:pos="993"/>
        </w:tabs>
        <w:spacing w:after="120" w:before="120" w:line="312"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25"/>
        <w:numPr>
          <w:ilvl w:val="0"/>
          <w:numId w:val="4"/>
        </w:numPr>
        <w:pBdr/>
        <w:tabs>
          <w:tab w:val="left" w:leader="none" w:pos="993"/>
        </w:tabs>
        <w:spacing w:after="120" w:before="120" w:line="312"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31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31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31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31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31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312"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31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31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312"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275/2026/0869/VFI-CT.57.A</w:t>
      </w:r>
      <w:r>
        <w:rPr>
          <w:color w:val="ff0000"/>
          <w:lang w:val="vi-VN"/>
        </w:rPr>
        <w:t xml:space="preserve"> </w:t>
      </w:r>
      <w:r>
        <w:rPr>
          <w:color w:val="000000" w:themeColor="text1"/>
        </w:rPr>
        <w:t xml:space="preserve">ngày 10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275/2026/0869/VFI-BC.57.A</w:t>
      </w:r>
      <w:r>
        <w:rPr>
          <w:i/>
          <w:lang w:val="pt-BR"/>
        </w:rPr>
        <w:t xml:space="preserve"> </w:t>
      </w:r>
      <w:r>
        <w:rPr>
          <w:i/>
          <w:lang w:val="pt-BR"/>
        </w:rPr>
        <w:t xml:space="preserve">ngày 10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Cửa căn hộ</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04546" cy="26098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409902" name=""/>
                              <pic:cNvPicPr>
                                <a:picLocks noChangeAspect="1"/>
                              </pic:cNvPicPr>
                              <pic:nvPr/>
                            </pic:nvPicPr>
                            <pic:blipFill rotWithShape="1">
                              <a:blip r:embed="rId21"/>
                              <a:stretch/>
                            </pic:blipFill>
                            <pic:spPr bwMode="auto">
                              <a:xfrm flipH="0" flipV="0">
                                <a:off x="0" y="0"/>
                                <a:ext cx="1204545" cy="2609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4.85pt;height:205.50pt;mso-wrap-distance-left:0.00pt;mso-wrap-distance-top:0.00pt;mso-wrap-distance-right:0.00pt;mso-wrap-distance-bottom:0.00pt;z-index:1;" stroked="false">
                      <v:imagedata r:id="rId21" o:title=""/>
                      <o:lock v:ext="edit" rotation="t"/>
                    </v:shape>
                  </w:pict>
                </mc:Fallback>
              </mc:AlternateContent>
            </w:r>
            <w:r>
              <mc:AlternateContent>
                <mc:Choice Requires="wpg">
                  <w:drawing>
                    <wp:inline xmlns:wp="http://schemas.openxmlformats.org/drawingml/2006/wordprocessingDrawing" distT="0" distB="0" distL="0" distR="0">
                      <wp:extent cx="1204546" cy="26098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1634" name=""/>
                              <pic:cNvPicPr>
                                <a:picLocks noChangeAspect="1"/>
                              </pic:cNvPicPr>
                              <pic:nvPr/>
                            </pic:nvPicPr>
                            <pic:blipFill rotWithShape="1">
                              <a:blip r:embed="rId22"/>
                              <a:stretch/>
                            </pic:blipFill>
                            <pic:spPr bwMode="auto">
                              <a:xfrm flipH="0" flipV="0">
                                <a:off x="0" y="0"/>
                                <a:ext cx="1204545" cy="2609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4.85pt;height:205.5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8330" cy="171624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76795" name=""/>
                              <pic:cNvPicPr>
                                <a:picLocks noChangeAspect="1"/>
                              </pic:cNvPicPr>
                              <pic:nvPr/>
                            </pic:nvPicPr>
                            <pic:blipFill rotWithShape="1">
                              <a:blip r:embed="rId23"/>
                              <a:stretch/>
                            </pic:blipFill>
                            <pic:spPr bwMode="auto">
                              <a:xfrm flipH="0" flipV="0">
                                <a:off x="0" y="0"/>
                                <a:ext cx="2288329" cy="1716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18pt;height:135.1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Phòng khách</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7317" cy="19704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23031" name=""/>
                              <pic:cNvPicPr>
                                <a:picLocks noChangeAspect="1"/>
                              </pic:cNvPicPr>
                              <pic:nvPr/>
                            </pic:nvPicPr>
                            <pic:blipFill rotWithShape="1">
                              <a:blip r:embed="rId24"/>
                              <a:stretch/>
                            </pic:blipFill>
                            <pic:spPr bwMode="auto">
                              <a:xfrm flipH="0" flipV="0">
                                <a:off x="0" y="0"/>
                                <a:ext cx="2627316" cy="19704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6.88pt;height:155.16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9766" cy="188232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701024" name=""/>
                              <pic:cNvPicPr>
                                <a:picLocks noChangeAspect="1"/>
                              </pic:cNvPicPr>
                              <pic:nvPr/>
                            </pic:nvPicPr>
                            <pic:blipFill rotWithShape="1">
                              <a:blip r:embed="rId25"/>
                              <a:stretch/>
                            </pic:blipFill>
                            <pic:spPr bwMode="auto">
                              <a:xfrm flipH="0" flipV="0">
                                <a:off x="0" y="0"/>
                                <a:ext cx="2509764" cy="1882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7.62pt;height:148.2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Nhà vệ sinh</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tòa nhà</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8123" cy="197859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178757" name=""/>
                              <pic:cNvPicPr>
                                <a:picLocks noChangeAspect="1"/>
                              </pic:cNvPicPr>
                              <pic:nvPr/>
                            </pic:nvPicPr>
                            <pic:blipFill rotWithShape="1">
                              <a:blip r:embed="rId26"/>
                              <a:stretch/>
                            </pic:blipFill>
                            <pic:spPr bwMode="auto">
                              <a:xfrm flipH="0" flipV="0">
                                <a:off x="0" y="0"/>
                                <a:ext cx="2638122" cy="1978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7.73pt;height:155.79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0517" cy="213244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40069" name=""/>
                              <pic:cNvPicPr>
                                <a:picLocks noChangeAspect="1"/>
                              </pic:cNvPicPr>
                              <pic:nvPr/>
                            </pic:nvPicPr>
                            <pic:blipFill rotWithShape="1">
                              <a:blip r:embed="rId27"/>
                              <a:stretch/>
                            </pic:blipFill>
                            <pic:spPr bwMode="auto">
                              <a:xfrm flipH="0" flipV="0">
                                <a:off x="0" y="0"/>
                                <a:ext cx="2830516" cy="21324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88pt;height:167.91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275/2026/0869/VFI-BC.57.A</w:t>
      </w:r>
      <w:r>
        <w:rPr>
          <w:i/>
          <w:lang w:val="pt-BR"/>
        </w:rPr>
        <w:t xml:space="preserve"> ngày</w:t>
      </w:r>
      <w:r>
        <w:rPr>
          <w:i/>
          <w:lang w:val="pt-BR"/>
        </w:rPr>
        <w:t xml:space="preserve"> 10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3260"/>
        <w:gridCol w:w="5812"/>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260"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581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6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2"/>
              </w:rPr>
              <w:t xml:space="preserve">ttps://batdongsan.com.vn/ban-can-ho-chung-cu-duong-ho-tung-mau-phuong-phu-dien-goldmark-city/ban-3-ngu-cccc-khu-sapphire-mau-pr45793032?gidzl=T0_MGsnAO3fo6DP6PbLXEdCHq4Dn3cDjQKA047TVCsje5O5685unE6uKZq0W2cjeQ47O6c8iV8TBQaffEW - SĐT: 0912.599604</w:t>
              <w:br/>
              <w:t xml:space="preserve">(Sale: Kim C</w:t>
            </w:r>
            <w:r>
              <w:rPr>
                <w:rFonts w:ascii="Times New Roman" w:hAnsi="Times New Roman" w:eastAsia="Times New Roman" w:cs="Times New Roman"/>
                <w:color w:val="000000"/>
                <w:sz w:val="22"/>
              </w:rPr>
              <w:t xml:space="preserve">hi)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9.600.000.000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8.640.000.000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văn phòng dịch vụ tại  136 Hồ Tùng Mậu, phường Phú Diễn,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27/40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26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581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2"/>
        </w:trPr>
        <w:tc>
          <w:tcPr>
            <w:gridSpan w:val="3"/>
            <w:tcBorders>
              <w:right w:val="single" w:color="000000" w:sz="4" w:space="0"/>
            </w:tcBorders>
            <w:tcMar>
              <w:left w:w="0" w:type="dxa"/>
              <w:top w:w="0" w:type="dxa"/>
              <w:right w:w="0" w:type="dxa"/>
              <w:bottom w:w="0" w:type="dxa"/>
            </w:tcMar>
            <w:tcW w:w="9525" w:type="dxa"/>
            <w:vAlign w:val="bottom"/>
            <w:textDirection w:val="lrTb"/>
            <w:noWrap/>
          </w:tcPr>
          <w:p>
            <w:pPr>
              <w:pBdr/>
              <w:spacing w:after="0" w:before="0" w:line="240" w:lineRule="auto"/>
              <w:ind/>
              <w:rPr/>
            </w:pPr>
            <w:r>
              <mc:AlternateContent>
                <mc:Choice Requires="wpg">
                  <w:drawing>
                    <wp:inline xmlns:wp="http://schemas.openxmlformats.org/drawingml/2006/wordprocessingDrawing" distT="0" distB="0" distL="0" distR="0">
                      <wp:extent cx="3233576" cy="16142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43058" name=""/>
                              <pic:cNvPicPr>
                                <a:picLocks noChangeAspect="1"/>
                              </pic:cNvPicPr>
                              <pic:nvPr/>
                            </pic:nvPicPr>
                            <pic:blipFill rotWithShape="1">
                              <a:blip r:embed="rId28"/>
                              <a:stretch/>
                            </pic:blipFill>
                            <pic:spPr bwMode="auto">
                              <a:xfrm flipH="0" flipV="0">
                                <a:off x="0" y="0"/>
                                <a:ext cx="3233576" cy="1614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4.61pt;height:127.11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243638" cy="163133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19336" name=""/>
                              <pic:cNvPicPr>
                                <a:picLocks noChangeAspect="1"/>
                              </pic:cNvPicPr>
                              <pic:nvPr/>
                            </pic:nvPicPr>
                            <pic:blipFill rotWithShape="1">
                              <a:blip r:embed="rId29"/>
                              <a:stretch/>
                            </pic:blipFill>
                            <pic:spPr bwMode="auto">
                              <a:xfrm flipH="0" flipV="0">
                                <a:off x="0" y="0"/>
                                <a:ext cx="2243638" cy="1631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6.66pt;height:128.45pt;mso-wrap-distance-left:0.00pt;mso-wrap-distance-top:0.00pt;mso-wrap-distance-right:0.00pt;mso-wrap-distance-bottom:0.00pt;z-index:1;" stroked="false">
                      <v:imagedata r:id="rId29" o:title=""/>
                      <o:lock v:ext="edit" rotation="t"/>
                    </v:shape>
                  </w:pict>
                </mc:Fallback>
              </mc:AlternateContent>
            </w:r>
            <w:r/>
          </w:p>
          <w:p>
            <w:pPr>
              <w:pBdr/>
              <w:spacing/>
              <w:ind/>
              <w:rPr/>
            </w:p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bl>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6"/>
        <w:gridCol w:w="3118"/>
        <w:gridCol w:w="6865"/>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1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686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https://batdongsan.com.vn/ban-can-ho-chung-cu-duong-ho-tung-mau-phuong-phu-dien-goldmark-city/goc-sieu-ep-full-noi-that-cao-cap-xach-vali-ve-o-luon-pr45711770 - SĐT: 0977007235</w:t>
              <w:br/>
              <w:t xml:space="preserve">(Sale: Nam Cao)</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8.900.000.000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8.188.000.000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văn phòng dịch vụ tại  136 Hồ Tùng Mậu, phường Phú Diễn,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103,7</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2/40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61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686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160"/>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1060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6048375" cy="211837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1340" name=""/>
                              <pic:cNvPicPr>
                                <a:picLocks noChangeAspect="1"/>
                              </pic:cNvPicPr>
                              <pic:nvPr/>
                            </pic:nvPicPr>
                            <pic:blipFill rotWithShape="1">
                              <a:blip r:embed="rId30"/>
                              <a:stretch/>
                            </pic:blipFill>
                            <pic:spPr bwMode="auto">
                              <a:xfrm>
                                <a:off x="0" y="0"/>
                                <a:ext cx="6048374" cy="2118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166.8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sz w:val="22"/>
              </w:rPr>
              <w:t xml:space="preserve"> </w:t>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3118"/>
        <w:gridCol w:w="5954"/>
      </w:tblGrid>
      <w:tr>
        <w:trPr>
          <w:trHeight w:val="28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0" w:type="dxa"/>
              <w:top w:w="0" w:type="dxa"/>
              <w:right w:w="0" w:type="dxa"/>
              <w:bottom w:w="0" w:type="dxa"/>
            </w:tcMar>
            <w:tcW w:w="311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0" w:type="dxa"/>
              <w:top w:w="0" w:type="dxa"/>
              <w:right w:w="0" w:type="dxa"/>
              <w:bottom w:w="0" w:type="dxa"/>
            </w:tcMar>
            <w:tcW w:w="5954"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6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https://batdongsan.com.vn/ban-can-ho-chung-cu-duong-ho-tung-mau-phuong-phu-dien-goldmark-city/ban-goc-136-110m-3pn-view-ep-gia-tot-pr45860280?gidzl=5ugE375MJ14HdOu9UqbD4H2QYGbi74v32idPMcfD7aKBdjWCFKmS5WsVrWez64P62yg1K69IvVClTrP54G - SĐT: 0963467555</w:t>
              <w:br/>
              <w:t xml:space="preserve">(Sale: </w:t>
            </w:r>
            <w:r>
              <w:rPr>
                <w:rFonts w:ascii="Times New Roman" w:hAnsi="Times New Roman" w:eastAsia="Times New Roman" w:cs="Times New Roman"/>
                <w:color w:val="000000"/>
                <w:sz w:val="22"/>
              </w:rPr>
              <w:t xml:space="preserve">Trịnh Dũng)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8.950.000.000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8.234.000.000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văn phòng dịch vụ tại  136 Hồ Tùng Mậu, phường Phú Diễn, Thành phố Hà Nội</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7/40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0" w:type="dxa"/>
              <w:top w:w="0" w:type="dxa"/>
              <w:right w:w="0" w:type="dxa"/>
              <w:bottom w:w="0" w:type="dxa"/>
            </w:tcMar>
            <w:tcW w:w="595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680"/>
        </w:trPr>
        <w:tc>
          <w:tcPr>
            <w:gridSpan w:val="3"/>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9525"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6048375" cy="199295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43044" name=""/>
                              <pic:cNvPicPr>
                                <a:picLocks noChangeAspect="1"/>
                              </pic:cNvPicPr>
                              <pic:nvPr/>
                            </pic:nvPicPr>
                            <pic:blipFill rotWithShape="1">
                              <a:blip r:embed="rId31"/>
                              <a:stretch/>
                            </pic:blipFill>
                            <pic:spPr bwMode="auto">
                              <a:xfrm>
                                <a:off x="0" y="0"/>
                                <a:ext cx="6048374" cy="1992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156.93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2"/>
              </w:rPr>
              <w:t xml:space="preserve"> </w:t>
            </w: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iCs/>
          <w:highlight w:val="none"/>
          <w:lang w:val="pt-BR"/>
        </w:rPr>
      </w:pPr>
      <w:r>
        <w:rPr>
          <w:iCs/>
          <w:lang w:val="pt-BR"/>
        </w:rPr>
        <w:t xml:space="preserve">                                                          </w:t>
      </w:r>
      <w:r>
        <w:rPr>
          <w:b/>
          <w:bCs/>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839899" cy="781480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81855" name=""/>
                        <pic:cNvPicPr>
                          <a:picLocks noChangeAspect="1"/>
                        </pic:cNvPicPr>
                        <pic:nvPr/>
                      </pic:nvPicPr>
                      <pic:blipFill rotWithShape="1">
                        <a:blip r:embed="rId32"/>
                        <a:stretch/>
                      </pic:blipFill>
                      <pic:spPr bwMode="auto">
                        <a:xfrm flipH="0" flipV="0">
                          <a:off x="0" y="0"/>
                          <a:ext cx="5839899" cy="78148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9.83pt;height:615.34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64461" cy="78766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36862" name=""/>
                        <pic:cNvPicPr>
                          <a:picLocks noChangeAspect="1"/>
                        </pic:cNvPicPr>
                        <pic:nvPr/>
                      </pic:nvPicPr>
                      <pic:blipFill rotWithShape="1">
                        <a:blip r:embed="rId33"/>
                        <a:stretch/>
                      </pic:blipFill>
                      <pic:spPr bwMode="auto">
                        <a:xfrm flipH="0" flipV="0">
                          <a:off x="0" y="0"/>
                          <a:ext cx="5964461" cy="7876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9.64pt;height:620.21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b/>
          <w:bCs/>
          <w:highlight w:val="none"/>
        </w:rPr>
      </w:pPr>
      <w:r>
        <w:rPr>
          <w:iCs/>
          <w:highlight w:val="none"/>
          <w:lang w:val="pt-BR" w:bidi="pt-BR"/>
        </w:rPr>
        <w:t xml:space="preserve">                                                  </w:t>
      </w:r>
      <w:r>
        <w:rPr>
          <w:b/>
          <w:bCs/>
          <w:iCs/>
          <w:highlight w:val="none"/>
          <w:lang w:val="pt-BR" w:bidi="pt-BR"/>
        </w:rPr>
        <w:t xml:space="preserve">     BIÊN BẢN KHẢO SÁT</w:t>
      </w:r>
      <w:r>
        <w:rPr>
          <w:b/>
          <w:bCs/>
          <w:highlight w:val="none"/>
        </w:rPr>
      </w:r>
      <w:r>
        <w:rPr>
          <w:b/>
          <w:bCs/>
          <w:highlight w:val="none"/>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5991225" cy="782955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58264" name=""/>
                        <pic:cNvPicPr>
                          <a:picLocks noChangeAspect="1"/>
                        </pic:cNvPicPr>
                        <pic:nvPr/>
                      </pic:nvPicPr>
                      <pic:blipFill rotWithShape="1">
                        <a:blip r:embed="rId34"/>
                        <a:stretch/>
                      </pic:blipFill>
                      <pic:spPr bwMode="auto">
                        <a:xfrm>
                          <a:off x="0" y="0"/>
                          <a:ext cx="5991224" cy="7829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1.75pt;height:616.50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duong-ho-tung-mau-phuong-phu-dien-goldmark-city/ban-3-ngu-cccc-khu-sapphire-mau-pr45793032?gidzl=T0_MGsnAO3fo6DP6PbLXEdCHq4Dn3cDjQKA047TVCsje5O5685unE6uKZq0W2cjeQ47O6c8iV8TBQaffEW" TargetMode="External"/><Relationship Id="rId19" Type="http://schemas.openxmlformats.org/officeDocument/2006/relationships/hyperlink" Target="https://batdongsan.com.vn/ban-can-ho-chung-cu-duong-ho-tung-mau-phuong-phu-dien-goldmark-city/goc-sieu-ep-full-noi-that-cao-cap-xach-vali-ve-o-luon-pr45711770" TargetMode="External"/><Relationship Id="rId20" Type="http://schemas.openxmlformats.org/officeDocument/2006/relationships/hyperlink" Target="https://batdongsan.com.vn/ban-can-ho-chung-cu-duong-ho-tung-mau-phuong-phu-dien-goldmark-city/ban-goc-136-110m-3pn-view-ep-gia-tot-pr45860280?gidzl=5ugE375MJ14HdOu9UqbD4H2QYGbi74v32idPMcfD7aKBdjWCFKmS5WsVrWez64P62yg1K69IvVClTrP54G"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283</cp:revision>
  <dcterms:created xsi:type="dcterms:W3CDTF">2025-09-15T09:58:00Z</dcterms:created>
  <dcterms:modified xsi:type="dcterms:W3CDTF">2026-06-12T13:03:29Z</dcterms:modified>
</cp:coreProperties>
</file>