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275/2026/0829/VFI-CT.36.A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HOÀNG NGỌC MINH</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tài sản gắn liền với đất tại th</w:t>
                            </w:r>
                            <w:r>
                              <w:rPr>
                                <w:color w:val="000000"/>
                              </w:rPr>
                              <w:t xml:space="preserve">ửa đất số: 1598, tờ bản đồ số 3, có địa chỉ: Xã An Viễn, huyện Trảng Bom, tỉnh Đồng Nai (Nay là: xã An Viễn, th</w:t>
                            </w:r>
                            <w:r>
                              <w:rPr>
                                <w:color w:val="000000"/>
                              </w:rPr>
                              <w:t xml:space="preserve">ành phố Đồng Nai) theo Giấy chứng nhận quyền sử dụng đất quyền sở hữu nhà ở và tài sản khác gắn liền với đất số: CN 211988, số vào sổ cấp GCN: CS 10972 do Sở Tài nguyên và Môi trường tỉnh Đồng Nai cấp ngày 26/06/2018; Chủ sử dụng đất là ông Hoàng Ngọc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275/2026/0829/VFI-CT.36.A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color w:val="000000" w:themeColor="text1"/>
                          <w:lang w:val="pt-BR"/>
                        </w:rPr>
                        <w:t xml:space="preserve">ÔNG HOÀNG NGỌC MINH</w:t>
                      </w:r>
                      <w:r>
                        <w:rPr>
                          <w:rFonts w:ascii="Times New Roman Bold" w:hAnsi="Times New Roman Bold"/>
                          <w:b/>
                          <w:color w:val="000000" w:themeColor="text1"/>
                          <w:lang w:val="pt-BR"/>
                        </w:rPr>
                      </w:r>
                      <w:r>
                        <w:rPr>
                          <w:rFonts w:ascii="Times New Roman Bold" w:hAnsi="Times New Roman Bold"/>
                          <w:b/>
                          <w:color w:val="000000" w:themeColor="text1"/>
                        </w:rPr>
                      </w:r>
                    </w:p>
                    <w:p>
                      <w:pPr>
                        <w:pBdr/>
                        <w:spacing w:after="120" w:before="120" w:line="360" w:lineRule="auto"/>
                        <w:ind/>
                        <w:jc w:val="both"/>
                        <w:rPr>
                          <w:bCs/>
                          <w:i/>
                          <w:iCs/>
                        </w:rPr>
                      </w:pPr>
                      <w:r>
                        <w:rPr>
                          <w:b/>
                          <w:color w:val="000000" w:themeColor="text1"/>
                        </w:rPr>
                        <w:t xml:space="preserve">Tài sản thẩm </w:t>
                      </w:r>
                      <w:r>
                        <w:rPr>
                          <w:b/>
                          <w:color w:val="000000" w:themeColor="text1"/>
                        </w:rPr>
                        <w:t xml:space="preserve">định: </w:t>
                      </w:r>
                      <w:r>
                        <w:rPr>
                          <w:color w:val="000000" w:themeColor="text1"/>
                        </w:rPr>
                        <w:t xml:space="preserve">Quyền sử dụng đất và tài sản gắn liền với đất tại th</w:t>
                      </w:r>
                      <w:r>
                        <w:rPr>
                          <w:color w:val="000000"/>
                        </w:rPr>
                        <w:t xml:space="preserve">ửa đất số: 1598, tờ bản đồ số 3, có địa chỉ: Xã An Viễn, huyện Trảng Bom, tỉnh Đồng Nai (Nay là: xã An Viễn, th</w:t>
                      </w:r>
                      <w:r>
                        <w:rPr>
                          <w:color w:val="000000"/>
                        </w:rPr>
                        <w:t xml:space="preserve">ành phố Đồng Nai) theo Giấy chứng nhận quyền sử dụng đất quyền sở hữu nhà ở và tài sản khác gắn liền với đất số: CN 211988, số vào sổ cấp GCN: CS 10972 do Sở Tài nguyên và Môi trường tỉnh Đồng Nai cấp ngày 26/06/2018; Chủ sử dụng đất là ông Hoàng Ngọc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Chứng thư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1-3</w:t>
            </w:r>
            <w:r>
              <w:rPr>
                <w:b/>
                <w:highlight w:val="white"/>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Báo cáo thẩm định giá</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white"/>
              </w:rPr>
            </w:pPr>
            <w:r>
              <w:rPr>
                <w:b/>
                <w:color w:val="000000" w:themeColor="text1"/>
                <w:highlight w:val="white"/>
              </w:rPr>
              <w:t xml:space="preserve">4-21</w:t>
            </w:r>
            <w:r>
              <w:rPr>
                <w:b/>
                <w:highlight w:val="white"/>
                <w:lang w:val="vi-VN"/>
              </w:rPr>
            </w:r>
            <w:r>
              <w:rPr>
                <w:b/>
                <w:highlight w:val="whit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white"/>
              </w:rPr>
            </w:pPr>
            <w:r>
              <w:rPr>
                <w:b/>
                <w:highlight w:val="white"/>
              </w:rPr>
              <w:t xml:space="preserve">Các phụ lục chi tiết kèm theo</w:t>
            </w:r>
            <w:r>
              <w:rPr>
                <w:b/>
                <w:highlight w:val="white"/>
              </w:rPr>
            </w:r>
            <w:r>
              <w:rPr>
                <w:b/>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white"/>
              </w:rPr>
            </w:pPr>
            <w:r>
              <w:rPr>
                <w:b/>
                <w:bCs/>
                <w:highlight w:val="white"/>
              </w:rPr>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1: Thông tin hiện trạng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firstLine="0" w:left="0"/>
              <w:jc w:val="right"/>
              <w:rPr>
                <w:b/>
                <w:bCs/>
                <w:highlight w:val="white"/>
              </w:rPr>
            </w:pPr>
            <w:r>
              <w:rPr>
                <w:b/>
                <w:bCs/>
                <w:highlight w:val="none"/>
              </w:rPr>
              <w:t xml:space="preserve">22 - 25</w:t>
            </w:r>
            <w:r>
              <w:rPr>
                <w:b/>
                <w:bCs/>
                <w:highlight w:val="white"/>
              </w:rPr>
            </w:r>
            <w:r>
              <w:rPr>
                <w:b/>
                <w:bCs/>
                <w:highlight w:val="white"/>
              </w:rPr>
            </w:r>
          </w:p>
        </w:tc>
      </w:tr>
      <w:tr>
        <w:trPr/>
        <w:tc>
          <w:tcPr>
            <w:tcBorders/>
            <w:tcMar>
              <w:left w:w="108" w:type="dxa"/>
              <w:right w:w="108" w:type="dxa"/>
            </w:tcMar>
            <w:tcW w:w="7280" w:type="dxa"/>
            <w:vAlign w:val="center"/>
            <w:textDirection w:val="lrTb"/>
            <w:noWrap w:val="false"/>
          </w:tcPr>
          <w:p>
            <w:pPr>
              <w:pStyle w:val="1031"/>
              <w:pBdr/>
              <w:tabs>
                <w:tab w:val="left" w:leader="none" w:pos="993"/>
              </w:tabs>
              <w:spacing w:after="120" w:before="120" w:line="288" w:lineRule="auto"/>
              <w:ind w:left="0"/>
              <w:jc w:val="both"/>
              <w:rPr>
                <w:bCs/>
                <w:highlight w:val="white"/>
              </w:rPr>
            </w:pPr>
            <w:r>
              <w:rPr>
                <w:bCs/>
                <w:highlight w:val="white"/>
                <w:lang w:val="pt-BR"/>
              </w:rPr>
              <w:t xml:space="preserve">Phụ lục 2: Thông tin thu thập thị trường</w:t>
            </w:r>
            <w:r>
              <w:rPr>
                <w:bCs/>
                <w:highlight w:val="white"/>
                <w:lang w:val="pt-BR"/>
              </w:rPr>
            </w:r>
            <w:r>
              <w:rPr>
                <w:bCs/>
                <w:highlight w:val="white"/>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white"/>
              </w:rPr>
            </w:pPr>
            <w:r>
              <w:rPr>
                <w:b/>
                <w:bCs/>
                <w:highlight w:val="white"/>
              </w:rPr>
              <w:t xml:space="preserve">26 </w:t>
            </w:r>
            <w:r>
              <w:rPr>
                <w:b/>
                <w:bCs/>
                <w:highlight w:val="white"/>
              </w:rPr>
              <w:t xml:space="preserve">- 31</w:t>
            </w:r>
            <w:r>
              <w:rPr>
                <w:b/>
                <w:bCs/>
                <w:highlight w:val="white"/>
              </w:rPr>
            </w:r>
            <w:r>
              <w:rPr>
                <w:b/>
                <w:bCs/>
                <w:highlight w:val="white"/>
              </w:rPr>
            </w:r>
          </w:p>
        </w:tc>
      </w:tr>
    </w:tbl>
    <w:p>
      <w:pPr>
        <w:pStyle w:val="1030"/>
        <w:pBdr/>
        <w:tabs>
          <w:tab w:val="left" w:leader="none" w:pos="5103"/>
        </w:tabs>
        <w:spacing w:line="360" w:lineRule="auto"/>
        <w:ind/>
        <w:jc w:val="center"/>
        <w:rPr>
          <w:b/>
          <w:sz w:val="22"/>
          <w:szCs w:val="22"/>
          <w:highlight w:val="yellow"/>
        </w:rPr>
      </w:pPr>
      <w:r>
        <w:rPr>
          <w:b/>
          <w:sz w:val="22"/>
          <w:szCs w:val="22"/>
          <w:highlight w:val="yellow"/>
          <w:lang w:val="pt-BR"/>
        </w:rPr>
      </w:r>
      <w:r>
        <w:rPr>
          <w:b/>
          <w:sz w:val="22"/>
          <w:szCs w:val="22"/>
          <w:highlight w:val="yellow"/>
          <w:lang w:val="pt-BR"/>
        </w:rPr>
      </w:r>
      <w:r>
        <w:rPr>
          <w:b/>
          <w:sz w:val="22"/>
          <w:szCs w:val="22"/>
          <w:highlight w:val="yellow"/>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30"/>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275/2026/0829/VFI-CT.36.A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02 tháng 6 năm 2026</w:t>
            </w:r>
            <w:r>
              <w:rPr>
                <w:color w:val="000000" w:themeColor="text1"/>
                <w:sz w:val="24"/>
                <w:szCs w:val="24"/>
                <w:lang w:val="vi-VN"/>
              </w:rPr>
            </w:r>
            <w:r>
              <w:rPr>
                <w:color w:val="000000" w:themeColor="text1"/>
                <w:sz w:val="24"/>
                <w:szCs w:val="24"/>
                <w:lang w:val="vi-VN"/>
              </w:rPr>
            </w:r>
          </w:p>
        </w:tc>
      </w:tr>
    </w:tbl>
    <w:p>
      <w:pPr>
        <w:pStyle w:val="1030"/>
        <w:pBdr/>
        <w:spacing w:after="120" w:before="200" w:line="288" w:lineRule="auto"/>
        <w:ind/>
        <w:jc w:val="center"/>
        <w:rPr>
          <w:rStyle w:val="1029"/>
          <w:rFonts w:ascii="Times New Roman" w:hAnsi="Times New Roman"/>
          <w:b/>
          <w:bCs/>
          <w:color w:val="auto"/>
          <w:sz w:val="30"/>
          <w:szCs w:val="30"/>
          <w:lang w:val="vi-VN"/>
        </w:rPr>
      </w:pPr>
      <w:r>
        <w:rPr>
          <w:rStyle w:val="1029"/>
          <w:rFonts w:ascii="Times New Roman" w:hAnsi="Times New Roman"/>
          <w:b/>
          <w:bCs/>
          <w:color w:val="auto"/>
          <w:sz w:val="30"/>
          <w:szCs w:val="30"/>
          <w:lang w:val="vi-VN"/>
        </w:rPr>
        <w:t xml:space="preserve">CHỨNG THƯ THẨM ĐỊNH GIÁ</w:t>
      </w:r>
      <w:r>
        <w:rPr>
          <w:rStyle w:val="1029"/>
          <w:rFonts w:ascii="Times New Roman" w:hAnsi="Times New Roman"/>
          <w:b/>
          <w:bCs/>
          <w:color w:val="auto"/>
          <w:sz w:val="30"/>
          <w:szCs w:val="30"/>
          <w:lang w:val="vi-VN"/>
        </w:rPr>
      </w:r>
      <w:r>
        <w:rPr>
          <w:rStyle w:val="102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NGỌC MINH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275/2026/0829/VFI-HĐTĐ.36.A</w:t>
      </w:r>
      <w:r>
        <w:rPr>
          <w:spacing w:val="-4"/>
          <w:lang w:val="vi-VN"/>
        </w:rPr>
        <w:t xml:space="preserve"> ký ngày 29</w:t>
      </w:r>
      <w:r>
        <w:rPr>
          <w:color w:val="000000" w:themeColor="text1"/>
          <w:spacing w:val="-4"/>
        </w:rPr>
        <w:t xml:space="preserve"> tháng 5 năm 2026</w:t>
      </w:r>
      <w:r>
        <w:rPr>
          <w:spacing w:val="-4"/>
          <w:lang w:val="vi-VN"/>
        </w:rPr>
        <w:t xml:space="preserve"> </w:t>
      </w:r>
      <w:r>
        <w:rPr>
          <w:spacing w:val="-4"/>
          <w:lang w:val="vi-VN"/>
        </w:rPr>
        <w:t xml:space="preserve">giữa </w:t>
      </w:r>
      <w:r>
        <w:rPr>
          <w:bCs/>
        </w:rPr>
        <w:t xml:space="preserve">ông Hoàng Ngọc Minh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275/2026/0829/VFI-BC.36.A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02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HOÀNG NGỌC MINH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038085030174</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và tài sản gắn liền với đất tại thửa đất số: 1598, tờ bản đồ số 3, có địa chỉ: Xã An Viễn, huyện Trảng Bom, tỉnh Đồng Nai (Nay là: xã An Viễn, th</w:t>
      </w:r>
      <w:r>
        <w:rPr>
          <w:color w:val="000000" w:themeColor="text1"/>
        </w:rPr>
        <w:t xml:space="preserve">ành phố Đồng Nai) theo Giấy chứng nhận quyền sử dụng đất quyền sở hữu nhà ở và tài sản khác gắn liền với đất số: CN 211988, số vào sổ cấp GCN: CS 10972 do Sở Tài nguyên và Môi trường tỉnh Đồng Nai cấp ngày 26/06/2018; Chủ sử dụng đất là ông Hoàng Ngọc Minh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09"/>
        <w:gridCol w:w="3774"/>
        <w:gridCol w:w="1256"/>
        <w:gridCol w:w="1662"/>
        <w:gridCol w:w="2024"/>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77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66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1956"/>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92"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1598, tờ bản đồ số 3 có địa chỉ: Xã An Viễn, huyện Trảng Bom, tỉnh Đồng Nai (Nay là: xã An Viễn, thành phố Đồng Nai) theo Giấy chứng nhận quyền sử dụng đất quyền sở hữu nhà ở và tài sản khác gắ</w:t>
            </w:r>
            <w:r>
              <w:rPr>
                <w:rFonts w:ascii="Times New Roman" w:hAnsi="Times New Roman" w:eastAsia="Times New Roman" w:cs="Times New Roman"/>
                <w:b/>
                <w:color w:val="000000"/>
                <w:sz w:val="24"/>
              </w:rPr>
              <w:t xml:space="preserve">n liền với đất số: CN 211988, số vào sổ cấp GCN: CS 10972 do Sở Tài nguyên và Môi trường tỉnh Đồng Nai cấp ngày 26/06/2018; Chủ sử dụng đất là Ông Hoàng Ngọc Minh</w:t>
            </w:r>
            <w:r/>
          </w:p>
        </w:tc>
        <w:tc>
          <w:tcPr>
            <w:shd w:val="clear" w:color="ffffff" w:fill="ffffff"/>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7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w:t>
            </w:r>
            <w:r/>
          </w:p>
        </w:tc>
        <w:tc>
          <w:tcPr>
            <w:tcBorders>
              <w:bottom w:val="single" w:color="000000" w:sz="6" w:space="0"/>
              <w:right w:val="single" w:color="000000" w:sz="6" w:space="0"/>
            </w:tcBorders>
            <w:tcMar>
              <w:left w:w="0" w:type="dxa"/>
              <w:top w:w="0" w:type="dxa"/>
              <w:right w:w="0" w:type="dxa"/>
              <w:bottom w:w="0" w:type="dxa"/>
            </w:tcMar>
            <w:tcW w:w="1256"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6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20.462.987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2.046.298.700</w:t>
            </w:r>
            <w:r/>
          </w:p>
        </w:tc>
      </w:tr>
      <w:tr>
        <w:trPr>
          <w:trHeight w:val="6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7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hàng năm khác nằm ngoài chỉ giới QH giao thông</w:t>
            </w:r>
            <w:r/>
          </w:p>
        </w:tc>
        <w:tc>
          <w:tcPr>
            <w:tcBorders>
              <w:bottom w:val="single" w:color="000000" w:sz="6" w:space="0"/>
              <w:right w:val="single" w:color="000000" w:sz="6" w:space="0"/>
            </w:tcBorders>
            <w:tcMar>
              <w:left w:w="0" w:type="dxa"/>
              <w:top w:w="0" w:type="dxa"/>
              <w:right w:w="0" w:type="dxa"/>
              <w:bottom w:w="0" w:type="dxa"/>
            </w:tcMar>
            <w:tcW w:w="1256"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153,8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6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13.092.987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2.013.701.401</w:t>
            </w:r>
            <w:r/>
          </w:p>
        </w:tc>
      </w:tr>
      <w:tr>
        <w:trPr>
          <w:trHeight w:val="7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77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hàng năm khác nằm trong chỉ giới QH giao thông</w:t>
            </w:r>
            <w:r/>
          </w:p>
        </w:tc>
        <w:tc>
          <w:tcPr>
            <w:tcBorders>
              <w:bottom w:val="single" w:color="000000" w:sz="6" w:space="0"/>
              <w:right w:val="single" w:color="000000" w:sz="6" w:space="0"/>
            </w:tcBorders>
            <w:tcMar>
              <w:left w:w="0" w:type="dxa"/>
              <w:top w:w="0" w:type="dxa"/>
              <w:right w:w="0" w:type="dxa"/>
              <w:bottom w:w="0" w:type="dxa"/>
            </w:tcMar>
            <w:tcW w:w="1256"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241,5 </w:t>
            </w:r>
            <w:r/>
          </w:p>
        </w:tc>
        <w:tc>
          <w:tcPr>
            <w:shd w:val="clear" w:color="ffffff" w:fill="ffffff"/>
            <w:tcBorders>
              <w:bottom w:val="single" w:color="000000" w:sz="6" w:space="0"/>
              <w:right w:val="single" w:color="000000" w:sz="6" w:space="0"/>
            </w:tcBorders>
            <w:tcMar>
              <w:left w:w="0" w:type="dxa"/>
              <w:top w:w="0" w:type="dxa"/>
              <w:right w:w="0" w:type="dxa"/>
              <w:bottom w:w="0" w:type="dxa"/>
            </w:tcMar>
            <w:tcW w:w="1662"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730.000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4"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176.295.000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0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4.236.295.101</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0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4"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4.236.000.000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5"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hai trăm ba mươi sáu triệu đồng chẵn ./.)</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spacing w:val="-4"/>
          <w:lang w:val="pt-BR"/>
        </w:rPr>
      </w:r>
      <w:r>
        <w:rPr>
          <w:lang w:val="pt-BR"/>
        </w:rPr>
      </w:r>
    </w:p>
    <w:p>
      <w:pPr>
        <w:pBdr/>
        <w:spacing w:after="120" w:before="120" w:line="312" w:lineRule="auto"/>
        <w:ind w:firstLine="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2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color w:val="000000" w:themeColor="text1"/>
                <w:sz w:val="24"/>
                <w:szCs w:val="24"/>
              </w:rPr>
            </w:pPr>
            <w:r>
              <w:rPr>
                <w:rStyle w:val="1029"/>
                <w:rFonts w:ascii="Times New Roman" w:hAnsi="Times New Roman"/>
                <w:color w:val="000000" w:themeColor="text1"/>
                <w:lang w:val="pt-BR"/>
              </w:rPr>
              <w:t xml:space="preserve">Số: </w:t>
            </w:r>
            <w:r>
              <w:rPr>
                <w:rStyle w:val="1029"/>
                <w:rFonts w:ascii="Times New Roman" w:hAnsi="Times New Roman"/>
                <w:color w:val="000000" w:themeColor="text1"/>
                <w:lang w:val="pt-BR"/>
              </w:rPr>
              <w:t xml:space="preserve">275/2026/0829/VFI-BC.36.A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jc w:val="right"/>
              <w:rPr>
                <w:color w:val="000000" w:themeColor="text1"/>
                <w:sz w:val="24"/>
                <w:szCs w:val="24"/>
                <w:lang w:val="vi-VN"/>
              </w:rPr>
            </w:pPr>
            <w:r>
              <w:rPr>
                <w:rStyle w:val="1029"/>
                <w:rFonts w:ascii="Times New Roman" w:hAnsi="Times New Roman"/>
                <w:i/>
                <w:color w:val="auto"/>
              </w:rPr>
              <w:t xml:space="preserve">TP. Hà Nội</w:t>
            </w:r>
            <w:r>
              <w:rPr>
                <w:rStyle w:val="1029"/>
                <w:rFonts w:ascii="Times New Roman" w:hAnsi="Times New Roman"/>
                <w:i/>
                <w:color w:val="auto"/>
                <w:lang w:val="vi-VN"/>
              </w:rPr>
              <w:t xml:space="preserve">, </w:t>
            </w:r>
            <w:r>
              <w:rPr>
                <w:rStyle w:val="1029"/>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30"/>
              <w:pBdr/>
              <w:spacing w:after="60"/>
              <w:ind/>
              <w:rPr>
                <w:rStyle w:val="1029"/>
                <w:rFonts w:ascii="Times New Roman" w:hAnsi="Times New Roman"/>
                <w:color w:val="000000" w:themeColor="text1"/>
                <w:lang w:val="pt-BR"/>
              </w:rPr>
            </w:pPr>
            <w:r>
              <w:rPr>
                <w:rStyle w:val="1029"/>
                <w:rFonts w:ascii="Times New Roman" w:hAnsi="Times New Roman"/>
                <w:color w:val="000000" w:themeColor="text1"/>
                <w:lang w:val="pt-BR"/>
              </w:rPr>
            </w:r>
            <w:r>
              <w:rPr>
                <w:rStyle w:val="1029"/>
                <w:rFonts w:ascii="Times New Roman" w:hAnsi="Times New Roman"/>
                <w:color w:val="000000" w:themeColor="text1"/>
                <w:lang w:val="pt-BR"/>
              </w:rPr>
            </w:r>
            <w:r>
              <w:rPr>
                <w:rStyle w:val="1029"/>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30"/>
              <w:pBdr/>
              <w:spacing w:after="60"/>
              <w:ind w:right="-56"/>
              <w:rPr>
                <w:rStyle w:val="1029"/>
                <w:rFonts w:ascii="Times New Roman" w:hAnsi="Times New Roman"/>
                <w:i/>
                <w:color w:val="auto"/>
              </w:rPr>
            </w:pPr>
            <w:r>
              <w:rPr>
                <w:rFonts w:ascii="Times New Roman" w:hAnsi="Times New Roman"/>
                <w:i/>
                <w:color w:val="auto"/>
              </w:rPr>
            </w:r>
            <w:r>
              <w:rPr>
                <w:rStyle w:val="1029"/>
                <w:rFonts w:ascii="Times New Roman" w:hAnsi="Times New Roman"/>
                <w:i/>
                <w:color w:val="auto"/>
              </w:rPr>
            </w:r>
            <w:r>
              <w:rPr>
                <w:rStyle w:val="1029"/>
                <w:rFonts w:ascii="Times New Roman" w:hAnsi="Times New Roman"/>
                <w:i/>
                <w:color w:val="auto"/>
              </w:rPr>
            </w:r>
          </w:p>
        </w:tc>
      </w:tr>
    </w:tbl>
    <w:p>
      <w:pPr>
        <w:pStyle w:val="103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1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275/2026/0829/VFI-CT.36.A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02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1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3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HOÀNG NGỌC MINH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038085030174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1985</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tài sản gắn liền với đất tại thửa đất số: 1598, tờ bản đồ số 3, có địa chỉ: Xã An Viễn, huyện Trảng Bom, tỉnh Đồng Nai (Nay là: xã An Viễn, th</w:t>
            </w:r>
            <w:r>
              <w:rPr>
                <w:bCs/>
                <w:color w:val="000000" w:themeColor="text1"/>
                <w:lang w:val="pt-BR"/>
              </w:rPr>
              <w:t xml:space="preserve">ành phố Đồng Nai) theo Giấy chứng nhận quyền sử dụng đất quyền sở hữu nhà ở và tài sản khác gắn liền với đất số: CN 211988, số vào sổ cấp GCN: CS 10972 do Sở Tài nguyên và Môi trường tỉnh Đồng Nai cấp ngày 26/06/2018; Chủ sử dụng đất là Ông Hoàng Ngọc Minh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highlight w:val="white"/>
              </w:rPr>
            </w:pPr>
            <w:r>
              <w:rPr>
                <w:color w:val="000000" w:themeColor="text1"/>
                <w:highlight w:val="white"/>
                <w:lang w:val="pt-BR"/>
              </w:rPr>
            </w:r>
            <w:r>
              <w:rPr>
                <w:color w:val="000000" w:themeColor="text1"/>
                <w:highlight w:val="white"/>
                <w:lang w:val="pt-BR"/>
              </w:rPr>
              <w:t xml:space="preserve">xã An Viễn, thành phố</w:t>
            </w:r>
            <w:r>
              <w:rPr>
                <w:highlight w:val="white"/>
              </w:rPr>
              <w:t xml:space="preserve"> Đồng Nai</w:t>
            </w:r>
            <w:r>
              <w:rPr>
                <w:color w:val="ee0000"/>
                <w:highlight w:val="white"/>
                <w:lang w:val="pt-BR"/>
              </w:rPr>
            </w:r>
            <w:r>
              <w:rPr>
                <w:color w:val="ee0000"/>
                <w:highlight w:val="white"/>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1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10.880916666667, 106.99669444444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3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02/06/2026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3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3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3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3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3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3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3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3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3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3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nhà ở và tài sản khác gắn liền với đất số: CN 211988, số vào sổ cấp GCN: CS 10972 do Sở Tài nguyên và Môi trường tỉnh Đồng Nai cấp ngày 26/06/2018; Chủ sử dụng đất là ông Hoàng Ngọc Minh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3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275/2026/0829/VFI-HĐTĐ.36.A ngày 29/05/2026 giữa ông Hoàng Ngọc Minh với Công ty Cổ phần Thẩm định và Đầu tư Tài chính Hoa Sen.</w:t>
      </w:r>
      <w:r>
        <w:rPr>
          <w:b/>
          <w:lang w:val="pt-BR"/>
        </w:rPr>
      </w:r>
      <w:r>
        <w:rPr>
          <w:b/>
          <w:lang w:val="pt-BR"/>
        </w:rPr>
      </w:r>
    </w:p>
    <w:p>
      <w:pPr>
        <w:pStyle w:val="103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ight="0" w:firstLine="0" w:left="0"/>
        <w:jc w:val="both"/>
        <w:rPr>
          <w:b/>
          <w:bCs/>
          <w:iCs/>
        </w:rPr>
      </w:pPr>
      <w:r>
        <w:rPr>
          <w:b/>
          <w:bCs/>
          <w:shd w:val="clear" w:color="auto" w:fill="ffffff"/>
        </w:rPr>
        <w:t xml:space="preserve">Động lực cho chu kỳ tăng trưởng mới</w:t>
      </w:r>
      <w:r>
        <w:rPr>
          <w:b/>
          <w:bCs/>
          <w:iCs/>
        </w:rPr>
      </w:r>
      <w:r>
        <w:rPr>
          <w:b/>
          <w:bCs/>
          <w:iCs/>
        </w:rPr>
      </w:r>
    </w:p>
    <w:p>
      <w:pPr>
        <w:pBdr/>
        <w:tabs>
          <w:tab w:val="left" w:leader="none" w:pos="426"/>
        </w:tabs>
        <w:spacing w:after="120" w:before="120" w:line="276" w:lineRule="auto"/>
        <w:ind/>
        <w:jc w:val="both"/>
        <w:rPr/>
      </w:pPr>
      <w:r>
        <w:rPr>
          <w:shd w:val="clear" w:color="auto" w:fill="ffffff"/>
        </w:rPr>
        <w:t xml:space="preserve">Làn sóng doanh nghiệp bất động sản gia tăng hiện diện tại Đồng Nai không phải là hiện tượng nhất thời. Sức hút của địa phương này đến từ những thay đổi </w:t>
      </w:r>
      <w:r>
        <w:rPr>
          <w:shd w:val="clear" w:color="auto" w:fill="ffffff"/>
        </w:rPr>
        <w:t xml:space="preserve">mang tính nền tảng trong quy hoạch phát triển kinh tế - xã hội cũng như triển vọng trở thành một cực tăng trưởng mới của khu vực phía Nam.</w:t>
        <w:br/>
        <w:t xml:space="preserve">Trong những năm gần đây, Đồng Nai từng bước khẳng định vai trò là trung tâm công nghiệp, logistics và đô thị quan tr</w:t>
      </w:r>
      <w:r>
        <w:rPr>
          <w:shd w:val="clear" w:color="auto" w:fill="ffffff"/>
        </w:rPr>
        <w:t xml:space="preserve">ọng của Vùng kinh tế trọng điểm phía Nam. Việc địa phương được định hướng phát triển theo mô hình đô thị hiện đại, gắn với các trung tâm sản xuất và dịch vụ quy mô lớn đang mở ra dư địa tăng trưởng đáng kể cho thị trường bất động sản.</w:t>
      </w:r>
      <w:r>
        <w:rPr>
          <w:highlight w:val="none"/>
        </w:rPr>
      </w:r>
      <w:r/>
    </w:p>
    <w:p>
      <w:pPr>
        <w:pBdr/>
        <w:tabs>
          <w:tab w:val="left" w:leader="none" w:pos="426"/>
        </w:tabs>
        <w:spacing w:after="120" w:before="120" w:line="276" w:lineRule="auto"/>
        <w:ind/>
        <w:jc w:val="both"/>
        <w:rPr/>
      </w:pPr>
      <w:r>
        <w:rPr>
          <w:shd w:val="clear" w:color="auto" w:fill="ffffff"/>
        </w:rPr>
        <w:t xml:space="preserve">Động lực nổi bật nhất</w:t>
      </w:r>
      <w:r>
        <w:rPr>
          <w:shd w:val="clear" w:color="auto" w:fill="ffffff"/>
        </w:rPr>
        <w:t xml:space="preserve"> là hệ thống hạ tầng giao thông liên tục được đầu tư và hoàn thiện. Trong đó, Cảng hàng không quốc tế Long Thành được xem là dự án mang tính bước ngoặt. Khi đi vào khai thác, sân bay này không chỉ nâng cao năng lực kết nối quốc tế của khu vực, mà còn tạo l</w:t>
      </w:r>
      <w:r>
        <w:rPr>
          <w:shd w:val="clear" w:color="auto" w:fill="ffffff"/>
        </w:rPr>
        <w:t xml:space="preserve">ực đẩy cho các ngành thương mại, dịch vụ, logistics và nhu cầu nhà ở chất lượng cao phục vụ đội ngũ chuyên gia, lao động kỹ thuật.</w:t>
      </w:r>
      <w:r>
        <w:rPr>
          <w:highlight w:val="none"/>
        </w:rPr>
      </w:r>
      <w:r/>
    </w:p>
    <w:p>
      <w:pPr>
        <w:pBdr/>
        <w:tabs>
          <w:tab w:val="left" w:leader="none" w:pos="426"/>
        </w:tabs>
        <w:spacing w:after="120" w:before="120" w:line="276" w:lineRule="auto"/>
        <w:ind/>
        <w:jc w:val="both"/>
        <w:rPr/>
      </w:pPr>
      <w:r>
        <w:rPr>
          <w:shd w:val="clear" w:color="auto" w:fill="ffffff"/>
        </w:rPr>
        <w:t xml:space="preserve">Bên cạnh đó, mạng lưới giao thông liên vùng đang dần thành hình với hàng loạt dự án trọng điểm như Vành đai 3 TP. Hồ Chí Min</w:t>
      </w:r>
      <w:r>
        <w:rPr>
          <w:shd w:val="clear" w:color="auto" w:fill="ffffff"/>
        </w:rPr>
        <w:t xml:space="preserve">h, cao tốc Biên Hòa - Vũng Tàu, mở rộng cao tốc TP. Hồ Chí Minh - Long Thành - Dầu Giây, tuyến metro kết nối Suối Tiên - Long Thành, đại lộ Nguyễn Hữu Cảnh (Hương lộ 2) hay cầu Long Hưng... Những công trình này được kỳ vọng sẽ gia tăng khả năng kết nối giữ</w:t>
      </w:r>
      <w:r>
        <w:rPr>
          <w:shd w:val="clear" w:color="auto" w:fill="ffffff"/>
        </w:rPr>
        <w:t xml:space="preserve">a Đồng Nai với TP. Hồ Chí Minh và các trung tâm kinh tế lớn, qua đó thúc đẩy quá trình dịch chuyển dân cư, dòng vốn đầu tư và hoạt động sản xuất, kinh doanh.</w:t>
      </w:r>
      <w:r>
        <w:rPr>
          <w:highlight w:val="none"/>
        </w:rPr>
      </w:r>
      <w:r/>
    </w:p>
    <w:p>
      <w:pPr>
        <w:pBdr/>
        <w:tabs>
          <w:tab w:val="left" w:leader="none" w:pos="426"/>
        </w:tabs>
        <w:spacing w:after="120" w:before="120" w:line="276" w:lineRule="auto"/>
        <w:ind/>
        <w:jc w:val="both"/>
        <w:rPr/>
      </w:pPr>
      <w:r>
        <w:rPr>
          <w:shd w:val="clear" w:color="auto" w:fill="ffffff"/>
        </w:rPr>
        <w:t xml:space="preserve">Trong bức tranh đó, Đồng Nai được đánh giá là một trong những địa phương hưởng lợi trực tiếp nhờ l</w:t>
      </w:r>
      <w:r>
        <w:rPr>
          <w:shd w:val="clear" w:color="auto" w:fill="ffffff"/>
        </w:rPr>
        <w:t xml:space="preserve">ợi thế công nghiệp, logistics và vai trò cửa ngõ của sân bay Long Thành. Đặc biệt, việc Đồng Nai trở thành thành phố trực thuộc Trung ương mở ra kỳ vọng về một cực tăng trưởng quốc gia mới. Điều này thúc đẩy nhu cầu phát triển các đại đô thị hiện đại, sinh</w:t>
      </w:r>
      <w:r>
        <w:rPr>
          <w:shd w:val="clear" w:color="auto" w:fill="ffffff"/>
        </w:rPr>
        <w:t xml:space="preserve"> thái để đáp ứng tiêu chuẩn sống của cộng đồng cư dân mới.</w:t>
      </w:r>
      <w:r>
        <w:rPr>
          <w:highlight w:val="none"/>
        </w:rPr>
      </w:r>
      <w:r/>
    </w:p>
    <w:p>
      <w:pPr>
        <w:pBdr/>
        <w:tabs>
          <w:tab w:val="left" w:leader="none" w:pos="426"/>
        </w:tabs>
        <w:spacing w:after="120" w:before="120" w:line="276" w:lineRule="auto"/>
        <w:ind/>
        <w:jc w:val="both"/>
        <w:rPr/>
      </w:pPr>
      <w:r>
        <w:rPr>
          <w:shd w:val="clear" w:color="auto" w:fill="ffffff"/>
        </w:rPr>
        <w:t xml:space="preserve">Theo ông Đinh Minh Tuấn - Giám đốc Batdongsan.com.vn khu vực miền Nam, việc Đồng Nai trở thành thành phố trực thuộc Trung ương không chỉ mang ý nghĩa thay đổi về mặt hành chính, mà còn là bước nân</w:t>
      </w:r>
      <w:r>
        <w:rPr>
          <w:shd w:val="clear" w:color="auto" w:fill="ffffff"/>
        </w:rPr>
        <w:t xml:space="preserve">g tầm vị thế trong cấu trúc kinh tế vùng. Điều này đang tạo ra những tác động nhất định đến tâm lý nhà đầu tư cũng như mặt bằng giá bất động sản tại địa phương.</w:t>
      </w:r>
      <w:r>
        <w:rPr>
          <w:highlight w:val="none"/>
        </w:rPr>
      </w:r>
      <w:r/>
    </w:p>
    <w:p>
      <w:pPr>
        <w:pBdr/>
        <w:tabs>
          <w:tab w:val="left" w:leader="none" w:pos="426"/>
        </w:tabs>
        <w:spacing w:after="120" w:before="120" w:line="276" w:lineRule="auto"/>
        <w:ind/>
        <w:jc w:val="both"/>
        <w:rPr>
          <w:highlight w:val="none"/>
        </w:rPr>
      </w:pPr>
      <w:r>
        <w:rPr>
          <w:shd w:val="clear" w:color="auto" w:fill="ffffff"/>
        </w:rPr>
        <w:t xml:space="preserve">Sự gia tăng của mặt bằng giá không chỉ phản ánh kỳ vọng vào các dự án hạ tầng trọng điểm, mà c</w:t>
      </w:r>
      <w:r>
        <w:rPr>
          <w:shd w:val="clear" w:color="auto" w:fill="ffffff"/>
        </w:rPr>
        <w:t xml:space="preserve">ò</w:t>
      </w:r>
      <w:r>
        <w:rPr>
          <w:shd w:val="clear" w:color="auto" w:fill="ffffff"/>
        </w:rPr>
        <w:t xml:space="preserve">n cho thấy quá trình dịch chuyển dòng vốn đầu tư về những khu vực sở hữu dư địa phát triển dài hạn.</w:t>
        <w:br/>
        <w:t xml:space="preserve">Trong thời gian tới, Đồng Nai được dự báo sẽ tiếp tục là một trong những thị trường bất động sản thu hút sự quan tâm của cả nhà đầu tư lẫn người mua ở thực.</w:t>
      </w:r>
      <w:r>
        <w:rPr>
          <w:highlight w:val="none"/>
        </w:rPr>
      </w:r>
      <w:r>
        <w:rPr>
          <w:highlight w:val="none"/>
        </w:rPr>
      </w:r>
    </w:p>
    <w:p>
      <w:pPr>
        <w:pBdr/>
        <w:tabs>
          <w:tab w:val="left" w:leader="none" w:pos="426"/>
        </w:tabs>
        <w:spacing w:after="120" w:before="120" w:line="276" w:lineRule="auto"/>
        <w:ind/>
        <w:jc w:val="center"/>
        <w:rPr>
          <w:bCs/>
          <w:i/>
          <w:lang w:val="pt-BR"/>
        </w:rPr>
      </w:pPr>
      <w:r>
        <w:rPr>
          <w:highlight w:val="none"/>
          <w:shd w:val="clear" w:color="auto" w:fill="ffffff"/>
          <w:lang w:val="pt-BR" w:bidi="pt-BR"/>
        </w:rPr>
        <w:t xml:space="preserve">(Nguồn: </w:t>
      </w:r>
      <w:r>
        <w:rPr>
          <w:highlight w:val="none"/>
          <w:shd w:val="clear" w:color="auto" w:fill="ffffff"/>
          <w:lang w:val="pt-BR" w:bidi="pt-BR"/>
        </w:rPr>
        <w:t xml:space="preserve">https://thoibaotaichinhvietnam.vn/thi-truong-bat-dong-san-dong-nai-buoc-vao-chu-ky-tang-truong-moi-198217.html</w:t>
      </w:r>
      <w:r>
        <w:rPr>
          <w:highlight w:val="none"/>
          <w:shd w:val="clear" w:color="auto" w:fill="ffffff"/>
          <w:lang w:val="pt-BR" w:bidi="pt-BR"/>
        </w:rPr>
        <w:t xml:space="preserve">)</w:t>
      </w:r>
      <w:r>
        <w:rPr>
          <w:bCs/>
          <w:i/>
          <w:lang w:val="pt-BR"/>
        </w:rPr>
      </w:r>
      <w:r>
        <w:rPr>
          <w:bCs/>
          <w:i/>
          <w:lang w:val="pt-BR"/>
        </w:rPr>
      </w:r>
    </w:p>
    <w:p>
      <w:pPr>
        <w:pStyle w:val="103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656"/>
        <w:gridCol w:w="2319"/>
        <w:gridCol w:w="2039"/>
        <w:gridCol w:w="2437"/>
        <w:gridCol w:w="2404"/>
      </w:tblGrid>
      <w:tr>
        <w:trPr>
          <w:trHeight w:val="1572"/>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1598, tờ bản đồ số 3 có địa chỉ: Xã An Viễn, huyện Trảng Bom, tỉnh Đồng Nai (Nay là: xã An Viễn, thành phố Đồng Nai) theo Giấy chứng nhận quyền sử dụng đất quyền sở hữu nhà ở và tài sản khác gắ</w:t>
            </w:r>
            <w:r>
              <w:rPr>
                <w:rFonts w:ascii="Times New Roman" w:hAnsi="Times New Roman" w:eastAsia="Times New Roman" w:cs="Times New Roman"/>
                <w:b/>
                <w:color w:val="000000"/>
                <w:sz w:val="24"/>
              </w:rPr>
              <w:t xml:space="preserve">n liền với đất số: CN 211988, số vào sổ cấp GCN: CS 10972 do Sở Tài nguyên và Môi trường tỉnh Đồng Nai cấp ngày 26/06/2018; Chủ sử dụng đất là ông Hoàng Ngọc Minh</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 số:</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1598</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Xã An Viễn, huyện Trảng Bom, tỉnh Đồng Nai (Nay là: xã An Viễn, thành phố Đồng Nai)</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495,3</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riêng</w:t>
            </w:r>
            <w:r/>
          </w:p>
        </w:tc>
      </w:tr>
      <w:tr>
        <w:trPr>
          <w:trHeight w:val="124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tại nông thôn: 100m²;</w:t>
              <w:br/>
              <w:t xml:space="preserve">Đất trồng cây hàng năm khác: 395,3m²</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ở: lâu dài</w:t>
              <w:br/>
              <w:t xml:space="preserve">Đất trồng cây hàng năm khác: Đến ngày 31/05/2067</w:t>
            </w:r>
            <w:r/>
          </w:p>
        </w:tc>
      </w:tr>
      <w:tr>
        <w:trPr>
          <w:trHeight w:val="14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Nhận chuyển nhượng đất được Nhà nước giao đất có thu tiền sử dụng đất 100m²;</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Nhận chuyển nhượng đất được Công nhận QSDĐ như giao đất không thu tiền sử dụng đất 395,3m²</w:t>
            </w:r>
            <w:r/>
          </w:p>
        </w:tc>
      </w:tr>
      <w:tr>
        <w:trPr>
          <w:trHeight w:val="709"/>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Thông tin quy hoạch: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Tại thời điểm thẩm định giá, Tổ thẩm định nhận thấy tại trang 02 của GCN QSDĐ số CN 211988 có 241,5m² đất thuộc quy hoạch đất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Về đất:</w:t>
            </w:r>
            <w:r/>
          </w:p>
        </w:tc>
      </w:tr>
      <w:tr>
        <w:trPr>
          <w:trHeight w:val="30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2.1</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Vị trí; Giao thông;</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Đường tiếp giáp chính:</w:t>
            </w:r>
            <w:r/>
          </w:p>
        </w:tc>
        <w:tc>
          <w:tcPr>
            <w:tcBorders>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Đường nhựa</w:t>
            </w:r>
            <w:r/>
          </w:p>
        </w:tc>
        <w:tc>
          <w:tcPr>
            <w:tcBorders>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 mặt tiền</w:t>
            </w:r>
            <w:r/>
          </w:p>
        </w:tc>
      </w:tr>
      <w:tr>
        <w:trPr>
          <w:trHeight w:val="1240"/>
        </w:trPr>
        <w:tc>
          <w:tcPr>
            <w:tcBorders>
              <w:left w:val="single" w:color="000000" w:sz="6" w:space="0"/>
              <w:bottom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nhỏ nhất từ đường chính dẫn đến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6m</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Mặt cắt đường/ngõ trước mặt tài sản thẩm định giá:</w:t>
            </w:r>
            <w:r/>
          </w:p>
        </w:tc>
        <w:tc>
          <w:tcPr>
            <w:tcBorders>
              <w:top w:val="single" w:color="000000" w:sz="6" w:space="0"/>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Khoảng 6m</w:t>
            </w:r>
            <w:r/>
          </w:p>
        </w:tc>
      </w:tr>
      <w:tr>
        <w:trPr>
          <w:trHeight w:val="7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Khoảng cách đến trục đường chính:</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Tài sản nằm trên mặt đường Trảng Bom- An Viễn ( ĐT777).</w:t>
            </w:r>
            <w:r/>
          </w:p>
        </w:tc>
      </w:tr>
      <w:tr>
        <w:trPr>
          <w:trHeight w:val="861"/>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top w:val="single" w:color="000000" w:sz="6" w:space="0"/>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Các hướng tiếp giáp:</w:t>
            </w:r>
            <w:r/>
          </w:p>
        </w:tc>
        <w:tc>
          <w:tcPr>
            <w:gridSpan w:val="3"/>
            <w:tcBorders>
              <w:top w:val="single" w:color="000000" w:sz="6" w:space="0"/>
              <w:bottom w:val="single" w:color="000000" w:sz="6" w:space="0"/>
              <w:right w:val="single" w:color="000000" w:sz="4" w:space="0"/>
            </w:tcBorders>
            <w:tcMar>
              <w:left w:w="0" w:type="dxa"/>
              <w:top w:w="0" w:type="dxa"/>
              <w:right w:w="0" w:type="dxa"/>
              <w:bottom w:w="0" w:type="dxa"/>
            </w:tcMar>
            <w:tcW w:w="6881" w:type="dxa"/>
            <w:vAlign w:val="center"/>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Nam: Tiếp giáp đường nhựa rộng 6m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Tây: Tiếp giáp đường đất rộng khoảng 4m</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Các hướng khác: Tiếp giáp các thửa đất khác.</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w:t>
            </w:r>
            <w:r/>
          </w:p>
        </w:tc>
      </w:tr>
      <w:tr>
        <w:trPr>
          <w:trHeight w:val="334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6" w:space="0"/>
              <w:bottom w:val="single" w:color="000000" w:sz="6" w:space="0"/>
              <w:right w:val="single" w:color="000000" w:sz="4"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mc:AlternateContent>
                <mc:Choice Requires="wpg">
                  <w:drawing>
                    <wp:inline xmlns:wp="http://schemas.openxmlformats.org/drawingml/2006/wordprocessingDrawing" distT="0" distB="0" distL="0" distR="0">
                      <wp:extent cx="5586914" cy="290145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960097" name=""/>
                              <pic:cNvPicPr>
                                <a:picLocks noChangeAspect="1"/>
                              </pic:cNvPicPr>
                              <pic:nvPr/>
                            </pic:nvPicPr>
                            <pic:blipFill rotWithShape="1">
                              <a:blip r:embed="rId17"/>
                              <a:stretch/>
                            </pic:blipFill>
                            <pic:spPr bwMode="auto">
                              <a:xfrm flipH="0" flipV="0">
                                <a:off x="0" y="0"/>
                                <a:ext cx="5586913" cy="29014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39.91pt;height:228.46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2.2.</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Diện tích; Kích thước; Hình dáng</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riêng thực tế (m²):</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495,3</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sử dụng chung thực tế (m²):</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0</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Mặt tiền (m):</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12,00</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Chiều sâu (m): </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42,27/40,7</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dáng:</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Vuông vức</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 Tây</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internet,…hoàn thiện</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6" w:space="0"/>
              <w:bottom w:val="single" w:color="000000" w:sz="6" w:space="0"/>
              <w:right w:val="single" w:color="000000" w:sz="6" w:space="0"/>
            </w:tcBorders>
            <w:tcMar>
              <w:left w:w="0" w:type="dxa"/>
              <w:top w:w="0" w:type="dxa"/>
              <w:right w:w="0" w:type="dxa"/>
              <w:bottom w:w="0" w:type="dxa"/>
            </w:tcMar>
            <w:tcW w:w="6881"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615"/>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color w:val="ff0000"/>
              </w:rPr>
            </w:pPr>
            <w:r>
              <w:rPr>
                <w:rFonts w:ascii="Times New Roman" w:hAnsi="Times New Roman" w:eastAsia="Times New Roman" w:cs="Times New Roman"/>
                <w:color w:val="ff0000"/>
                <w:sz w:val="24"/>
              </w:rPr>
              <w:t xml:space="preserve">Khu vực tập trung dân cư</w:t>
            </w:r>
            <w:r>
              <w:rPr>
                <w:color w:val="ff0000"/>
              </w:rPr>
            </w:r>
            <w:r>
              <w:rPr>
                <w:color w:val="ff0000"/>
              </w:rP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2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6" w:space="0"/>
              <w:right w:val="single" w:color="000000" w:sz="6" w:space="0"/>
            </w:tcBorders>
            <w:tcMar>
              <w:left w:w="0" w:type="dxa"/>
              <w:top w:w="0" w:type="dxa"/>
              <w:right w:w="0" w:type="dxa"/>
              <w:bottom w:w="0" w:type="dxa"/>
            </w:tcMar>
            <w:tcW w:w="231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203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243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6" w:space="0"/>
              <w:right w:val="single" w:color="000000" w:sz="6" w:space="0"/>
            </w:tcBorders>
            <w:tcMar>
              <w:left w:w="0" w:type="dxa"/>
              <w:top w:w="0" w:type="dxa"/>
              <w:right w:w="0" w:type="dxa"/>
              <w:bottom w:w="0" w:type="dxa"/>
            </w:tcMar>
            <w:tcW w:w="240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r>
        <w:trPr>
          <w:trHeight w:val="310"/>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6" w:space="0"/>
              <w:bottom w:val="single" w:color="000000" w:sz="6" w:space="0"/>
              <w:right w:val="single" w:color="000000" w:sz="6" w:space="0"/>
            </w:tcBorders>
            <w:tcMar>
              <w:left w:w="0" w:type="dxa"/>
              <w:top w:w="0" w:type="dxa"/>
              <w:right w:w="0" w:type="dxa"/>
              <w:bottom w:w="0" w:type="dxa"/>
            </w:tcMar>
            <w:tcW w:w="9199"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 Tài sản gắn liền với đất </w:t>
            </w:r>
            <w:r/>
          </w:p>
        </w:tc>
      </w:tr>
      <w:tr>
        <w:trPr>
          <w:trHeight w:val="884"/>
        </w:trPr>
        <w:tc>
          <w:tcPr>
            <w:tcBorders>
              <w:left w:val="single" w:color="000000" w:sz="6" w:space="0"/>
              <w:bottom w:val="single" w:color="000000" w:sz="6" w:space="0"/>
              <w:right w:val="single" w:color="000000" w:sz="6" w:space="0"/>
            </w:tcBorders>
            <w:tcMar>
              <w:left w:w="0" w:type="dxa"/>
              <w:top w:w="0" w:type="dxa"/>
              <w:right w:w="0" w:type="dxa"/>
              <w:bottom w:w="0" w:type="dxa"/>
            </w:tcMar>
            <w:tcW w:w="65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w:t>
            </w:r>
            <w:r/>
          </w:p>
        </w:tc>
        <w:tc>
          <w:tcPr>
            <w:gridSpan w:val="4"/>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199" w:type="dxa"/>
            <w:vAlign w:val="top"/>
            <w:textDirection w:val="lrTb"/>
            <w:noWrap w:val="false"/>
          </w:tcPr>
          <w:p>
            <w:pPr>
              <w:pBdr/>
              <w:spacing w:after="0" w:before="0" w:line="240" w:lineRule="auto"/>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 Trên đất có 01 nhà 01 tầng, xây tường cao khoảng 3m, mái lợp tôn, xây dựng hết đất, hiện trạng nhà khá, hiện nhà đang được sử dụng bình thường.</w:t>
            </w:r>
            <w:r>
              <w:rPr>
                <w:rFonts w:ascii="Times New Roman" w:hAnsi="Times New Roman" w:eastAsia="Times New Roman" w:cs="Times New Roman"/>
                <w:color w:val="000000"/>
                <w:sz w:val="24"/>
                <w:szCs w:val="24"/>
              </w:rPr>
            </w:r>
            <w:r>
              <w:rPr>
                <w:rFonts w:ascii="Times New Roman" w:hAnsi="Times New Roman" w:eastAsia="Times New Roman" w:cs="Times New Roman"/>
                <w:color w:val="000000"/>
                <w:sz w:val="24"/>
                <w:szCs w:val="24"/>
              </w:rPr>
            </w:r>
          </w:p>
          <w:p>
            <w:pPr>
              <w:pBdr/>
              <w:spacing w:after="0" w:before="0" w:line="240" w:lineRule="auto"/>
              <w:ind/>
              <w:jc w:val="both"/>
              <w:rPr/>
            </w:pPr>
            <w:r>
              <w:rPr>
                <w:rFonts w:ascii="Times New Roman" w:hAnsi="Times New Roman" w:eastAsia="Times New Roman" w:cs="Times New Roman"/>
                <w:color w:val="000000"/>
                <w:sz w:val="24"/>
              </w:rPr>
              <w:t xml:space="preserve">- Công trình chưa được công nhận trên GCN QSDĐ.</w:t>
            </w:r>
            <w:r/>
          </w:p>
        </w:tc>
      </w:tr>
    </w:tbl>
    <w:p>
      <w:pPr>
        <w:pBdr/>
        <w:spacing w:line="235" w:lineRule="auto"/>
        <w:ind w:left="0"/>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Style w:val="103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lang w:val="pt-BR"/>
        </w:rPr>
      </w:r>
      <w:r>
        <w:rPr>
          <w:lang w:val="pt-BR"/>
        </w:rPr>
      </w:r>
    </w:p>
    <w:p>
      <w:pPr>
        <w:pStyle w:val="1031"/>
        <w:numPr>
          <w:ilvl w:val="0"/>
          <w:numId w:val="3"/>
        </w:numPr>
        <w:pBdr/>
        <w:tabs>
          <w:tab w:val="left" w:leader="none" w:pos="993"/>
        </w:tabs>
        <w:spacing w:after="120" w:before="120" w:line="264" w:lineRule="auto"/>
        <w:ind/>
        <w:jc w:val="both"/>
        <w:rPr>
          <w:spacing w:val="-2"/>
          <w:lang w:val="pt-BR"/>
        </w:rPr>
      </w:pPr>
      <w:r>
        <w:rPr>
          <w:lang w:val="pt-BR"/>
        </w:rPr>
      </w:r>
      <w:r>
        <w:rPr>
          <w:rFonts w:ascii="Times New Roman" w:hAnsi="Times New Roman" w:eastAsia="Times New Roman" w:cs="Times New Roman"/>
          <w:color w:val="000000"/>
          <w:sz w:val="24"/>
        </w:rPr>
        <w:t xml:space="preserve">Tại thời điểm thẩm định giá, Tổ thẩm định nhận thấy tại trang 02 của GCN QSDĐ số CN 211988 có 241,5m² đất thuộc quy hoạch đất giao thông. </w:t>
      </w:r>
      <w:r>
        <w:rPr>
          <w:rFonts w:ascii="Times New Roman" w:hAnsi="Times New Roman" w:eastAsia="Times New Roman" w:cs="Times New Roman"/>
          <w:color w:val="000000"/>
          <w:sz w:val="24"/>
        </w:rPr>
        <w:t xml:space="preserve">Ngoài ra, khách hàng/Chủ sử dụng đất không cung cấp thêm bất cứ hồ sơ pháp lý nào liên quan tới thông tin quy hoạch của thửa đất. Theo đề nghị của Ngân hàng/Khách hàng, tổ thẩm định xác định giá trị tài sản theo thông tin quy hoạch nêu trên. Đối với diện t</w:t>
      </w:r>
      <w:r>
        <w:rPr>
          <w:rFonts w:ascii="Times New Roman" w:hAnsi="Times New Roman" w:eastAsia="Times New Roman" w:cs="Times New Roman"/>
          <w:color w:val="000000"/>
          <w:sz w:val="24"/>
        </w:rPr>
        <w:t xml:space="preserve">ích nằm ngoài quy hoạch tổ thẩm định đánh giá theo giá trị thị trường, đối với phần nằm trong quy hoạch tổ thẩm định đánh giá theo giá khung UBND tại thời điểm thẩm định, giá trị đền bù thực tế còn phụ thuộc vào thỏa thuận các bên tại thời điểm Nhà nước gi</w:t>
      </w:r>
      <w:r>
        <w:rPr>
          <w:rFonts w:ascii="Times New Roman" w:hAnsi="Times New Roman" w:eastAsia="Times New Roman" w:cs="Times New Roman"/>
          <w:color w:val="000000"/>
          <w:sz w:val="24"/>
        </w:rPr>
        <w:t xml:space="preserve">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sai k</w:t>
      </w:r>
      <w:r>
        <w:rPr>
          <w:rFonts w:ascii="Times New Roman" w:hAnsi="Times New Roman" w:eastAsia="Times New Roman" w:cs="Times New Roman"/>
          <w:color w:val="000000"/>
          <w:sz w:val="24"/>
        </w:rPr>
        <w:t xml:space="preserve">hác so với số liệu nêu trên thì kết quả thẩm định giá cần được xem xét, điều chỉnh phù hợp, đồng thời chúng tôi bảo lưu quyền xem xét lại kết quả thẩm định giá</w:t>
      </w:r>
      <w:r>
        <w:rPr>
          <w:spacing w:val="-2"/>
          <w:lang w:val="pt-BR"/>
        </w:rPr>
        <w:t xml:space="preserve">.</w:t>
      </w:r>
      <w:r>
        <w:rPr>
          <w:spacing w:val="-2"/>
          <w:lang w:val="pt-BR"/>
        </w:rPr>
      </w:r>
      <w:r>
        <w:rPr>
          <w:spacing w:val="-2"/>
          <w:lang w:val="pt-BR"/>
        </w:rPr>
      </w:r>
    </w:p>
    <w:p>
      <w:pPr>
        <w:pStyle w:val="1031"/>
        <w:numPr>
          <w:ilvl w:val="0"/>
          <w:numId w:val="3"/>
        </w:numPr>
        <w:pBdr/>
        <w:tabs>
          <w:tab w:val="left" w:leader="none" w:pos="993"/>
        </w:tabs>
        <w:spacing w:after="120" w:before="120" w:line="264" w:lineRule="auto"/>
        <w:ind/>
        <w:jc w:val="both"/>
        <w:rPr>
          <w:spacing w:val="-2"/>
          <w:lang w:val="pt-BR"/>
        </w:rPr>
      </w:pPr>
      <w:r>
        <w:rPr>
          <w:spacing w:val="-2"/>
          <w:highlight w:val="none"/>
          <w:lang w:val="pt-BR" w:bidi="pt-BR"/>
        </w:rPr>
        <w:t xml:space="preserve">Tại thời điểm thẩm định giá, qua khảo sát tài sản tổ thẩm định nhận thất </w:t>
      </w:r>
      <w:r>
        <w:rPr>
          <w:spacing w:val="-2"/>
          <w:highlight w:val="none"/>
          <w:lang w:val="pt-BR" w:bidi="pt-BR"/>
        </w:rPr>
        <w:t xml:space="preserve">trên đất có 01 nhà 01 tầng, xây tường cao khoảng 3m, mái lợp tôn, xây dựng hết đất, hiện trạng nhà khá, hiện nhà đang được sử dụng bình thường. Công trình chưa được công nhận trên GCN QSDĐ.</w:t>
      </w:r>
      <w:r>
        <w:rPr>
          <w:spacing w:val="-2"/>
          <w:highlight w:val="none"/>
          <w:lang w:val="pt-BR" w:bidi="pt-BR"/>
        </w:rPr>
        <w:t xml:space="preserve"> </w:t>
      </w:r>
      <w:r>
        <w:rPr>
          <w:spacing w:val="-2"/>
          <w:highlight w:val="none"/>
          <w:lang w:val="pt-BR" w:bidi="pt-BR"/>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3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3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3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3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3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3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3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 nằm ngoài chỉ giới quy hoạch giao thông:</w:t>
      </w:r>
      <w:r>
        <w:rPr>
          <w:b/>
          <w:lang w:val="pt-BR"/>
        </w:rPr>
      </w:r>
      <w:r>
        <w:rPr>
          <w:b/>
          <w:lang w:val="pt-BR"/>
        </w:rPr>
      </w:r>
    </w:p>
    <w:p>
      <w:pPr>
        <w:pBdr/>
        <w:spacing w:after="120" w:before="120" w:line="276" w:lineRule="auto"/>
        <w:ind w:firstLine="0" w:left="357"/>
        <w:jc w:val="both"/>
        <w:rPr>
          <w:b/>
          <w:bCs/>
          <w:lang w:val="pt-BR"/>
        </w:rPr>
      </w:pPr>
      <w:r>
        <w:rPr>
          <w:b/>
          <w:highlight w:val="none"/>
          <w:lang w:val="pt-BR" w:bidi="pt-BR"/>
        </w:rPr>
        <w:t xml:space="preserve">1.1 Xác định đơn giá quyền sử dụng đất:</w:t>
      </w:r>
      <w:r>
        <w:rPr>
          <w:b/>
          <w:bCs/>
          <w:lang w:val="pt-BR"/>
        </w:rPr>
      </w:r>
      <w:r>
        <w:rPr>
          <w:b/>
          <w:bCs/>
          <w:lang w:val="pt-BR"/>
        </w:rPr>
      </w:r>
    </w:p>
    <w:p>
      <w:pPr>
        <w:pStyle w:val="103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3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2126"/>
        <w:gridCol w:w="1736"/>
        <w:gridCol w:w="1736"/>
        <w:gridCol w:w="1736"/>
        <w:gridCol w:w="1736"/>
      </w:tblGrid>
      <w:tr>
        <w:trPr>
          <w:trHeight w:val="300"/>
        </w:trPr>
        <w:tc>
          <w:tcPr>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6" w:space="0"/>
              <w:bottom w:val="single" w:color="000000" w:sz="6" w:space="0"/>
              <w:right w:val="single" w:color="000000" w:sz="6" w:space="0"/>
            </w:tcBorders>
            <w:tcMar>
              <w:left w:w="0" w:type="dxa"/>
              <w:top w:w="0" w:type="dxa"/>
              <w:right w:w="0" w:type="dxa"/>
              <w:bottom w:w="0" w:type="dxa"/>
            </w:tcMar>
            <w:tcW w:w="212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6" w:space="0"/>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6" w:space="0"/>
              <w:right w:val="single" w:color="000000" w:sz="6" w:space="0"/>
            </w:tcBorders>
            <w:tcMar>
              <w:left w:w="0" w:type="dxa"/>
              <w:top w:w="0" w:type="dxa"/>
              <w:right w:w="0" w:type="dxa"/>
              <w:bottom w:w="0" w:type="dxa"/>
            </w:tcMar>
            <w:tcW w:w="2126"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40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Xã An Viễn, Huyện Trảng Bom, Tỉnh Đồng Nai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Trảng Bom - An Viễn, Xã An Viễn, Huyện Trảng Bom, Tỉnh Đồng Nai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Trảng Bom - An Viễn, Xã An Viễn, Huyện Trảng Bom, Tỉnh Đồng Nai</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Đường vào KCN Giang Điền, Xã Giang Điền, Huyện Trảng Bom, Tỉnh Đồng Nai</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https://www.facebook.com/groups/482345335620583/posts/2412166965971734/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https://www.facebook.com/groups/482345335620583/posts/2411807512674346/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https://www.facebook.com/groups/482345335620583/posts/2379726845882413/</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0949617434 </w:t>
              <w:br/>
              <w:t xml:space="preserve">(Toán)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0795624648</w:t>
              <w:br/>
              <w:t xml:space="preserve">(Vĩ)</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0961 619 772</w:t>
              <w:br/>
              <w:t xml:space="preserve">(Phương)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06/2026 </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92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112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tại nông thôn: 100m²;</w:t>
              <w:br/>
              <w:t xml:space="preserve">Đất trồng cây hàng năm khác: 395,3m²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80m²;</w:t>
              <w:br/>
              <w:t xml:space="preserve">Đất trồng cây hàng năm khác: 147,2m²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300m²;</w:t>
              <w:br/>
              <w:t xml:space="preserve">Đất trồng cây hàng năm khác: 200m²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100m²;</w:t>
              <w:br/>
              <w:t xml:space="preserve">Đất trồng cây hàng năm khác: 233m²</w:t>
            </w:r>
            <w:r/>
          </w:p>
        </w:tc>
      </w:tr>
      <w:tr>
        <w:trPr>
          <w:trHeight w:val="115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vào KCN Giang Điền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diện tích đất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495,3</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10.1</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nằm trong chỉ giới QH giao thông (m²)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241,5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56,2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10.2</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nằm ngoài chỉ giới QH giao thông (m²)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253,8</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227,2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333</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21,15</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32,46</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46,9</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~39,4%</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~35,2%</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~30,3%</w:t>
            </w:r>
            <w:r/>
          </w:p>
        </w:tc>
      </w:tr>
      <w:tr>
        <w:trPr>
          <w:trHeight w:val="84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4.908.974.000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21</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315"/>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Chi tiết tính toán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đất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QSDĐ (đồng/m²)</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nằm ngoài chỉ giới QH giao thông (m²)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Chiều sâu (m)</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560"/>
        </w:trPr>
        <w:tc>
          <w:tcPr>
            <w:tcBorders>
              <w:left w:val="single" w:color="000000" w:sz="6" w:space="0"/>
              <w:bottom w:val="single" w:color="000000" w:sz="6" w:space="0"/>
              <w:right w:val="single" w:color="000000" w:sz="6"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c>
          <w:tcPr>
            <w:tcBorders>
              <w:bottom w:val="single" w:color="000000" w:sz="6" w:space="0"/>
              <w:right w:val="single" w:color="000000" w:sz="6" w:space="0"/>
            </w:tcBorders>
            <w:tcMar>
              <w:left w:w="0" w:type="dxa"/>
              <w:top w:w="0" w:type="dxa"/>
              <w:right w:w="0" w:type="dxa"/>
              <w:bottom w:w="0" w:type="dxa"/>
            </w:tcMar>
            <w:tcW w:w="173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highlight w:val="none"/>
          <w:lang w:val="it-IT"/>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highlight w:val="none"/>
          <w:lang w:val="it-IT"/>
        </w:rPr>
      </w:r>
      <w:r>
        <w:rPr>
          <w:highlight w:val="none"/>
          <w:lang w:val="it-IT"/>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3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32"/>
        <w:gridCol w:w="1892"/>
        <w:gridCol w:w="937"/>
        <w:gridCol w:w="2206"/>
        <w:gridCol w:w="2217"/>
        <w:gridCol w:w="2217"/>
        <w:gridCol w:w="2218"/>
      </w:tblGrid>
      <w:tr>
        <w:trPr>
          <w:trHeight w:val="6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84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17.285.120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10.800.000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14.594.595</w:t>
            </w:r>
            <w:r/>
          </w:p>
        </w:tc>
      </w:tr>
      <w:tr>
        <w:trPr>
          <w:trHeight w:val="525"/>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11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Mục đích sử dụng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tại nông thôn: 100m²;</w:t>
              <w:br/>
              <w:t xml:space="preserve">Đất trồng cây hàng năm khác: 395,3m²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80m²;</w:t>
              <w:br/>
              <w:t xml:space="preserve">Đất trồng cây hàng năm khác: 147,2m²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300m²;</w:t>
              <w:br/>
              <w:t xml:space="preserve">Đất trồng cây hàng năm khác: 200m²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Đất ở: 100m²;</w:t>
              <w:br/>
              <w:t xml:space="preserve">Đất trồng cây hàng năm khác: 233m²</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109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Trảng Bom- An Viễn ( ĐT777).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Trảng Bom- An Viễn ( ĐT777)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Trảng Bom- An Viễn ( ĐT777)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Tài sản nằm trên mặt đường vào KCN Giang Điền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72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6m</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Khoảng 8m</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36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-729.730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13.864.865 </w:t>
            </w:r>
            <w:r/>
          </w:p>
        </w:tc>
      </w:tr>
      <w:tr>
        <w:trPr>
          <w:trHeight w:val="94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Diện tích nằm ngoài chỉ giới QH giao thông (m²)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253,8</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227,2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333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-864.256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1.296.000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729.730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16.420.864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12.096.000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14.594.595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7,1</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864.256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1.080.000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729.730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13.176.000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28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Chiều sâu (m)</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21,15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32,46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46,9</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17.285.120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14.904.000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15.324.324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 mặt tiền</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518.554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324.000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437.838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15.228.000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15.762.162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Vuông vức</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15.228.000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15.762.162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Lợi thế 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Thích hợp để ở/kinh doanh</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15.228.000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15.762.162 </w:t>
            </w:r>
            <w:r/>
          </w:p>
        </w:tc>
      </w:tr>
      <w:tr>
        <w:trPr>
          <w:trHeight w:val="560"/>
        </w:trPr>
        <w:tc>
          <w:tcPr>
            <w:shd w:val="clear" w:color="ffffff" w:fill="ffffff"/>
            <w:tcBorders>
              <w:left w:val="single" w:color="000000" w:sz="6" w:space="0"/>
              <w:bottom w:val="single" w:color="000000" w:sz="4" w:space="0"/>
              <w:right w:val="single" w:color="000000" w:sz="6" w:space="0"/>
            </w:tcBorders>
            <w:tcMar>
              <w:left w:w="0" w:type="dxa"/>
              <w:top w:w="0" w:type="dxa"/>
              <w:right w:w="0" w:type="dxa"/>
              <w:bottom w:w="0" w:type="dxa"/>
            </w:tcMar>
            <w:tcW w:w="732"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C11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Tỉ lệ đất ở/ Tổng diện tích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~39,4%</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~35,2%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~60%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~30,3%</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-540.000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0 </w:t>
            </w:r>
            <w:r/>
          </w:p>
        </w:tc>
      </w:tr>
      <w:tr>
        <w:trPr>
          <w:trHeight w:val="280"/>
        </w:trPr>
        <w:tc>
          <w:tcPr>
            <w:tcBorders>
              <w:left w:val="single" w:color="000000" w:sz="6" w:space="0"/>
              <w:bottom w:val="single" w:color="000000" w:sz="4" w:space="0"/>
              <w:right w:val="single" w:color="000000" w:sz="6" w:space="0"/>
            </w:tcBorders>
            <w:vMerge w:val="continue"/>
            <w:textDirection w:val="lrTb"/>
            <w:noWrap w:val="false"/>
          </w:tcPr>
          <w:p>
            <w:pPr>
              <w:pBdr/>
              <w:spacing/>
              <w:ind/>
              <w:rPr/>
            </w:pPr>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14.688.000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15.762.162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tcPr>
          <w:p>
            <w:pPr>
              <w:pBdr/>
              <w:spacing w:after="0" w:before="0" w:line="240" w:lineRule="auto"/>
              <w:ind/>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17.803.673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14.688.000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15.762.162 </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5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16.084.612 </w:t>
            </w:r>
            <w:r/>
          </w:p>
        </w:tc>
      </w:tr>
      <w:tr>
        <w:trPr>
          <w:trHeight w:val="30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10,7%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-8,7%</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-2,0%</w:t>
            </w:r>
            <w:r/>
          </w:p>
        </w:tc>
      </w:tr>
      <w:tr>
        <w:trPr>
          <w:trHeight w:val="669"/>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E</w:t>
            </w:r>
            <w:r/>
          </w:p>
        </w:tc>
        <w:tc>
          <w:tcPr>
            <w:gridSpan w:val="6"/>
            <w:shd w:val="clear" w:color="ffffff" w:fill="ffffff"/>
            <w:tcBorders>
              <w:bottom w:val="single" w:color="000000" w:sz="6" w:space="0"/>
              <w:right w:val="single" w:color="000000" w:sz="6" w:space="0"/>
            </w:tcBorders>
            <w:tcMar>
              <w:left w:w="0" w:type="dxa"/>
              <w:top w:w="0" w:type="dxa"/>
              <w:right w:w="0" w:type="dxa"/>
              <w:bottom w:w="0" w:type="dxa"/>
            </w:tcMar>
            <w:tcW w:w="8915"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Tổng hợp các số liệu điều chỉnh tại mục C</w:t>
            </w:r>
            <w:r>
              <w:rPr>
                <w:rFonts w:ascii="Times New Roman" w:hAnsi="Times New Roman" w:eastAsia="Times New Roman" w:cs="Times New Roman"/>
                <w:b/>
                <w:color w:val="000000"/>
                <w:sz w:val="22"/>
              </w:rPr>
              <w:t xml:space="preserve">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2.247.066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4.968.000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2.627.027 </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r>
      <w:tr>
        <w:trPr>
          <w:trHeight w:val="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- 16%</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 - 5%</w:t>
            </w:r>
            <w:r/>
          </w:p>
        </w:tc>
      </w:tr>
      <w:tr>
        <w:trPr>
          <w:trHeight w:val="56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6" w:space="0"/>
              <w:right w:val="single" w:color="000000" w:sz="6" w:space="0"/>
            </w:tcBorders>
            <w:tcMar>
              <w:left w:w="0" w:type="dxa"/>
              <w:top w:w="0" w:type="dxa"/>
              <w:right w:w="0" w:type="dxa"/>
              <w:bottom w:w="0" w:type="dxa"/>
            </w:tcMar>
            <w:tcW w:w="1892"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6" w:space="0"/>
              <w:right w:val="single" w:color="000000" w:sz="6" w:space="0"/>
            </w:tcBorders>
            <w:tcMar>
              <w:left w:w="0" w:type="dxa"/>
              <w:top w:w="0" w:type="dxa"/>
              <w:right w:w="0" w:type="dxa"/>
              <w:bottom w:w="0" w:type="dxa"/>
            </w:tcMar>
            <w:tcW w:w="93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6" w:space="0"/>
              <w:right w:val="single" w:color="000000" w:sz="6" w:space="0"/>
            </w:tcBorders>
            <w:tcMar>
              <w:left w:w="0" w:type="dxa"/>
              <w:top w:w="0" w:type="dxa"/>
              <w:right w:w="0" w:type="dxa"/>
              <w:bottom w:w="0" w:type="dxa"/>
            </w:tcMar>
            <w:tcW w:w="2206"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518.554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7"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3.888.000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1.167.568 </w:t>
            </w: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-8,7</w:t>
      </w:r>
      <w:r>
        <w:t xml:space="preserve">% đến</w:t>
      </w:r>
      <w:r>
        <w:t xml:space="preserve"> </w:t>
      </w:r>
      <w:r>
        <w:t xml:space="preserve"> </w:t>
      </w:r>
      <w:r>
        <w:t xml:space="preserve">10,7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p>
      <w:pPr>
        <w:pBdr/>
        <w:spacing w:after="120" w:before="120" w:line="276" w:lineRule="auto"/>
        <w:ind/>
        <w:jc w:val="both"/>
        <w:rPr>
          <w:b/>
          <w:bCs/>
        </w:rPr>
      </w:pPr>
      <w:r>
        <w:rPr>
          <w:b/>
          <w:bCs/>
          <w:highlight w:val="none"/>
        </w:rPr>
      </w:r>
      <w:r>
        <w:rPr>
          <w:b/>
          <w:bCs/>
        </w:rPr>
      </w:r>
      <w:r>
        <w:rPr>
          <w:b/>
          <w:bCs/>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931"/>
        <w:gridCol w:w="2214"/>
        <w:gridCol w:w="2223"/>
        <w:gridCol w:w="2218"/>
        <w:gridCol w:w="2224"/>
      </w:tblGrid>
      <w:tr>
        <w:trPr>
          <w:trHeight w:val="90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17.803.673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5.934.558</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14.688.000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4.896.000</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93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shd w:val="clear" w:color="ffffff" w:fill="ffffff"/>
            <w:tcBorders>
              <w:bottom w:val="single" w:color="000000" w:sz="6" w:space="0"/>
              <w:right w:val="single" w:color="000000" w:sz="6" w:space="0"/>
            </w:tcBorders>
            <w:tcMar>
              <w:left w:w="0" w:type="dxa"/>
              <w:top w:w="0" w:type="dxa"/>
              <w:right w:w="0" w:type="dxa"/>
              <w:bottom w:w="0" w:type="dxa"/>
            </w:tcMar>
            <w:tcW w:w="2214"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15.762.162</w:t>
            </w:r>
            <w:r/>
          </w:p>
        </w:tc>
        <w:tc>
          <w:tcPr>
            <w:shd w:val="clear" w:color="ffffff" w:fill="ffffff"/>
            <w:tcBorders>
              <w:bottom w:val="single" w:color="000000" w:sz="6" w:space="0"/>
              <w:right w:val="single" w:color="000000" w:sz="6" w:space="0"/>
            </w:tcBorders>
            <w:tcMar>
              <w:left w:w="0" w:type="dxa"/>
              <w:top w:w="0" w:type="dxa"/>
              <w:right w:w="0" w:type="dxa"/>
              <w:bottom w:w="0" w:type="dxa"/>
            </w:tcMar>
            <w:tcW w:w="221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5.254.054</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16.084.612</w:t>
            </w:r>
            <w:r/>
          </w:p>
        </w:tc>
      </w:tr>
      <w:tr>
        <w:trPr>
          <w:trHeight w:val="300"/>
        </w:trPr>
        <w:tc>
          <w:tcPr>
            <w:gridSpan w:val="4"/>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86"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shd w:val="clear" w:color="ffffff" w:fill="ffffff"/>
            <w:tcBorders>
              <w:bottom w:val="single" w:color="000000" w:sz="6" w:space="0"/>
              <w:right w:val="single" w:color="000000" w:sz="6" w:space="0"/>
            </w:tcBorders>
            <w:tcMar>
              <w:left w:w="0" w:type="dxa"/>
              <w:top w:w="0" w:type="dxa"/>
              <w:right w:w="0" w:type="dxa"/>
              <w:bottom w:w="0" w:type="dxa"/>
            </w:tcMar>
            <w:tcW w:w="222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16.000.000</w:t>
            </w:r>
            <w:r/>
          </w:p>
        </w:tc>
      </w:tr>
    </w:tbl>
    <w:p>
      <w:pPr>
        <w:pBdr/>
        <w:spacing w:after="120" w:before="120" w:line="276" w:lineRule="auto"/>
        <w:ind/>
        <w:jc w:val="both"/>
        <w:rPr>
          <w:b/>
          <w:bCs/>
          <w:highlight w:val="none"/>
          <w:lang w:val="pt-BR"/>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16.000.000</w:t>
      </w:r>
      <w:r>
        <w:rPr>
          <w:b/>
          <w:bCs/>
          <w:color w:val="000000" w:themeColor="text1"/>
        </w:rPr>
        <w:t xml:space="preserve"> </w:t>
      </w:r>
      <w:r>
        <w:rPr>
          <w:b/>
          <w:bCs/>
        </w:rPr>
        <w:t xml:space="preserve">đồng/m².</w:t>
      </w:r>
      <w:r>
        <w:rPr>
          <w:b/>
          <w:bCs/>
          <w:highlight w:val="none"/>
          <w:lang w:val="pt-BR"/>
        </w:rPr>
      </w:r>
      <w:r>
        <w:rPr>
          <w:b/>
          <w:bCs/>
          <w:highlight w:val="none"/>
          <w:lang w:val="pt-BR"/>
        </w:rPr>
      </w:r>
    </w:p>
    <w:p>
      <w:pPr>
        <w:pBdr/>
        <w:spacing w:after="120" w:before="120" w:line="276" w:lineRule="auto"/>
        <w:ind w:right="0" w:firstLine="0" w:left="283"/>
        <w:jc w:val="both"/>
        <w:rPr>
          <w:b/>
          <w:bCs/>
          <w:highlight w:val="none"/>
          <w:lang w:val="pt-BR"/>
        </w:rPr>
      </w:pPr>
      <w:r>
        <w:rPr>
          <w:b/>
          <w:highlight w:val="none"/>
          <w:lang w:val="pt-BR"/>
        </w:rPr>
        <w:t xml:space="preserve">1.2 Xác định đơn giá đất ở và đất trồng cây hàng năm khác</w:t>
      </w:r>
      <w:r>
        <w:rPr>
          <w:b/>
          <w:bCs/>
          <w:highlight w:val="none"/>
          <w:lang w:val="pt-BR"/>
        </w:rPr>
      </w:r>
      <w:r>
        <w:rPr>
          <w:b/>
          <w:bCs/>
          <w:highlight w:val="none"/>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Khu vực </w:t>
      </w:r>
      <w:r>
        <w:rPr>
          <w:rFonts w:ascii="Times New Roman" w:hAnsi="Times New Roman" w:eastAsia="Times New Roman" w:cs="Times New Roman"/>
          <w:color w:val="000000"/>
          <w:sz w:val="24"/>
        </w:rPr>
        <w:t xml:space="preserve">tài </w:t>
      </w:r>
      <w:r>
        <w:rPr>
          <w:rFonts w:ascii="Times New Roman" w:hAnsi="Times New Roman" w:eastAsia="Times New Roman" w:cs="Times New Roman"/>
          <w:color w:val="000000"/>
          <w:sz w:val="24"/>
        </w:rPr>
        <w:t xml:space="preserve">sản thẩm định tọa lạc hạn chế giao dịch đất trồng cây hàng năm khác và đất ở riêng biệt mà hầu như chỉ có các giao dịch đất hỗn hợp, do vậy, cho mục đích định giá tại báo cáo này, Tổ thẩm định xác định giá trị đất trồng cây hàng năm khác và đất ở theo tỉ l</w:t>
      </w:r>
      <w:r>
        <w:rPr>
          <w:rFonts w:ascii="Times New Roman" w:hAnsi="Times New Roman" w:eastAsia="Times New Roman" w:cs="Times New Roman"/>
          <w:color w:val="000000"/>
          <w:sz w:val="24"/>
        </w:rPr>
        <w:t xml:space="preserve">ệ giữa giá đất trồng cây hàng năm khác với đất ở theo bảng giá UBND.</w:t>
      </w:r>
      <w:r/>
    </w:p>
    <w:p>
      <w:pPr>
        <w:pBdr>
          <w:top w:val="none" w:color="000000" w:sz="4" w:space="0"/>
          <w:left w:val="none" w:color="000000" w:sz="4" w:space="0"/>
          <w:bottom w:val="none" w:color="000000" w:sz="4" w:space="0"/>
          <w:right w:val="none" w:color="000000" w:sz="4" w:space="0"/>
        </w:pBdr>
        <w:spacing w:after="120" w:before="120" w:line="276" w:lineRule="auto"/>
        <w:ind w:right="0" w:firstLine="360" w:left="0"/>
        <w:jc w:val="both"/>
        <w:rPr/>
      </w:pPr>
      <w:r>
        <w:rPr>
          <w:rFonts w:ascii="Times New Roman" w:hAnsi="Times New Roman" w:eastAsia="Times New Roman" w:cs="Times New Roman"/>
          <w:color w:val="000000"/>
          <w:sz w:val="24"/>
        </w:rPr>
        <w:t xml:space="preserve">Vận dụng Nghị quyết số 28/2025/NQ-HĐND ngày 10/12/2025 của HĐND tỉnh Đồng Nai về việc quy định tiêu chí cụ thể để xác định vị trí từng loại đất, số lượng vị trí trong bảng giá đất; Quyết định bảng giá đất lần đầu trên địa bàn tỉnh Đồng Nai</w:t>
      </w:r>
      <w:r>
        <w:rPr>
          <w:rFonts w:ascii="Arial" w:hAnsi="Arial" w:eastAsia="Arial" w:cs="Arial"/>
          <w:color w:val="333333"/>
          <w:sz w:val="21"/>
          <w:highlight w:val="white"/>
        </w:rPr>
        <w:t xml:space="preserve">.</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ở tại: “Đường tỉnh 777 (đường Trảng Bom – Long Thành) từ Ngã ba cây xăng Xuân Dũng đến Giáp ranh phường Tam Phước” có đơn giá là: </w:t>
      </w:r>
      <w:r>
        <w:rPr>
          <w:rFonts w:ascii="Times New Roman" w:hAnsi="Times New Roman" w:eastAsia="Times New Roman" w:cs="Times New Roman"/>
          <w:b/>
          <w:color w:val="000000"/>
          <w:sz w:val="24"/>
        </w:rPr>
        <w:t xml:space="preserve">8.100.000 đồng</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 Đơn giá đất trồng cây hàng năm khác: </w:t>
      </w:r>
      <w:r>
        <w:rPr>
          <w:rFonts w:ascii="Times New Roman" w:hAnsi="Times New Roman" w:eastAsia="Times New Roman" w:cs="Times New Roman"/>
          <w:color w:val="000000"/>
          <w:sz w:val="24"/>
        </w:rPr>
        <w:t xml:space="preserve">“Đường tỉnh 777 (đường Trảng Bom – Long Thành) từ Ngã ba cây xăng Xuân Dũng đến Giáp ranh phường Tam Phước”</w:t>
      </w:r>
      <w:r>
        <w:rPr>
          <w:rFonts w:ascii="Times New Roman" w:hAnsi="Times New Roman" w:eastAsia="Times New Roman" w:cs="Times New Roman"/>
          <w:color w:val="000000"/>
          <w:sz w:val="24"/>
        </w:rPr>
        <w:t xml:space="preserve"> có đơn giá : </w:t>
      </w:r>
      <w:r>
        <w:rPr>
          <w:rFonts w:ascii="Times New Roman" w:hAnsi="Times New Roman" w:eastAsia="Times New Roman" w:cs="Times New Roman"/>
          <w:b/>
          <w:color w:val="000000"/>
          <w:sz w:val="24"/>
        </w:rPr>
        <w:t xml:space="preserve">730.000 đồng/m².</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Gọi đơn giá đất ở là X, đơn giá đất trồng cây hàng năm khác là Y ta có tổng giá trị quyền sử dụng đất là:</w:t>
      </w:r>
      <w:r/>
    </w:p>
    <w:p>
      <w:pPr>
        <w:pBdr>
          <w:top w:val="none" w:color="000000" w:sz="4" w:space="0"/>
          <w:left w:val="none" w:color="000000" w:sz="4" w:space="0"/>
          <w:bottom w:val="none" w:color="000000" w:sz="4" w:space="0"/>
          <w:right w:val="none" w:color="000000" w:sz="4" w:space="0"/>
        </w:pBdr>
        <w:tabs>
          <w:tab w:val="left" w:leader="none" w:pos="426"/>
          <w:tab w:val="left" w:leader="none" w:pos="851"/>
        </w:tabs>
        <w:spacing w:after="120" w:before="120"/>
        <w:ind w:right="0" w:firstLine="284" w:left="0"/>
        <w:jc w:val="both"/>
        <w:rPr/>
      </w:pPr>
      <w:r>
        <w:rPr>
          <w:rFonts w:ascii="Times New Roman" w:hAnsi="Times New Roman" w:eastAsia="Times New Roman" w:cs="Times New Roman"/>
          <w:color w:val="000000"/>
          <w:sz w:val="24"/>
        </w:rPr>
        <w:tab/>
        <w:tab/>
        <w:t xml:space="preserve">100*X + 153,8*Y = 16.000.000 * 253,8</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100*X + 153,8*Y = </w:t>
      </w:r>
      <w:r>
        <w:rPr>
          <w:rFonts w:ascii="Times New Roman" w:hAnsi="Times New Roman" w:eastAsia="Times New Roman" w:cs="Times New Roman"/>
          <w:color w:val="000000"/>
          <w:sz w:val="24"/>
        </w:rPr>
        <w:t xml:space="preserve">4.060.800.000</w:t>
      </w:r>
      <w:r>
        <w:rPr>
          <w:rFonts w:ascii="Times New Roman" w:hAnsi="Times New Roman" w:eastAsia="Times New Roman" w:cs="Times New Roman"/>
          <w:color w:val="000000"/>
          <w:sz w:val="20"/>
          <w:vertAlign w:val="superscript"/>
        </w:rPr>
        <w:t xml:space="preserve">(1)</w:t>
      </w:r>
      <w:r/>
    </w:p>
    <w:p>
      <w:pPr>
        <w:pBdr>
          <w:top w:val="none" w:color="000000" w:sz="4" w:space="0"/>
          <w:left w:val="none" w:color="000000" w:sz="4" w:space="0"/>
          <w:bottom w:val="none" w:color="000000" w:sz="4" w:space="0"/>
          <w:right w:val="none" w:color="000000" w:sz="4" w:space="0"/>
        </w:pBdr>
        <w:tabs>
          <w:tab w:val="left" w:leader="none" w:pos="426"/>
        </w:tabs>
        <w:spacing w:after="120" w:before="120"/>
        <w:ind w:right="0" w:firstLine="0" w:left="0"/>
        <w:jc w:val="both"/>
        <w:rPr/>
      </w:pPr>
      <w:r>
        <w:rPr>
          <w:rFonts w:ascii="Times New Roman" w:hAnsi="Times New Roman" w:eastAsia="Times New Roman" w:cs="Times New Roman"/>
          <w:color w:val="000000"/>
          <w:sz w:val="24"/>
        </w:rPr>
        <w:t xml:space="preserve">Theo chênh lệch giá đất ở so với đất trồng cây hàng năm khác theo giá UBND:</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284" w:left="0"/>
        <w:jc w:val="both"/>
        <w:rPr/>
      </w:pPr>
      <w:r>
        <w:rPr>
          <w:rFonts w:ascii="Times New Roman" w:hAnsi="Times New Roman" w:eastAsia="Times New Roman" w:cs="Times New Roman"/>
          <w:color w:val="000000"/>
          <w:sz w:val="24"/>
        </w:rPr>
        <w:tab/>
        <w:t xml:space="preserve">X – Y = 8.100.000 - 730.000</w:t>
      </w:r>
      <w:r/>
    </w:p>
    <w:p>
      <w:pPr>
        <w:pBdr>
          <w:top w:val="none" w:color="000000" w:sz="4" w:space="0"/>
          <w:left w:val="none" w:color="000000" w:sz="4" w:space="0"/>
          <w:bottom w:val="none" w:color="000000" w:sz="4" w:space="0"/>
          <w:right w:val="none" w:color="000000" w:sz="4" w:space="0"/>
        </w:pBdr>
        <w:tabs>
          <w:tab w:val="left" w:leader="none" w:pos="851"/>
        </w:tabs>
        <w:spacing w:after="120" w:before="120"/>
        <w:ind w:right="0" w:firstLine="0" w:left="0"/>
        <w:jc w:val="both"/>
        <w:rPr/>
      </w:pPr>
      <w:r>
        <w:rPr>
          <w:rFonts w:ascii="Times New Roman" w:hAnsi="Times New Roman" w:eastAsia="Times New Roman" w:cs="Times New Roman"/>
          <w:color w:val="000000"/>
          <w:sz w:val="24"/>
        </w:rPr>
        <w:t xml:space="preserve">  </w:t>
        <w:tab/>
        <w:t xml:space="preserve">X – Y = 7.370.000 </w:t>
      </w:r>
      <w:r>
        <w:rPr>
          <w:rFonts w:ascii="Times New Roman" w:hAnsi="Times New Roman" w:eastAsia="Times New Roman" w:cs="Times New Roman"/>
          <w:color w:val="000000"/>
          <w:sz w:val="20"/>
          <w:vertAlign w:val="superscript"/>
        </w:rPr>
        <w:t xml:space="preserve">(2)</w:t>
      </w: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Từ (1) và (2) suy ra : X = </w:t>
      </w:r>
      <w:r>
        <w:rPr>
          <w:rFonts w:ascii="Times New Roman" w:hAnsi="Times New Roman" w:eastAsia="Times New Roman" w:cs="Times New Roman"/>
          <w:b/>
          <w:color w:val="000000"/>
          <w:sz w:val="24"/>
        </w:rPr>
        <w:t xml:space="preserve">20.462.987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và Y =</w:t>
      </w:r>
      <w:r>
        <w:rPr>
          <w:rFonts w:ascii="Times New Roman" w:hAnsi="Times New Roman" w:eastAsia="Times New Roman" w:cs="Times New Roman"/>
          <w:b/>
          <w:color w:val="000000"/>
          <w:sz w:val="24"/>
        </w:rPr>
        <w:t xml:space="preserve"> 13.092.987 đồng/m</w:t>
      </w:r>
      <w:r>
        <w:rPr>
          <w:rFonts w:ascii="Times New Roman" w:hAnsi="Times New Roman" w:eastAsia="Times New Roman" w:cs="Times New Roman"/>
          <w:b/>
          <w:color w:val="000000"/>
          <w:sz w:val="20"/>
          <w:vertAlign w:val="superscript"/>
        </w:rPr>
        <w:t xml:space="preserve">2</w:t>
      </w:r>
      <w:r>
        <w:rPr>
          <w:rFonts w:ascii="Times New Roman" w:hAnsi="Times New Roman" w:eastAsia="Times New Roman" w:cs="Times New Roman"/>
          <w:sz w:val="24"/>
        </w:rPr>
      </w:r>
      <w:r/>
    </w:p>
    <w:p>
      <w:pPr>
        <w:pStyle w:val="1031"/>
        <w:numPr>
          <w:ilvl w:val="0"/>
          <w:numId w:val="26"/>
        </w:numPr>
        <w:pBdr/>
        <w:spacing w:after="120" w:before="120" w:line="276" w:lineRule="auto"/>
        <w:ind w:hanging="357" w:left="357"/>
        <w:jc w:val="both"/>
        <w:rPr>
          <w:b/>
          <w:lang w:val="pt-BR"/>
        </w:rPr>
      </w:pPr>
      <w:r>
        <w:rPr>
          <w:b/>
          <w:lang w:val="pt-BR"/>
        </w:rPr>
        <w:t xml:space="preserve">Xác định đơn giá đất trồng cây hàng năm nằm trong chỉ giới quy hoạch giao thông:</w:t>
      </w:r>
      <w:r>
        <w:rPr>
          <w:b/>
          <w:lang w:val="pt-BR"/>
        </w:rPr>
      </w:r>
      <w:r>
        <w:rPr>
          <w:b/>
          <w:lang w:val="pt-BR"/>
        </w:rPr>
      </w:r>
    </w:p>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Cho mục đích định giá tại báo cáo này, đối với đất nằm trong chỉ giới HLGT, tổ thẩm định xác định là đất trồng cây hàng năm khác, tổ thẩm định đề xuất xác định theo Bảng giá đất của UBND tỉnh Quảng Ngãi.</w:t>
      </w:r>
      <w:r/>
    </w:p>
    <w:p>
      <w:pPr>
        <w:pBdr/>
        <w:spacing w:after="120" w:before="120" w:line="276" w:lineRule="auto"/>
        <w:ind w:firstLine="0" w:left="0"/>
        <w:jc w:val="both"/>
        <w:rPr>
          <w:b/>
          <w:bCs/>
          <w:highlight w:val="none"/>
          <w:lang w:val="pt-BR"/>
        </w:rPr>
      </w:pPr>
      <w:r>
        <w:rPr>
          <w:rFonts w:ascii="Times New Roman" w:hAnsi="Times New Roman" w:eastAsia="Times New Roman" w:cs="Times New Roman"/>
          <w:color w:val="000000"/>
          <w:sz w:val="24"/>
        </w:rPr>
        <w:t xml:space="preserve">Căn cứ </w:t>
      </w:r>
      <w:r>
        <w:rPr>
          <w:rFonts w:ascii="Times New Roman" w:hAnsi="Times New Roman" w:eastAsia="Times New Roman" w:cs="Times New Roman"/>
          <w:color w:val="000000"/>
          <w:sz w:val="24"/>
        </w:rPr>
        <w:t xml:space="preserve">Nghị quyết số 28/2025/NQ-HĐND ngày 10/12/2025 của HĐND tỉnh Đồng Nai về việc quy định tiêu chí cụ thể để xác định vị trí từng loại đất, số lượng vị trí trong bảng giá đất; Quyết định bảng giá đất lần đầu trên địa bàn tỉnh Đồng Nai</w:t>
      </w:r>
      <w:r>
        <w:rPr>
          <w:b/>
          <w:bCs/>
          <w:lang w:val="pt-BR"/>
        </w:rPr>
        <w:t xml:space="preserve">: </w:t>
      </w:r>
      <w:r>
        <w:rPr>
          <w:rFonts w:ascii="Times New Roman" w:hAnsi="Times New Roman" w:eastAsia="Times New Roman" w:cs="Times New Roman"/>
          <w:color w:val="000000"/>
          <w:sz w:val="24"/>
        </w:rPr>
        <w:t xml:space="preserve">Đơn giá đất trồng cây hàng năm khác </w:t>
      </w:r>
      <w:r>
        <w:rPr>
          <w:rFonts w:ascii="Times New Roman" w:hAnsi="Times New Roman" w:eastAsia="Times New Roman" w:cs="Times New Roman"/>
          <w:color w:val="000000"/>
          <w:sz w:val="24"/>
        </w:rPr>
        <w:t xml:space="preserve">“Đường tỉnh 777 (đường Trảng Bom – Long Thành) từ Ngã ba cây xăng Xuân Dũng đến Giáp ranh phường Tam Phước”</w:t>
      </w:r>
      <w:r>
        <w:rPr>
          <w:rFonts w:ascii="Times New Roman" w:hAnsi="Times New Roman" w:eastAsia="Times New Roman" w:cs="Times New Roman"/>
          <w:color w:val="000000"/>
          <w:sz w:val="24"/>
        </w:rPr>
        <w:t xml:space="preserve"> có đơn giá : </w:t>
      </w:r>
      <w:r>
        <w:rPr>
          <w:rFonts w:ascii="Times New Roman" w:hAnsi="Times New Roman" w:eastAsia="Times New Roman" w:cs="Times New Roman"/>
          <w:b/>
          <w:color w:val="000000"/>
          <w:sz w:val="24"/>
        </w:rPr>
        <w:t xml:space="preserve">730.000 đồng/m²</w:t>
      </w:r>
      <w:r>
        <w:rPr>
          <w:b/>
          <w:bCs/>
          <w:highlight w:val="none"/>
          <w:lang w:val="pt-BR"/>
        </w:rPr>
      </w:r>
      <w:r>
        <w:rPr>
          <w:b/>
          <w:bCs/>
          <w:highlight w:val="none"/>
          <w:lang w:val="pt-BR"/>
        </w:rPr>
      </w:r>
    </w:p>
    <w:p>
      <w:pPr>
        <w:pStyle w:val="1031"/>
        <w:numPr>
          <w:ilvl w:val="0"/>
          <w:numId w:val="39"/>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Bdr/>
        <w:spacing w:after="120" w:before="120" w:line="276" w:lineRule="auto"/>
        <w:ind w:firstLine="0" w:left="0"/>
        <w:jc w:val="both"/>
        <w:rPr>
          <w:b/>
          <w:bCs/>
          <w:lang w:val="pt-BR"/>
        </w:rPr>
      </w:pPr>
      <w:r>
        <w:rPr>
          <w:b/>
          <w:highlight w:val="none"/>
          <w:lang w:val="pt-BR" w:bidi="pt-BR"/>
        </w:rPr>
      </w:r>
      <w:r>
        <w:rPr>
          <w:b/>
          <w:bCs/>
          <w:lang w:val="pt-BR"/>
        </w:rPr>
      </w:r>
      <w:r>
        <w:rPr>
          <w:b/>
          <w:bCs/>
          <w:lang w:val="pt-BR"/>
        </w:rPr>
      </w:r>
    </w:p>
    <w:p>
      <w:pPr>
        <w:pStyle w:val="1031"/>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rPr>
          <w:highlight w:val="none"/>
        </w:rPr>
      </w:r>
      <w:r>
        <w:rPr>
          <w:highlight w:val="none"/>
        </w:rPr>
      </w:r>
    </w:p>
    <w:tbl>
      <w:tblPr>
        <w:tblStyle w:val="103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811"/>
        <w:gridCol w:w="3784"/>
        <w:gridCol w:w="1217"/>
        <w:gridCol w:w="1709"/>
        <w:gridCol w:w="2029"/>
      </w:tblGrid>
      <w:tr>
        <w:trPr>
          <w:trHeight w:val="730"/>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378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217"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029"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Thành tiền (đồng)</w:t>
            </w:r>
            <w:r/>
          </w:p>
        </w:tc>
      </w:tr>
      <w:tr>
        <w:trPr>
          <w:trHeight w:val="22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710" w:type="dxa"/>
            <w:vAlign w:val="center"/>
            <w:textDirection w:val="lrTb"/>
            <w:noWrap w:val="false"/>
          </w:tcPr>
          <w:p>
            <w:pPr>
              <w:pBdr/>
              <w:spacing w:after="0" w:before="0" w:line="240" w:lineRule="auto"/>
              <w:ind/>
              <w:jc w:val="both"/>
              <w:rPr/>
            </w:pPr>
            <w:r>
              <w:rPr>
                <w:rFonts w:ascii="Times New Roman" w:hAnsi="Times New Roman" w:eastAsia="Times New Roman" w:cs="Times New Roman"/>
                <w:b/>
                <w:color w:val="000000"/>
                <w:sz w:val="24"/>
              </w:rPr>
              <w:t xml:space="preserve">Quyền sử dụng đất và tài sản gắn liền với đất tại thửa đất số: 1598, tờ bản đồ số 3 có địa chỉ: Xã An Viễn, huyện Trảng Bom, tỉnh Đồng Nai (Nay là: xã An Viễn, thành phố Đồng Nai) theo Giấy chứng nhận quyền sử dụng đất quyền sở hữu nhà ở và tài sản khác gắ</w:t>
            </w:r>
            <w:r>
              <w:rPr>
                <w:rFonts w:ascii="Times New Roman" w:hAnsi="Times New Roman" w:eastAsia="Times New Roman" w:cs="Times New Roman"/>
                <w:b/>
                <w:color w:val="000000"/>
                <w:sz w:val="24"/>
              </w:rPr>
              <w:t xml:space="preserve">n liền với đất số: CN 211988, số vào sổ cấp GCN: CS 10972 do Sở Tài nguyên và Môi trường tỉnh Đồng Nai cấp ngày 26/06/2018; Chủ sử dụng đất là Ông Hoàng Ngọc Minh</w:t>
            </w:r>
            <w:r/>
          </w:p>
        </w:tc>
        <w:tc>
          <w:tcPr>
            <w:shd w:val="clear" w:color="ffffff" w:fill="ffffff"/>
            <w:tcBorders>
              <w:bottom w:val="single" w:color="000000" w:sz="6" w:space="0"/>
              <w:right w:val="single" w:color="000000" w:sz="6" w:space="0"/>
            </w:tcBorders>
            <w:tcMar>
              <w:left w:w="0" w:type="dxa"/>
              <w:top w:w="0" w:type="dxa"/>
              <w:right w:w="0" w:type="dxa"/>
              <w:bottom w:w="0" w:type="dxa"/>
            </w:tcMar>
            <w:tcW w:w="2029" w:type="dxa"/>
            <w:vAlign w:val="center"/>
            <w:textDirection w:val="lrTb"/>
            <w:noWrap w:val="false"/>
          </w:tcPr>
          <w:p>
            <w:pPr>
              <w:pBdr/>
              <w:spacing w:after="0" w:before="0" w:line="240" w:lineRule="auto"/>
              <w:ind/>
              <w:jc w:val="right"/>
              <w:rPr/>
            </w:pPr>
            <w:r>
              <w:rPr>
                <w:rFonts w:ascii="Times New Roman" w:hAnsi="Times New Roman" w:eastAsia="Times New Roman" w:cs="Times New Roman"/>
                <w:b/>
                <w:color w:val="000000"/>
                <w:sz w:val="24"/>
              </w:rPr>
              <w:t xml:space="preserve"> </w:t>
            </w:r>
            <w:r/>
          </w:p>
        </w:tc>
      </w:tr>
      <w:tr>
        <w:trPr>
          <w:trHeight w:val="31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7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ở </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20.462.987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2.046.298.700</w:t>
            </w:r>
            <w:r/>
          </w:p>
        </w:tc>
      </w:tr>
      <w:tr>
        <w:trPr>
          <w:trHeight w:val="68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7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hàng năm khác nằm ngoài chỉ giới QH giao thông</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153,8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13.092.987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2.013.701.401</w:t>
            </w:r>
            <w:r/>
          </w:p>
        </w:tc>
      </w:tr>
      <w:tr>
        <w:trPr>
          <w:trHeight w:val="720"/>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811"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378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Quyền sử dụng đất trồng cây hàng năm khác nằm trong chỉ giới QH giao thông</w:t>
            </w:r>
            <w:r/>
          </w:p>
        </w:tc>
        <w:tc>
          <w:tcPr>
            <w:tcBorders>
              <w:bottom w:val="single" w:color="000000" w:sz="6" w:space="0"/>
              <w:right w:val="single" w:color="000000" w:sz="6" w:space="0"/>
            </w:tcBorders>
            <w:tcMar>
              <w:left w:w="0" w:type="dxa"/>
              <w:top w:w="0" w:type="dxa"/>
              <w:right w:w="0" w:type="dxa"/>
              <w:bottom w:w="0" w:type="dxa"/>
            </w:tcMar>
            <w:tcW w:w="1217" w:type="dxa"/>
            <w:vAlign w:val="center"/>
            <w:textDirection w:val="lrTb"/>
            <w:noWrap/>
          </w:tcPr>
          <w:p>
            <w:pPr>
              <w:pBdr/>
              <w:spacing w:after="0" w:before="0" w:line="240" w:lineRule="auto"/>
              <w:ind/>
              <w:rPr/>
            </w:pPr>
            <w:r>
              <w:rPr>
                <w:rFonts w:ascii="Times New Roman" w:hAnsi="Times New Roman" w:eastAsia="Times New Roman" w:cs="Times New Roman"/>
                <w:color w:val="000000"/>
                <w:sz w:val="24"/>
              </w:rPr>
              <w:t xml:space="preserve">         241,5 </w:t>
            </w:r>
            <w:r/>
          </w:p>
        </w:tc>
        <w:tc>
          <w:tcPr>
            <w:shd w:val="clear" w:color="ffffff" w:fill="ffffff"/>
            <w:tcBorders>
              <w:bottom w:val="single" w:color="000000" w:sz="6" w:space="0"/>
              <w:right w:val="single" w:color="000000" w:sz="6" w:space="0"/>
            </w:tcBorders>
            <w:tcMar>
              <w:left w:w="0" w:type="dxa"/>
              <w:top w:w="0" w:type="dxa"/>
              <w:right w:w="0" w:type="dxa"/>
              <w:bottom w:w="0" w:type="dxa"/>
            </w:tcMar>
            <w:tcW w:w="1709"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             730.000 </w:t>
            </w:r>
            <w:r/>
          </w:p>
        </w:tc>
        <w:tc>
          <w:tcPr>
            <w:shd w:val="clear" w:color="ffffff" w:fill="ffffff"/>
            <w:tcBorders>
              <w:bottom w:val="single" w:color="000000" w:sz="6" w:space="0"/>
              <w:right w:val="single" w:color="000000" w:sz="6" w:space="0"/>
            </w:tcBorders>
            <w:tcMar>
              <w:left w:w="0" w:type="dxa"/>
              <w:top w:w="0" w:type="dxa"/>
              <w:right w:w="0" w:type="dxa"/>
              <w:bottom w:w="0" w:type="dxa"/>
            </w:tcMar>
            <w:tcW w:w="2029" w:type="dxa"/>
            <w:vAlign w:val="center"/>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176.295.000</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2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029"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4.236.295.101</w:t>
            </w:r>
            <w:r/>
          </w:p>
        </w:tc>
      </w:tr>
      <w:tr>
        <w:trPr>
          <w:trHeight w:val="310"/>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521"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bottom w:val="single" w:color="000000" w:sz="6" w:space="0"/>
              <w:right w:val="single" w:color="000000" w:sz="6" w:space="0"/>
            </w:tcBorders>
            <w:tcMar>
              <w:left w:w="0" w:type="dxa"/>
              <w:top w:w="0" w:type="dxa"/>
              <w:right w:w="0" w:type="dxa"/>
              <w:bottom w:w="0" w:type="dxa"/>
            </w:tcMar>
            <w:tcW w:w="2029" w:type="dxa"/>
            <w:vAlign w:val="center"/>
            <w:textDirection w:val="lrTb"/>
            <w:noWrap/>
          </w:tcPr>
          <w:p>
            <w:pPr>
              <w:pBdr/>
              <w:spacing w:after="0" w:before="0" w:line="240" w:lineRule="auto"/>
              <w:ind/>
              <w:jc w:val="right"/>
              <w:rPr/>
            </w:pPr>
            <w:r>
              <w:rPr>
                <w:rFonts w:ascii="Times New Roman" w:hAnsi="Times New Roman" w:eastAsia="Times New Roman" w:cs="Times New Roman"/>
                <w:b/>
                <w:color w:val="000000"/>
                <w:sz w:val="24"/>
              </w:rPr>
              <w:t xml:space="preserve">4.236.000.000</w:t>
            </w:r>
            <w:r/>
          </w:p>
        </w:tc>
      </w:tr>
      <w:tr>
        <w:trPr>
          <w:trHeight w:val="310"/>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50" w:type="dxa"/>
            <w:vAlign w:val="center"/>
            <w:textDirection w:val="lrTb"/>
            <w:noWrap w:val="false"/>
          </w:tcPr>
          <w:p>
            <w:pPr>
              <w:pBdr/>
              <w:spacing w:after="0" w:before="0" w:line="240" w:lineRule="auto"/>
              <w:ind/>
              <w:jc w:val="center"/>
              <w:rPr/>
            </w:pPr>
            <w:r>
              <w:rPr>
                <w:rFonts w:ascii="Times New Roman" w:hAnsi="Times New Roman" w:eastAsia="Times New Roman" w:cs="Times New Roman"/>
                <w:b/>
                <w:i/>
                <w:color w:val="000000"/>
                <w:sz w:val="24"/>
              </w:rPr>
              <w:t xml:space="preserve">(Bằng chữ: Bốn tỷ hai trăm ba mươi sáu triệu đồng chẵn ./.)</w:t>
            </w:r>
            <w:r/>
          </w:p>
        </w:tc>
      </w:tr>
    </w:tbl>
    <w:p>
      <w:pPr>
        <w:pStyle w:val="103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3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3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3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3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3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3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3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3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3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3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3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3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31"/>
        <w:numPr>
          <w:ilvl w:val="0"/>
          <w:numId w:val="41"/>
        </w:numPr>
        <w:pBdr/>
        <w:tabs>
          <w:tab w:val="left" w:leader="none" w:pos="993"/>
        </w:tabs>
        <w:spacing w:after="120" w:before="120" w:line="264" w:lineRule="auto"/>
        <w:ind/>
        <w:jc w:val="both"/>
        <w:rPr>
          <w:spacing w:val="-2"/>
          <w:lang w:val="pt-BR"/>
        </w:rPr>
      </w:pPr>
      <w:r>
        <w:rPr>
          <w:lang w:val="pt-BR"/>
        </w:rPr>
      </w:r>
      <w:r>
        <w:rPr>
          <w:rFonts w:ascii="Times New Roman" w:hAnsi="Times New Roman" w:eastAsia="Times New Roman" w:cs="Times New Roman"/>
          <w:color w:val="000000"/>
          <w:sz w:val="24"/>
        </w:rPr>
        <w:t xml:space="preserve">Tại thời điểm thẩm định giá, Tổ thẩm định nhận thấy tại trang 02 của GCN QSDĐ số CN 211988 có 241,5m² đất thuộc quy hoạch đất giao thông. </w:t>
      </w:r>
      <w:r>
        <w:rPr>
          <w:rFonts w:ascii="Times New Roman" w:hAnsi="Times New Roman" w:eastAsia="Times New Roman" w:cs="Times New Roman"/>
          <w:color w:val="000000"/>
          <w:sz w:val="24"/>
        </w:rPr>
        <w:t xml:space="preserve">Ngoài ra, khách hàng/Chủ sử dụng đất không cung cấp thêm bất cứ hồ sơ pháp lý nào liên quan tới thông tin quy hoạch của thửa đất. Theo đề nghị của Ngân hàng/Khách hàng, tổ thẩm định xác định giá trị tài sản theo thông tin quy hoạch nêu trên. Đối với diện t</w:t>
      </w:r>
      <w:r>
        <w:rPr>
          <w:rFonts w:ascii="Times New Roman" w:hAnsi="Times New Roman" w:eastAsia="Times New Roman" w:cs="Times New Roman"/>
          <w:color w:val="000000"/>
          <w:sz w:val="24"/>
        </w:rPr>
        <w:t xml:space="preserve">ích nằm ngoài quy hoạch tổ thẩm định đánh giá theo giá trị thị trường, đối với phần nằm trong quy hoạch tổ thẩm định đánh giá theo giá khung UBND tại thời điểm thẩm định, giá trị đền bù thực tế còn phụ thuộc vào thỏa thuận các bên tại thời điểm Nhà nước gi</w:t>
      </w:r>
      <w:r>
        <w:rPr>
          <w:rFonts w:ascii="Times New Roman" w:hAnsi="Times New Roman" w:eastAsia="Times New Roman" w:cs="Times New Roman"/>
          <w:color w:val="000000"/>
          <w:sz w:val="24"/>
        </w:rPr>
        <w:t xml:space="preserve">ải phóng mặt bằng thực hiện quy hoạch. Đề nghị đơn vị sử dụng kết quả lưu ý kiểm tra xác minh thêm thông tin quy hoạch nếu thấy cần thiết. Trong trường hợp Khách hàng/Ngân hàng cung cấp được Văn bản xác nhận rõ phần diện tích thuộc quy hoạch mà có sự sai k</w:t>
      </w:r>
      <w:r>
        <w:rPr>
          <w:rFonts w:ascii="Times New Roman" w:hAnsi="Times New Roman" w:eastAsia="Times New Roman" w:cs="Times New Roman"/>
          <w:color w:val="000000"/>
          <w:sz w:val="24"/>
        </w:rPr>
        <w:t xml:space="preserve">hác so với số liệu nêu trên thì kết quả thẩm định giá cần được xem xét, điều chỉnh phù hợp, đồng thời chúng tôi bảo lưu quyền xem xét lại kết quả thẩm định giá</w:t>
      </w:r>
      <w:r>
        <w:rPr>
          <w:spacing w:val="-2"/>
          <w:lang w:val="pt-BR"/>
        </w:rPr>
        <w:t xml:space="preserve">.</w:t>
      </w:r>
      <w:r>
        <w:rPr>
          <w:spacing w:val="-2"/>
          <w:lang w:val="pt-BR"/>
        </w:rPr>
      </w:r>
      <w:r>
        <w:rPr>
          <w:spacing w:val="-2"/>
          <w:lang w:val="pt-BR"/>
        </w:rPr>
      </w:r>
    </w:p>
    <w:p>
      <w:pPr>
        <w:pStyle w:val="1031"/>
        <w:numPr>
          <w:ilvl w:val="0"/>
          <w:numId w:val="41"/>
        </w:numPr>
        <w:pBdr/>
        <w:tabs>
          <w:tab w:val="left" w:leader="none" w:pos="993"/>
        </w:tabs>
        <w:spacing w:after="120" w:before="120" w:line="264" w:lineRule="auto"/>
        <w:ind/>
        <w:jc w:val="both"/>
        <w:rPr>
          <w:spacing w:val="-2"/>
          <w:lang w:val="pt-BR"/>
        </w:rPr>
      </w:pPr>
      <w:r>
        <w:rPr>
          <w:spacing w:val="-2"/>
          <w:highlight w:val="none"/>
          <w:lang w:val="pt-BR" w:bidi="pt-BR"/>
        </w:rPr>
        <w:t xml:space="preserve">Tại thời điểm thẩm định giá, qua khảo sát tài sản tổ thẩm định nhận thất </w:t>
      </w:r>
      <w:r>
        <w:rPr>
          <w:spacing w:val="-2"/>
          <w:highlight w:val="none"/>
          <w:lang w:val="pt-BR" w:bidi="pt-BR"/>
        </w:rPr>
        <w:t xml:space="preserve">trên đất có 01 nhà 01 tầng, xây tường cao khoảng 3m, mái lợp tôn, xây dựng hết đất, hiện trạng nhà khá, hiện nhà đang được sử dụng bình thường. Công trình chưa được công nhận trên GCN QSDĐ.</w:t>
      </w:r>
      <w:r>
        <w:rPr>
          <w:spacing w:val="-2"/>
          <w:highlight w:val="none"/>
          <w:lang w:val="pt-BR" w:bidi="pt-BR"/>
        </w:rPr>
        <w:t xml:space="preserve"> </w:t>
      </w:r>
      <w:r>
        <w:rPr>
          <w:spacing w:val="-2"/>
          <w:highlight w:val="none"/>
          <w:lang w:val="pt-BR" w:bidi="pt-BR"/>
        </w:rPr>
        <w:t xml:space="preserve">Do vậy, theo đề nghị của Ngân hàng/Khách hàng, Tổ thẩm định không xác định giá trị của công trình xây dựng vào tổng giá trị, nhưng vẫn coi đó là phần không thể tách rời của tài sản thẩm định. Kính đề nghị đơn vị sử dụng kết quả lưu ý.</w:t>
      </w:r>
      <w:r>
        <w:rPr>
          <w:spacing w:val="-2"/>
          <w:lang w:val="pt-BR"/>
        </w:rPr>
      </w:r>
      <w:r>
        <w:rPr>
          <w:spacing w:val="-2"/>
          <w:lang w:val="pt-BR"/>
        </w:rPr>
      </w:r>
    </w:p>
    <w:p>
      <w:pPr>
        <w:pStyle w:val="103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3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3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3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3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3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275/2026/0829/VFI-CT.36.A</w:t>
      </w:r>
      <w:r>
        <w:rPr>
          <w:color w:val="ff0000"/>
          <w:lang w:val="vi-VN"/>
        </w:rPr>
        <w:t xml:space="preserve"> </w:t>
      </w:r>
      <w:r>
        <w:rPr>
          <w:color w:val="000000" w:themeColor="text1"/>
        </w:rPr>
        <w:t xml:space="preserve">ngày 02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Tấn Sang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275/2026/0829/VFI-BC.36.A</w:t>
      </w:r>
      <w:r>
        <w:rPr>
          <w:i/>
          <w:lang w:val="pt-BR"/>
        </w:rPr>
        <w:t xml:space="preserve"> </w:t>
      </w:r>
      <w:r>
        <w:rPr>
          <w:i/>
          <w:lang w:val="pt-BR"/>
        </w:rPr>
        <w:t xml:space="preserve">ngày 02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933895" cy="2541485"/>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953486" name=""/>
                              <pic:cNvPicPr>
                                <a:picLocks noChangeAspect="1"/>
                              </pic:cNvPicPr>
                              <pic:nvPr/>
                            </pic:nvPicPr>
                            <pic:blipFill rotWithShape="1">
                              <a:blip r:embed="rId18"/>
                              <a:stretch/>
                            </pic:blipFill>
                            <pic:spPr bwMode="auto">
                              <a:xfrm flipH="0" flipV="0">
                                <a:off x="0" y="0"/>
                                <a:ext cx="2933895" cy="25414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31.02pt;height:200.12pt;mso-wrap-distance-left:0.00pt;mso-wrap-distance-top:0.00pt;mso-wrap-distance-right:0.00pt;mso-wrap-distance-bottom:0.00pt;z-index:1;" stroked="false">
                      <v:imagedata r:id="rId18"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77961" cy="247798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31252" name=""/>
                              <pic:cNvPicPr>
                                <a:picLocks noChangeAspect="1"/>
                              </pic:cNvPicPr>
                              <pic:nvPr/>
                            </pic:nvPicPr>
                            <pic:blipFill rotWithShape="1">
                              <a:blip r:embed="rId19"/>
                              <a:stretch/>
                            </pic:blipFill>
                            <pic:spPr bwMode="auto">
                              <a:xfrm flipH="0" flipV="0">
                                <a:off x="0" y="0"/>
                                <a:ext cx="2777961" cy="24779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18.74pt;height:195.12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rHeight w:val="397"/>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62681" cy="2552402"/>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628192" name=""/>
                              <pic:cNvPicPr>
                                <a:picLocks noChangeAspect="1"/>
                              </pic:cNvPicPr>
                              <pic:nvPr/>
                            </pic:nvPicPr>
                            <pic:blipFill rotWithShape="1">
                              <a:blip r:embed="rId20"/>
                              <a:stretch/>
                            </pic:blipFill>
                            <pic:spPr bwMode="auto">
                              <a:xfrm flipH="0" flipV="0">
                                <a:off x="0" y="0"/>
                                <a:ext cx="2862681" cy="255240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41pt;height:200.98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85573" cy="253123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04348" name=""/>
                              <pic:cNvPicPr>
                                <a:picLocks noChangeAspect="1"/>
                              </pic:cNvPicPr>
                              <pic:nvPr/>
                            </pic:nvPicPr>
                            <pic:blipFill rotWithShape="1">
                              <a:blip r:embed="rId21"/>
                              <a:stretch/>
                            </pic:blipFill>
                            <pic:spPr bwMode="auto">
                              <a:xfrm flipH="0" flipV="0">
                                <a:off x="0" y="0"/>
                                <a:ext cx="2785573" cy="25312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9.34pt;height:199.3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3003151" cy="2418327"/>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63192" name=""/>
                              <pic:cNvPicPr>
                                <a:picLocks noChangeAspect="1"/>
                              </pic:cNvPicPr>
                              <pic:nvPr/>
                            </pic:nvPicPr>
                            <pic:blipFill rotWithShape="1">
                              <a:blip r:embed="rId22"/>
                              <a:stretch/>
                            </pic:blipFill>
                            <pic:spPr bwMode="auto">
                              <a:xfrm flipH="0" flipV="0">
                                <a:off x="0" y="0"/>
                                <a:ext cx="3003151" cy="241832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6.47pt;height:190.42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803569" cy="244478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0366" name=""/>
                              <pic:cNvPicPr>
                                <a:picLocks noChangeAspect="1"/>
                              </pic:cNvPicPr>
                              <pic:nvPr/>
                            </pic:nvPicPr>
                            <pic:blipFill rotWithShape="1">
                              <a:blip r:embed="rId23"/>
                              <a:stretch/>
                            </pic:blipFill>
                            <pic:spPr bwMode="auto">
                              <a:xfrm flipH="0" flipV="0">
                                <a:off x="0" y="0"/>
                                <a:ext cx="2803569" cy="244478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0.75pt;height:192.50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after="200" w:line="276" w:lineRule="auto"/>
        <w:ind/>
        <w:rPr/>
      </w:pPr>
      <w:r/>
      <w:r/>
    </w:p>
    <w:p>
      <w:pPr>
        <w:pBdr/>
        <w:shd w:val="nil" w:color="auto"/>
        <w:spacing/>
        <w:ind/>
        <w:jc w:val="center"/>
        <w:rPr>
          <w:b/>
          <w:bCs/>
          <w:highlight w:val="none"/>
        </w:rPr>
      </w:pPr>
      <w:r>
        <w:rPr>
          <w:b/>
          <w:highlight w:val="none"/>
        </w:rPr>
        <w:t xml:space="preserve">GIẤY CHỨNG NHẬN QUYỀN SỬ DỤNG ĐẤT</w:t>
      </w:r>
      <w:r>
        <w:rPr>
          <w:b/>
          <w:bCs/>
          <w:highlight w:val="none"/>
        </w:rPr>
      </w:r>
      <w:r>
        <w:rPr>
          <w:b/>
          <w:bCs/>
          <w:highlight w:val="none"/>
        </w:rPr>
      </w:r>
    </w:p>
    <w:p>
      <w:pPr>
        <w:pBdr/>
        <w:shd w:val="nil" w:color="000000"/>
        <w:spacing/>
        <w:ind/>
        <w:jc w:val="center"/>
        <w:rPr>
          <w:b/>
          <w:bCs/>
          <w:highlight w:val="none"/>
        </w:rPr>
      </w:pPr>
      <w:r>
        <w:rPr>
          <w:b/>
          <w:highlight w:val="none"/>
        </w:rPr>
      </w:r>
      <w:r>
        <w:rPr>
          <w:b/>
          <w:bCs/>
          <w:highlight w:val="none"/>
        </w:rPr>
      </w:r>
      <w:r>
        <w:rPr>
          <w:b/>
          <w:bCs/>
          <w:highlight w:val="none"/>
        </w:rPr>
      </w:r>
    </w:p>
    <w:p>
      <w:pPr>
        <w:pBdr/>
        <w:shd w:val="nil" w:color="000000"/>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8831070" cy="578738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230903" name=""/>
                        <pic:cNvPicPr>
                          <a:picLocks noChangeAspect="1"/>
                        </pic:cNvPicPr>
                        <pic:nvPr/>
                      </pic:nvPicPr>
                      <pic:blipFill rotWithShape="1">
                        <a:blip r:embed="rId24"/>
                        <a:stretch/>
                      </pic:blipFill>
                      <pic:spPr bwMode="auto">
                        <a:xfrm rot="16199969" flipH="0" flipV="0">
                          <a:off x="0" y="0"/>
                          <a:ext cx="8831069" cy="578738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695.36pt;height:455.70pt;mso-wrap-distance-left:0.00pt;mso-wrap-distance-top:0.00pt;mso-wrap-distance-right:0.00pt;mso-wrap-distance-bottom:0.00pt;rotation:269;z-index:1;" stroked="false">
                <v:imagedata r:id="rId24" o:title=""/>
                <o:lock v:ext="edit" rotation="t"/>
              </v:shape>
            </w:pict>
          </mc:Fallback>
        </mc:AlternateContent>
      </w:r>
      <w:r>
        <w:rPr>
          <w:b/>
          <w:bCs/>
          <w:highlight w:val="none"/>
        </w:rPr>
      </w:r>
      <w:r>
        <w:rPr>
          <w:b/>
          <w:bCs/>
          <w:highlight w:val="none"/>
        </w:rPr>
      </w:r>
    </w:p>
    <w:p>
      <w:pPr>
        <w:pBdr/>
        <w:shd w:val="nil" w:color="auto"/>
        <w:spacing/>
        <w:ind/>
        <w:jc w:val="center"/>
        <w:rPr>
          <w:bCs/>
          <w:i/>
          <w:lang w:val="pt-BR"/>
        </w:rPr>
      </w:pPr>
      <w:r>
        <w:rPr>
          <w:b/>
          <w:highlight w:val="none"/>
        </w:rPr>
      </w:r>
      <w:r>
        <mc:AlternateContent>
          <mc:Choice Requires="wpg">
            <w:drawing>
              <wp:inline xmlns:wp="http://schemas.openxmlformats.org/drawingml/2006/wordprocessingDrawing" distT="0" distB="0" distL="0" distR="0">
                <wp:extent cx="8934767" cy="587050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8374231" name=""/>
                        <pic:cNvPicPr>
                          <a:picLocks noChangeAspect="1"/>
                        </pic:cNvPicPr>
                        <pic:nvPr/>
                      </pic:nvPicPr>
                      <pic:blipFill rotWithShape="1">
                        <a:blip r:embed="rId25"/>
                        <a:stretch/>
                      </pic:blipFill>
                      <pic:spPr bwMode="auto">
                        <a:xfrm rot="16199969" flipH="0" flipV="0">
                          <a:off x="0" y="0"/>
                          <a:ext cx="8934766" cy="587050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703.52pt;height:462.24pt;mso-wrap-distance-left:0.00pt;mso-wrap-distance-top:0.00pt;mso-wrap-distance-right:0.00pt;mso-wrap-distance-bottom:0.00pt;rotation:269;z-index:1;" stroked="false">
                <v:imagedata r:id="rId25" o:title=""/>
                <o:lock v:ext="edit" rotation="t"/>
              </v:shape>
            </w:pict>
          </mc:Fallback>
        </mc:AlternateContent>
      </w:r>
      <w:r>
        <w:rPr>
          <w:bCs/>
          <w:i/>
          <w:lang w:val="pt-BR"/>
        </w:rPr>
      </w:r>
      <w:r>
        <w:rPr>
          <w:bCs/>
          <w:i/>
          <w:lang w:val="pt-BR"/>
        </w:rPr>
      </w:r>
    </w:p>
    <w:p>
      <w:pPr>
        <w:pBdr/>
        <w:shd w:val="nil" w:color="000000"/>
        <w:spacing/>
        <w:ind/>
        <w:jc w:val="center"/>
        <w:rPr>
          <w:b/>
          <w:bCs/>
          <w:highlight w:val="none"/>
        </w:rPr>
      </w:pPr>
      <w:r>
        <w:rPr>
          <w:b/>
          <w:highlight w:val="none"/>
        </w:rPr>
        <w:br w:type="page" w:clear="all"/>
      </w:r>
      <w:r>
        <w:rPr>
          <w:b/>
          <w:bCs/>
          <w:highlight w:val="none"/>
        </w:rPr>
      </w:r>
      <w:r>
        <w:rPr>
          <w:b/>
          <w:bCs/>
          <w:highlight w:val="none"/>
        </w:rPr>
      </w:r>
    </w:p>
    <w:p>
      <w:pPr>
        <w:pBdr/>
        <w:shd w:val="nil" w:color="auto"/>
        <w:spacing/>
        <w:ind/>
        <w:jc w:val="center"/>
        <w:rPr>
          <w:b/>
          <w:bCs/>
          <w:highlight w:val="none"/>
        </w:rPr>
      </w:pPr>
      <w:r>
        <w:rPr>
          <w:b/>
          <w:highlight w:val="none"/>
        </w:rPr>
        <w:t xml:space="preserve">BIÊN BẢN KHẢO SÁT HIỆN TRẠNG</w:t>
      </w:r>
      <w:r>
        <w:rPr>
          <w:b/>
          <w:bCs/>
          <w:highlight w:val="none"/>
        </w:rPr>
      </w:r>
      <w:r>
        <w:rPr>
          <w:b/>
          <w:bCs/>
          <w:highlight w:val="none"/>
        </w:rPr>
      </w:r>
    </w:p>
    <w:p>
      <w:pPr>
        <w:pBdr/>
        <w:shd w:val="nil" w:color="000000"/>
        <w:spacing/>
        <w:ind/>
        <w:jc w:val="center"/>
        <w:rPr>
          <w:b/>
          <w:bCs/>
          <w:highlight w:val="none"/>
        </w:rPr>
      </w:pPr>
      <w:r>
        <w:rPr>
          <w:b/>
          <w:highlight w:val="none"/>
        </w:rPr>
      </w:r>
      <w:r>
        <w:rPr>
          <w:b/>
          <w:bCs/>
          <w:highlight w:val="none"/>
        </w:rPr>
      </w:r>
      <w:r>
        <w:rPr>
          <w:b/>
          <w:bCs/>
          <w:highlight w:val="none"/>
        </w:rPr>
      </w:r>
    </w:p>
    <w:p>
      <w:pPr>
        <w:pBdr/>
        <w:shd w:val="nil" w:color="000000"/>
        <w:spacing/>
        <w:ind/>
        <w:jc w:val="center"/>
        <w:rPr>
          <w:b/>
          <w:bCs/>
          <w:highlight w:val="none"/>
        </w:rPr>
      </w:pPr>
      <w:r>
        <w:rPr>
          <w:b/>
          <w:highlight w:val="none"/>
        </w:rPr>
      </w:r>
      <w:r>
        <mc:AlternateContent>
          <mc:Choice Requires="wpg">
            <w:drawing>
              <wp:inline xmlns:wp="http://schemas.openxmlformats.org/drawingml/2006/wordprocessingDrawing" distT="0" distB="0" distL="0" distR="0">
                <wp:extent cx="6000750" cy="8534253"/>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2719" name=""/>
                        <pic:cNvPicPr>
                          <a:picLocks noChangeAspect="1"/>
                        </pic:cNvPicPr>
                        <pic:nvPr/>
                      </pic:nvPicPr>
                      <pic:blipFill rotWithShape="1">
                        <a:blip r:embed="rId26"/>
                        <a:stretch/>
                      </pic:blipFill>
                      <pic:spPr bwMode="auto">
                        <a:xfrm flipH="0" flipV="0">
                          <a:off x="0" y="0"/>
                          <a:ext cx="6000750" cy="85342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72.50pt;height:671.99pt;mso-wrap-distance-left:0.00pt;mso-wrap-distance-top:0.00pt;mso-wrap-distance-right:0.00pt;mso-wrap-distance-bottom:0.00pt;z-index:1;" stroked="false">
                <v:imagedata r:id="rId26" o:title=""/>
                <o:lock v:ext="edit" rotation="t"/>
              </v:shape>
            </w:pict>
          </mc:Fallback>
        </mc:AlternateContent>
      </w:r>
      <w:r>
        <w:rPr>
          <w:b/>
          <w:highlight w:val="none"/>
        </w:rPr>
        <w:br w:type="page" w:clear="all"/>
      </w:r>
      <w:r>
        <w:rPr>
          <w:b/>
          <w:bCs/>
          <w:highlight w:val="none"/>
        </w:rPr>
      </w:r>
      <w:r>
        <w:rPr>
          <w:b/>
          <w:bCs/>
          <w:highlight w:val="none"/>
        </w:rPr>
      </w:r>
    </w:p>
    <w:p>
      <w:pPr>
        <w:pBdr/>
        <w:spacing w:after="200" w:line="276" w:lineRule="auto"/>
        <w:ind/>
        <w:jc w:val="center"/>
        <w:rPr>
          <w:b/>
          <w:bCs/>
          <w:highlight w:val="none"/>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b/>
          <w:bCs/>
          <w:highlight w:val="none"/>
        </w:rPr>
      </w:r>
      <w:r>
        <w:rPr>
          <w:b/>
          <w:bCs/>
          <w:highlight w:val="none"/>
        </w:rPr>
      </w:r>
    </w:p>
    <w:p>
      <w:pPr>
        <w:pBdr/>
        <w:spacing/>
        <w:ind/>
        <w:jc w:val="center"/>
        <w:rPr>
          <w:i/>
          <w:lang w:val="pt-BR"/>
        </w:rPr>
      </w:pPr>
      <w:r>
        <w:rPr>
          <w:i/>
          <w:lang w:val="pt-BR"/>
        </w:rPr>
        <w:t xml:space="preserve">(Kèm theo Báo cáo thẩm định số </w:t>
      </w:r>
      <w:r>
        <w:rPr>
          <w:i/>
        </w:rPr>
        <w:t xml:space="preserve">275/2026/0829/VFI-BC.36.A</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https://www.facebook.com/groups/482345335620583/posts/2412166965971734/ - 0949617434 </w:t>
              <w:br/>
              <w:t xml:space="preserve">(Toán)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4.908.974.000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3.927.179.200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80m²;</w:t>
              <w:br/>
              <w:t xml:space="preserve">Đất trồng cây hàng năm khác: 147,2m²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Lâu dài; Đất trồng cây hàng năm khác: có thời hạn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283,4</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w:t>
            </w:r>
            <w:r/>
          </w:p>
        </w:tc>
      </w:tr>
      <w:tr>
        <w:trPr>
          <w:trHeight w:val="21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 Tổng diện tích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~35,2%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431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749890" cy="2394935"/>
                      <wp:effectExtent l="0" t="0" r="0" b="0"/>
                      <wp:docPr id="15" name=""/>
                      <wp:cNvGraphicFramePr/>
                      <a:graphic xmlns:a="http://schemas.openxmlformats.org/drawingml/2006/main">
                        <a:graphicData uri="http://schemas.openxmlformats.org/drawingml/2006/picture">
                          <pic:pic xmlns:pic="http://schemas.openxmlformats.org/drawingml/2006/picture">
                            <pic:nvPicPr>
                              <pic:cNvPr id="1306617059" name="" descr=""/>
                              <pic:cNvPicPr/>
                              <pic:nvPr/>
                            </pic:nvPicPr>
                            <pic:blipFill rotWithShape="1">
                              <a:blip r:embed="rId27"/>
                              <a:stretch/>
                            </pic:blipFill>
                            <pic:spPr bwMode="auto">
                              <a:xfrm flipH="0" flipV="0">
                                <a:off x="0" y="0"/>
                                <a:ext cx="2749889" cy="23949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16.53pt;height:188.58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97465" cy="2555335"/>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06604996" name="" descr=""/>
                              <pic:cNvPicPr/>
                              <pic:nvPr/>
                            </pic:nvPicPr>
                            <pic:blipFill rotWithShape="1">
                              <a:blip r:embed="rId28"/>
                              <a:stretch/>
                            </pic:blipFill>
                            <pic:spPr bwMode="auto">
                              <a:xfrm flipH="0" flipV="0">
                                <a:off x="0" y="0"/>
                                <a:ext cx="2397464" cy="2555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88.78pt;height:201.2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02615" cy="2593435"/>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flipH="0" flipV="0">
                                <a:off x="0" y="0"/>
                                <a:ext cx="5502614" cy="25934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433.28pt;height:204.2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Nguyễn Tấn Sang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https://www.facebook.com/groups/482345335620583/posts/2411807512674346/ - 0795624648</w:t>
              <w:br/>
              <w:t xml:space="preserve">(Vĩ)</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300m²;</w:t>
              <w:br/>
              <w:t xml:space="preserve">Đất trồng cây hàng năm khác: 200m²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Trảng Bom- An Viễn ( ĐT777)</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6m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~60%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92740" cy="2896574"/>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2692739" cy="289657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2.03pt;height:228.08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6565" cy="2867999"/>
                      <wp:effectExtent l="0" t="0" r="0" b="0"/>
                      <wp:docPr id="19" name=""/>
                      <wp:cNvGraphicFramePr/>
                      <a:graphic xmlns:a="http://schemas.openxmlformats.org/drawingml/2006/main">
                        <a:graphicData uri="http://schemas.openxmlformats.org/drawingml/2006/picture">
                          <pic:pic xmlns:pic="http://schemas.openxmlformats.org/drawingml/2006/picture">
                            <pic:nvPicPr>
                              <pic:cNvPr id="1793145142" name="" descr=""/>
                              <pic:cNvPicPr/>
                              <pic:nvPr/>
                            </pic:nvPicPr>
                            <pic:blipFill rotWithShape="1">
                              <a:blip r:embed="rId31"/>
                              <a:stretch/>
                            </pic:blipFill>
                            <pic:spPr bwMode="auto">
                              <a:xfrm flipH="0" flipV="0">
                                <a:off x="0" y="0"/>
                                <a:ext cx="2816564" cy="2867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1.78pt;height:225.83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4162425" cy="4079335"/>
                      <wp:effectExtent l="0" t="0" r="0" b="0"/>
                      <wp:docPr id="20" name=""/>
                      <wp:cNvGraphicFramePr/>
                      <a:graphic xmlns:a="http://schemas.openxmlformats.org/drawingml/2006/main">
                        <a:graphicData uri="http://schemas.openxmlformats.org/drawingml/2006/picture">
                          <pic:pic xmlns:pic="http://schemas.openxmlformats.org/drawingml/2006/picture">
                            <pic:nvPicPr>
                              <pic:cNvPr id="2060951224" name="" descr=""/>
                              <pic:cNvPicPr/>
                              <pic:nvPr/>
                            </pic:nvPicPr>
                            <pic:blipFill rotWithShape="1">
                              <a:blip r:embed="rId32"/>
                              <a:stretch/>
                            </pic:blipFill>
                            <pic:spPr bwMode="auto">
                              <a:xfrm flipH="0" flipV="0">
                                <a:off x="0" y="0"/>
                                <a:ext cx="4162424" cy="407933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27.75pt;height:321.2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left"/>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Nguyễn Tấn Sang</w:t>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https://www.facebook.com/groups/482345335620583/posts/2379726845882413/ - 0961 619 772</w:t>
              <w:br/>
              <w:t xml:space="preserve">(Phương)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5.400.000.000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 (đồng)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4.860.000.000</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Đang giao dịch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Tháng 06/2026</w:t>
            </w: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Giao dịch bình thường trên thị trường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Mục đích sử dụng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ở: 100m²;</w:t>
              <w:br/>
              <w:t xml:space="preserve">Đất trồng cây hàng năm khác: 233m²</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hạn sử dụng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Lâu dài</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Tài sản nằm trên mặt đường vào KCN Giang Điền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Giao thông</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Khoảng 8m</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đất (m²)</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333</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tiền (m)</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Số lượng mặt tiếp giáp</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1 mặt tiền</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Hình dáng thửa đất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Thích hợp để ở/kinh doanh</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Tỉ lệ đất ở/Tổng diện tích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~30,3% </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68915" cy="3142591"/>
                      <wp:effectExtent l="0" t="0" r="0" b="0"/>
                      <wp:docPr id="21" name=""/>
                      <wp:cNvGraphicFramePr/>
                      <a:graphic xmlns:a="http://schemas.openxmlformats.org/drawingml/2006/main">
                        <a:graphicData uri="http://schemas.openxmlformats.org/drawingml/2006/picture">
                          <pic:pic xmlns:pic="http://schemas.openxmlformats.org/drawingml/2006/picture">
                            <pic:nvPicPr>
                              <pic:cNvPr id="559629002" name="" descr=""/>
                              <pic:cNvPicPr/>
                              <pic:nvPr/>
                            </pic:nvPicPr>
                            <pic:blipFill rotWithShape="1">
                              <a:blip r:embed="rId33"/>
                              <a:stretch/>
                            </pic:blipFill>
                            <pic:spPr bwMode="auto">
                              <a:xfrm flipH="0" flipV="0">
                                <a:off x="0" y="0"/>
                                <a:ext cx="2568914" cy="314259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02.28pt;height:247.45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46386"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402339128" name="" descr=""/>
                              <pic:cNvPicPr/>
                              <pic:nvPr/>
                            </pic:nvPicPr>
                            <pic:blipFill rotWithShape="1">
                              <a:blip r:embed="rId34"/>
                              <a:stretch/>
                            </pic:blipFill>
                            <pic:spPr bwMode="auto">
                              <a:xfrm flipH="0" flipV="0">
                                <a:off x="0" y="0"/>
                                <a:ext cx="274638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6.25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479260" cy="4835514"/>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rot="16199969" flipH="0" flipV="0">
                                <a:off x="0" y="0"/>
                                <a:ext cx="3479259" cy="4835513"/>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273.96pt;height:380.75pt;mso-wrap-distance-left:0.00pt;mso-wrap-distance-top:0.00pt;mso-wrap-distance-right:0.00pt;mso-wrap-distance-bottom:0.00pt;rotation:269;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Nguyễn Tấn Sang</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8">
    <w:nsid w:val="0C63D175"/>
    <w:lvl w:ilvl="0">
      <w:isLgl w:val="false"/>
      <w:lvlJc w:val="left"/>
      <w:lvlText w:val="%1."/>
      <w:numFmt w:val="decimal"/>
      <w:pPr>
        <w:pBdr/>
        <w:spacing/>
        <w:ind w:hanging="360" w:left="709"/>
      </w:pPr>
      <w:rPr/>
      <w:start w:val="1"/>
      <w:suff w:val="tab"/>
    </w:lvl>
    <w:lvl w:ilvl="1">
      <w:isLgl w:val="false"/>
      <w:lvlJc w:val="left"/>
      <w:lvlText w:val="%1.%2."/>
      <w:numFmt w:val="decimal"/>
      <w:pPr>
        <w:pBdr/>
        <w:spacing/>
        <w:ind w:hanging="360" w:left="1429"/>
      </w:pPr>
      <w:rPr/>
      <w:start w:val="1"/>
      <w:suff w:val="tab"/>
    </w:lvl>
    <w:lvl w:ilvl="2">
      <w:isLgl w:val="false"/>
      <w:lvlJc w:val="right"/>
      <w:lvlText w:val="%3."/>
      <w:numFmt w:val="lowerRoman"/>
      <w:pPr>
        <w:pBdr/>
        <w:spacing/>
        <w:ind w:hanging="180" w:left="2149"/>
      </w:pPr>
      <w:rPr/>
      <w:start w:val="1"/>
      <w:suff w:val="tab"/>
    </w:lvl>
    <w:lvl w:ilvl="3">
      <w:isLgl w:val="false"/>
      <w:lvlJc w:val="left"/>
      <w:lvlText w:val="%4."/>
      <w:numFmt w:val="decimal"/>
      <w:pPr>
        <w:pBdr/>
        <w:spacing/>
        <w:ind w:hanging="360" w:left="2869"/>
      </w:pPr>
      <w:rPr/>
      <w:start w:val="1"/>
      <w:suff w:val="tab"/>
    </w:lvl>
    <w:lvl w:ilvl="4">
      <w:isLgl w:val="false"/>
      <w:lvlJc w:val="left"/>
      <w:lvlText w:val="%5."/>
      <w:numFmt w:val="lowerLetter"/>
      <w:pPr>
        <w:pBdr/>
        <w:spacing/>
        <w:ind w:hanging="360" w:left="3589"/>
      </w:pPr>
      <w:rPr/>
      <w:start w:val="1"/>
      <w:suff w:val="tab"/>
    </w:lvl>
    <w:lvl w:ilvl="5">
      <w:isLgl w:val="false"/>
      <w:lvlJc w:val="right"/>
      <w:lvlText w:val="%6."/>
      <w:numFmt w:val="lowerRoman"/>
      <w:pPr>
        <w:pBdr/>
        <w:spacing/>
        <w:ind w:hanging="180" w:left="4309"/>
      </w:pPr>
      <w:rPr/>
      <w:start w:val="1"/>
      <w:suff w:val="tab"/>
    </w:lvl>
    <w:lvl w:ilvl="6">
      <w:isLgl w:val="false"/>
      <w:lvlJc w:val="left"/>
      <w:lvlText w:val="%7."/>
      <w:numFmt w:val="decimal"/>
      <w:pPr>
        <w:pBdr/>
        <w:spacing/>
        <w:ind w:hanging="360" w:left="5029"/>
      </w:pPr>
      <w:rPr/>
      <w:start w:val="1"/>
      <w:suff w:val="tab"/>
    </w:lvl>
    <w:lvl w:ilvl="7">
      <w:isLgl w:val="false"/>
      <w:lvlJc w:val="left"/>
      <w:lvlText w:val="%8."/>
      <w:numFmt w:val="lowerLetter"/>
      <w:pPr>
        <w:pBdr/>
        <w:spacing/>
        <w:ind w:hanging="360" w:left="5749"/>
      </w:pPr>
      <w:rPr/>
      <w:start w:val="1"/>
      <w:suff w:val="tab"/>
    </w:lvl>
    <w:lvl w:ilvl="8">
      <w:isLgl w:val="false"/>
      <w:lvlJc w:val="right"/>
      <w:lvlText w:val="%9."/>
      <w:numFmt w:val="lowerRoman"/>
      <w:pPr>
        <w:pBdr/>
        <w:spacing/>
        <w:ind w:hanging="180" w:left="6469"/>
      </w:pPr>
      <w:rPr/>
      <w:start w:val="1"/>
      <w:suff w:val="tab"/>
    </w:lvl>
  </w:abstractNum>
  <w:abstractNum w:abstractNumId="39">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40">
    <w:nsid w:val="40275DD4"/>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F02545B"/>
    <w:lvl w:ilvl="0">
      <w:isLgl w:val="false"/>
      <w:lvlJc w:val="left"/>
      <w:lvlText w:val="–"/>
      <w:numFmt w:val="bullet"/>
      <w:pPr>
        <w:pBdr/>
        <w:spacing/>
        <w:ind w:hanging="360" w:left="1417"/>
      </w:pPr>
      <w:rPr>
        <w:rFonts w:hint="default" w:ascii="Arial" w:hAnsi="Arial" w:eastAsia="Arial" w:cs="Arial"/>
      </w:rPr>
      <w:start w:val="1"/>
      <w:suff w:val="tab"/>
    </w:lvl>
    <w:lvl w:ilvl="1">
      <w:isLgl w:val="false"/>
      <w:lvlJc w:val="left"/>
      <w:lvlText w:val="o"/>
      <w:numFmt w:val="bullet"/>
      <w:pPr>
        <w:pBdr/>
        <w:spacing/>
        <w:ind w:hanging="360" w:left="2137"/>
      </w:pPr>
      <w:rPr>
        <w:rFonts w:hint="default" w:ascii="Courier New" w:hAnsi="Courier New" w:eastAsia="Courier New" w:cs="Courier New"/>
      </w:rPr>
      <w:start w:val="1"/>
      <w:suff w:val="tab"/>
    </w:lvl>
    <w:lvl w:ilvl="2">
      <w:isLgl w:val="false"/>
      <w:lvlJc w:val="left"/>
      <w:lvlText w:val="§"/>
      <w:numFmt w:val="bullet"/>
      <w:pPr>
        <w:pBdr/>
        <w:spacing/>
        <w:ind w:hanging="360" w:left="2857"/>
      </w:pPr>
      <w:rPr>
        <w:rFonts w:hint="default" w:ascii="Wingdings" w:hAnsi="Wingdings" w:eastAsia="Wingdings" w:cs="Wingdings"/>
      </w:rPr>
      <w:start w:val="1"/>
      <w:suff w:val="tab"/>
    </w:lvl>
    <w:lvl w:ilvl="3">
      <w:isLgl w:val="false"/>
      <w:lvlJc w:val="left"/>
      <w:lvlText w:val="·"/>
      <w:numFmt w:val="bullet"/>
      <w:pPr>
        <w:pBdr/>
        <w:spacing/>
        <w:ind w:hanging="360" w:left="3577"/>
      </w:pPr>
      <w:rPr>
        <w:rFonts w:hint="default" w:ascii="Symbol" w:hAnsi="Symbol" w:eastAsia="Symbol" w:cs="Symbol"/>
      </w:rPr>
      <w:start w:val="1"/>
      <w:suff w:val="tab"/>
    </w:lvl>
    <w:lvl w:ilvl="4">
      <w:isLgl w:val="false"/>
      <w:lvlJc w:val="left"/>
      <w:lvlText w:val="o"/>
      <w:numFmt w:val="bullet"/>
      <w:pPr>
        <w:pBdr/>
        <w:spacing/>
        <w:ind w:hanging="360" w:left="4297"/>
      </w:pPr>
      <w:rPr>
        <w:rFonts w:hint="default" w:ascii="Courier New" w:hAnsi="Courier New" w:eastAsia="Courier New" w:cs="Courier New"/>
      </w:rPr>
      <w:start w:val="1"/>
      <w:suff w:val="tab"/>
    </w:lvl>
    <w:lvl w:ilvl="5">
      <w:isLgl w:val="false"/>
      <w:lvlJc w:val="left"/>
      <w:lvlText w:val="§"/>
      <w:numFmt w:val="bullet"/>
      <w:pPr>
        <w:pBdr/>
        <w:spacing/>
        <w:ind w:hanging="360" w:left="5017"/>
      </w:pPr>
      <w:rPr>
        <w:rFonts w:hint="default" w:ascii="Wingdings" w:hAnsi="Wingdings" w:eastAsia="Wingdings" w:cs="Wingdings"/>
      </w:rPr>
      <w:start w:val="1"/>
      <w:suff w:val="tab"/>
    </w:lvl>
    <w:lvl w:ilvl="6">
      <w:isLgl w:val="false"/>
      <w:lvlJc w:val="left"/>
      <w:lvlText w:val="·"/>
      <w:numFmt w:val="bullet"/>
      <w:pPr>
        <w:pBdr/>
        <w:spacing/>
        <w:ind w:hanging="360" w:left="5737"/>
      </w:pPr>
      <w:rPr>
        <w:rFonts w:hint="default" w:ascii="Symbol" w:hAnsi="Symbol" w:eastAsia="Symbol" w:cs="Symbol"/>
      </w:rPr>
      <w:start w:val="1"/>
      <w:suff w:val="tab"/>
    </w:lvl>
    <w:lvl w:ilvl="7">
      <w:isLgl w:val="false"/>
      <w:lvlJc w:val="left"/>
      <w:lvlText w:val="o"/>
      <w:numFmt w:val="bullet"/>
      <w:pPr>
        <w:pBdr/>
        <w:spacing/>
        <w:ind w:hanging="360" w:left="6457"/>
      </w:pPr>
      <w:rPr>
        <w:rFonts w:hint="default" w:ascii="Courier New" w:hAnsi="Courier New" w:eastAsia="Courier New" w:cs="Courier New"/>
      </w:rPr>
      <w:start w:val="1"/>
      <w:suff w:val="tab"/>
    </w:lvl>
    <w:lvl w:ilvl="8">
      <w:isLgl w:val="false"/>
      <w:lvlJc w:val="left"/>
      <w:lvlText w:val="§"/>
      <w:numFmt w:val="bullet"/>
      <w:pPr>
        <w:pBdr/>
        <w:spacing/>
        <w:ind w:hanging="360" w:left="7177"/>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3">
    <w:name w:val="Table Grid Light"/>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1"/>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2"/>
    <w:basedOn w:val="101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3"/>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Plain Table 4"/>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Plain Table 5"/>
    <w:basedOn w:val="101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w:basedOn w:val="101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1 Light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1 Light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2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2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w:basedOn w:val="101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1"/>
    <w:basedOn w:val="101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3 - Accent 5"/>
    <w:basedOn w:val="101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3 - Accent 6"/>
    <w:basedOn w:val="101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w:basedOn w:val="101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1"/>
    <w:basedOn w:val="101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2"/>
    <w:basedOn w:val="101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3"/>
    <w:basedOn w:val="101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4"/>
    <w:basedOn w:val="101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4 - Accent 5"/>
    <w:basedOn w:val="101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4 - Accent 6"/>
    <w:basedOn w:val="101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Accent 1"/>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2"/>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3"/>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Accent 4"/>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5 Dark - Accent 5"/>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5 Dark - Accent 6"/>
    <w:basedOn w:val="101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5">
    <w:name w:val="Grid Table 6 Colorful - Accent 1"/>
    <w:basedOn w:val="101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6">
    <w:name w:val="Grid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7">
    <w:name w:val="Grid Table 6 Colorful - Accent 3"/>
    <w:basedOn w:val="101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8">
    <w:name w:val="Grid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9">
    <w:name w:val="Grid Table 6 Colorful - Accent 5"/>
    <w:basedOn w:val="101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0">
    <w:name w:val="Grid Table 6 Colorful - Accent 6"/>
    <w:basedOn w:val="101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91">
    <w:name w:val="Grid Table 7 Colorful"/>
    <w:basedOn w:val="101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1"/>
    <w:basedOn w:val="101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2"/>
    <w:basedOn w:val="101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3"/>
    <w:basedOn w:val="101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4"/>
    <w:basedOn w:val="101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7 Colorful - Accent 5"/>
    <w:basedOn w:val="101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7 Colorful - Accent 6"/>
    <w:basedOn w:val="101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1"/>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2"/>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3"/>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4"/>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1 Light - Accent 5"/>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1 Light - Accent 6"/>
    <w:basedOn w:val="101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w:basedOn w:val="101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1"/>
    <w:basedOn w:val="101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2"/>
    <w:basedOn w:val="101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3"/>
    <w:basedOn w:val="101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4"/>
    <w:basedOn w:val="101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2 - Accent 5"/>
    <w:basedOn w:val="101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2 - Accent 6"/>
    <w:basedOn w:val="101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1"/>
    <w:basedOn w:val="101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2"/>
    <w:basedOn w:val="101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3"/>
    <w:basedOn w:val="101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4"/>
    <w:basedOn w:val="101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3 - Accent 5"/>
    <w:basedOn w:val="101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3 - Accent 6"/>
    <w:basedOn w:val="101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w:basedOn w:val="101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1"/>
    <w:basedOn w:val="101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2"/>
    <w:basedOn w:val="101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3"/>
    <w:basedOn w:val="101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4"/>
    <w:basedOn w:val="101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4 - Accent 5"/>
    <w:basedOn w:val="101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4 - Accent 6"/>
    <w:basedOn w:val="101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5 Dark"/>
    <w:basedOn w:val="101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1"/>
    <w:basedOn w:val="101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2"/>
    <w:basedOn w:val="101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3"/>
    <w:basedOn w:val="101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4"/>
    <w:basedOn w:val="101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5 Dark - Accent 5"/>
    <w:basedOn w:val="101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2">
    <w:name w:val="List Table 5 Dark - Accent 6"/>
    <w:basedOn w:val="101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3">
    <w:name w:val="List Table 6 Colorful"/>
    <w:basedOn w:val="101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1"/>
    <w:basedOn w:val="101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2"/>
    <w:basedOn w:val="101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3"/>
    <w:basedOn w:val="101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4"/>
    <w:basedOn w:val="101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6 Colorful - Accent 5"/>
    <w:basedOn w:val="101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6 Colorful - Accent 6"/>
    <w:basedOn w:val="101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7 Colorful"/>
    <w:basedOn w:val="101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41">
    <w:name w:val="List Table 7 Colorful - Accent 1"/>
    <w:basedOn w:val="101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2">
    <w:name w:val="List Table 7 Colorful - Accent 2"/>
    <w:basedOn w:val="101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3">
    <w:name w:val="List Table 7 Colorful - Accent 3"/>
    <w:basedOn w:val="101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4">
    <w:name w:val="List Table 7 Colorful - Accent 4"/>
    <w:basedOn w:val="101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5">
    <w:name w:val="List Table 7 Colorful - Accent 5"/>
    <w:basedOn w:val="101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6">
    <w:name w:val="List Table 7 Colorful - Accent 6"/>
    <w:basedOn w:val="101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7">
    <w:name w:val="Lined - Accent"/>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1"/>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2"/>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3"/>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4"/>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ned - Accent 5"/>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ned - Accent 6"/>
    <w:basedOn w:val="101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w:basedOn w:val="101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1"/>
    <w:basedOn w:val="101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2"/>
    <w:basedOn w:val="101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3"/>
    <w:basedOn w:val="101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4"/>
    <w:basedOn w:val="101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amp; Lined - Accent 5"/>
    <w:basedOn w:val="101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amp; Lined - Accent 6"/>
    <w:basedOn w:val="101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w:basedOn w:val="101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1"/>
    <w:basedOn w:val="101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2"/>
    <w:basedOn w:val="101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3"/>
    <w:basedOn w:val="101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4"/>
    <w:basedOn w:val="101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 Accent 5"/>
    <w:basedOn w:val="101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 Accent 6"/>
    <w:basedOn w:val="101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8">
    <w:name w:val="Heading 5"/>
    <w:basedOn w:val="1009"/>
    <w:next w:val="1009"/>
    <w:link w:val="97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9">
    <w:name w:val="Heading 6"/>
    <w:basedOn w:val="1009"/>
    <w:next w:val="1009"/>
    <w:link w:val="97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70">
    <w:name w:val="Heading 7"/>
    <w:basedOn w:val="1009"/>
    <w:next w:val="1009"/>
    <w:link w:val="97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71">
    <w:name w:val="Heading 8"/>
    <w:basedOn w:val="1009"/>
    <w:next w:val="1009"/>
    <w:link w:val="97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2">
    <w:name w:val="Heading 9"/>
    <w:basedOn w:val="1009"/>
    <w:next w:val="1009"/>
    <w:link w:val="97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3">
    <w:name w:val="Heading 5 Char"/>
    <w:basedOn w:val="1014"/>
    <w:link w:val="968"/>
    <w:uiPriority w:val="9"/>
    <w:pPr>
      <w:pBdr/>
      <w:spacing/>
      <w:ind/>
    </w:pPr>
    <w:rPr>
      <w:rFonts w:ascii="Arial" w:hAnsi="Arial" w:eastAsia="Arial" w:cs="Arial"/>
      <w:color w:val="0f4761" w:themeColor="accent1" w:themeShade="BF"/>
    </w:rPr>
  </w:style>
  <w:style w:type="character" w:styleId="974">
    <w:name w:val="Heading 6 Char"/>
    <w:basedOn w:val="1014"/>
    <w:link w:val="969"/>
    <w:uiPriority w:val="9"/>
    <w:pPr>
      <w:pBdr/>
      <w:spacing/>
      <w:ind/>
    </w:pPr>
    <w:rPr>
      <w:rFonts w:ascii="Arial" w:hAnsi="Arial" w:eastAsia="Arial" w:cs="Arial"/>
      <w:i/>
      <w:iCs/>
      <w:color w:val="595959" w:themeColor="text1" w:themeTint="A6"/>
    </w:rPr>
  </w:style>
  <w:style w:type="character" w:styleId="975">
    <w:name w:val="Heading 7 Char"/>
    <w:basedOn w:val="1014"/>
    <w:link w:val="970"/>
    <w:uiPriority w:val="9"/>
    <w:pPr>
      <w:pBdr/>
      <w:spacing/>
      <w:ind/>
    </w:pPr>
    <w:rPr>
      <w:rFonts w:ascii="Arial" w:hAnsi="Arial" w:eastAsia="Arial" w:cs="Arial"/>
      <w:color w:val="595959" w:themeColor="text1" w:themeTint="A6"/>
    </w:rPr>
  </w:style>
  <w:style w:type="character" w:styleId="976">
    <w:name w:val="Heading 8 Char"/>
    <w:basedOn w:val="1014"/>
    <w:link w:val="971"/>
    <w:uiPriority w:val="9"/>
    <w:pPr>
      <w:pBdr/>
      <w:spacing/>
      <w:ind/>
    </w:pPr>
    <w:rPr>
      <w:rFonts w:ascii="Arial" w:hAnsi="Arial" w:eastAsia="Arial" w:cs="Arial"/>
      <w:i/>
      <w:iCs/>
      <w:color w:val="272727" w:themeColor="text1" w:themeTint="D8"/>
    </w:rPr>
  </w:style>
  <w:style w:type="character" w:styleId="977">
    <w:name w:val="Heading 9 Char"/>
    <w:basedOn w:val="1014"/>
    <w:link w:val="972"/>
    <w:uiPriority w:val="9"/>
    <w:pPr>
      <w:pBdr/>
      <w:spacing/>
      <w:ind/>
    </w:pPr>
    <w:rPr>
      <w:rFonts w:ascii="Arial" w:hAnsi="Arial" w:eastAsia="Arial" w:cs="Arial"/>
      <w:i/>
      <w:iCs/>
      <w:color w:val="272727" w:themeColor="text1" w:themeTint="D8"/>
    </w:rPr>
  </w:style>
  <w:style w:type="paragraph" w:styleId="978">
    <w:name w:val="Subtitle"/>
    <w:basedOn w:val="1009"/>
    <w:next w:val="1009"/>
    <w:link w:val="979"/>
    <w:uiPriority w:val="11"/>
    <w:qFormat/>
    <w:pPr>
      <w:numPr>
        <w:ilvl w:val="1"/>
      </w:numPr>
      <w:pBdr/>
      <w:spacing/>
      <w:ind/>
    </w:pPr>
    <w:rPr>
      <w:color w:val="595959" w:themeColor="text1" w:themeTint="A6"/>
      <w:spacing w:val="15"/>
      <w:sz w:val="28"/>
      <w:szCs w:val="28"/>
    </w:rPr>
  </w:style>
  <w:style w:type="character" w:styleId="979">
    <w:name w:val="Subtitle Char"/>
    <w:basedOn w:val="1014"/>
    <w:link w:val="978"/>
    <w:uiPriority w:val="11"/>
    <w:pPr>
      <w:pBdr/>
      <w:spacing/>
      <w:ind/>
    </w:pPr>
    <w:rPr>
      <w:color w:val="595959" w:themeColor="text1" w:themeTint="A6"/>
      <w:spacing w:val="15"/>
      <w:sz w:val="28"/>
      <w:szCs w:val="28"/>
    </w:rPr>
  </w:style>
  <w:style w:type="paragraph" w:styleId="980">
    <w:name w:val="Quote"/>
    <w:basedOn w:val="1009"/>
    <w:next w:val="1009"/>
    <w:link w:val="981"/>
    <w:uiPriority w:val="29"/>
    <w:qFormat/>
    <w:pPr>
      <w:pBdr/>
      <w:spacing w:before="160"/>
      <w:ind/>
      <w:jc w:val="center"/>
    </w:pPr>
    <w:rPr>
      <w:i/>
      <w:iCs/>
      <w:color w:val="404040" w:themeColor="text1" w:themeTint="BF"/>
    </w:rPr>
  </w:style>
  <w:style w:type="character" w:styleId="981">
    <w:name w:val="Quote Char"/>
    <w:basedOn w:val="1014"/>
    <w:link w:val="980"/>
    <w:uiPriority w:val="29"/>
    <w:pPr>
      <w:pBdr/>
      <w:spacing/>
      <w:ind/>
    </w:pPr>
    <w:rPr>
      <w:i/>
      <w:iCs/>
      <w:color w:val="404040" w:themeColor="text1" w:themeTint="BF"/>
    </w:rPr>
  </w:style>
  <w:style w:type="character" w:styleId="982">
    <w:name w:val="Intense Emphasis"/>
    <w:basedOn w:val="1014"/>
    <w:uiPriority w:val="21"/>
    <w:qFormat/>
    <w:pPr>
      <w:pBdr/>
      <w:spacing/>
      <w:ind/>
    </w:pPr>
    <w:rPr>
      <w:i/>
      <w:iCs/>
      <w:color w:val="0f4761" w:themeColor="accent1" w:themeShade="BF"/>
    </w:rPr>
  </w:style>
  <w:style w:type="paragraph" w:styleId="983">
    <w:name w:val="Intense Quote"/>
    <w:basedOn w:val="1009"/>
    <w:next w:val="1009"/>
    <w:link w:val="98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4">
    <w:name w:val="Intense Quote Char"/>
    <w:basedOn w:val="1014"/>
    <w:link w:val="983"/>
    <w:uiPriority w:val="30"/>
    <w:pPr>
      <w:pBdr/>
      <w:spacing/>
      <w:ind/>
    </w:pPr>
    <w:rPr>
      <w:i/>
      <w:iCs/>
      <w:color w:val="0f4761" w:themeColor="accent1" w:themeShade="BF"/>
    </w:rPr>
  </w:style>
  <w:style w:type="character" w:styleId="985">
    <w:name w:val="Intense Reference"/>
    <w:basedOn w:val="1014"/>
    <w:uiPriority w:val="32"/>
    <w:qFormat/>
    <w:pPr>
      <w:pBdr/>
      <w:spacing/>
      <w:ind/>
    </w:pPr>
    <w:rPr>
      <w:b/>
      <w:bCs/>
      <w:smallCaps/>
      <w:color w:val="0f4761" w:themeColor="accent1" w:themeShade="BF"/>
      <w:spacing w:val="5"/>
    </w:rPr>
  </w:style>
  <w:style w:type="paragraph" w:styleId="986">
    <w:name w:val="No Spacing"/>
    <w:basedOn w:val="1009"/>
    <w:uiPriority w:val="1"/>
    <w:qFormat/>
    <w:pPr>
      <w:pBdr/>
      <w:spacing w:after="0" w:line="240" w:lineRule="auto"/>
      <w:ind/>
    </w:pPr>
  </w:style>
  <w:style w:type="character" w:styleId="987">
    <w:name w:val="Subtle Emphasis"/>
    <w:basedOn w:val="1014"/>
    <w:uiPriority w:val="19"/>
    <w:qFormat/>
    <w:pPr>
      <w:pBdr/>
      <w:spacing/>
      <w:ind/>
    </w:pPr>
    <w:rPr>
      <w:i/>
      <w:iCs/>
      <w:color w:val="404040" w:themeColor="text1" w:themeTint="BF"/>
    </w:rPr>
  </w:style>
  <w:style w:type="character" w:styleId="988">
    <w:name w:val="Subtle Reference"/>
    <w:basedOn w:val="1014"/>
    <w:uiPriority w:val="31"/>
    <w:qFormat/>
    <w:pPr>
      <w:pBdr/>
      <w:spacing/>
      <w:ind/>
    </w:pPr>
    <w:rPr>
      <w:smallCaps/>
      <w:color w:val="5a5a5a" w:themeColor="text1" w:themeTint="A5"/>
    </w:rPr>
  </w:style>
  <w:style w:type="character" w:styleId="989">
    <w:name w:val="Book Title"/>
    <w:basedOn w:val="1014"/>
    <w:uiPriority w:val="33"/>
    <w:qFormat/>
    <w:pPr>
      <w:pBdr/>
      <w:spacing/>
      <w:ind/>
    </w:pPr>
    <w:rPr>
      <w:b/>
      <w:bCs/>
      <w:i/>
      <w:iCs/>
      <w:spacing w:val="5"/>
    </w:rPr>
  </w:style>
  <w:style w:type="paragraph" w:styleId="990">
    <w:name w:val="Caption"/>
    <w:basedOn w:val="1009"/>
    <w:next w:val="1009"/>
    <w:uiPriority w:val="35"/>
    <w:unhideWhenUsed/>
    <w:qFormat/>
    <w:pPr>
      <w:pBdr/>
      <w:spacing w:after="200" w:line="240" w:lineRule="auto"/>
      <w:ind/>
    </w:pPr>
    <w:rPr>
      <w:i/>
      <w:iCs/>
      <w:color w:val="0e2841" w:themeColor="text2"/>
      <w:sz w:val="18"/>
      <w:szCs w:val="18"/>
    </w:rPr>
  </w:style>
  <w:style w:type="paragraph" w:styleId="991">
    <w:name w:val="footnote text"/>
    <w:basedOn w:val="1009"/>
    <w:link w:val="992"/>
    <w:uiPriority w:val="99"/>
    <w:semiHidden/>
    <w:unhideWhenUsed/>
    <w:pPr>
      <w:pBdr/>
      <w:spacing w:after="0" w:line="240" w:lineRule="auto"/>
      <w:ind/>
    </w:pPr>
    <w:rPr>
      <w:sz w:val="20"/>
      <w:szCs w:val="20"/>
    </w:rPr>
  </w:style>
  <w:style w:type="character" w:styleId="992">
    <w:name w:val="Footnote Text Char"/>
    <w:basedOn w:val="1014"/>
    <w:link w:val="991"/>
    <w:uiPriority w:val="99"/>
    <w:semiHidden/>
    <w:pPr>
      <w:pBdr/>
      <w:spacing/>
      <w:ind/>
    </w:pPr>
    <w:rPr>
      <w:sz w:val="20"/>
      <w:szCs w:val="20"/>
    </w:rPr>
  </w:style>
  <w:style w:type="character" w:styleId="993">
    <w:name w:val="footnote reference"/>
    <w:basedOn w:val="1014"/>
    <w:uiPriority w:val="99"/>
    <w:semiHidden/>
    <w:unhideWhenUsed/>
    <w:pPr>
      <w:pBdr/>
      <w:spacing/>
      <w:ind/>
    </w:pPr>
    <w:rPr>
      <w:vertAlign w:val="superscript"/>
    </w:rPr>
  </w:style>
  <w:style w:type="paragraph" w:styleId="994">
    <w:name w:val="endnote text"/>
    <w:basedOn w:val="1009"/>
    <w:link w:val="995"/>
    <w:uiPriority w:val="99"/>
    <w:semiHidden/>
    <w:unhideWhenUsed/>
    <w:pPr>
      <w:pBdr/>
      <w:spacing w:after="0" w:line="240" w:lineRule="auto"/>
      <w:ind/>
    </w:pPr>
    <w:rPr>
      <w:sz w:val="20"/>
      <w:szCs w:val="20"/>
    </w:rPr>
  </w:style>
  <w:style w:type="character" w:styleId="995">
    <w:name w:val="Endnote Text Char"/>
    <w:basedOn w:val="1014"/>
    <w:link w:val="994"/>
    <w:uiPriority w:val="99"/>
    <w:semiHidden/>
    <w:pPr>
      <w:pBdr/>
      <w:spacing/>
      <w:ind/>
    </w:pPr>
    <w:rPr>
      <w:sz w:val="20"/>
      <w:szCs w:val="20"/>
    </w:rPr>
  </w:style>
  <w:style w:type="character" w:styleId="996">
    <w:name w:val="endnote reference"/>
    <w:basedOn w:val="1014"/>
    <w:uiPriority w:val="99"/>
    <w:semiHidden/>
    <w:unhideWhenUsed/>
    <w:pPr>
      <w:pBdr/>
      <w:spacing/>
      <w:ind/>
    </w:pPr>
    <w:rPr>
      <w:vertAlign w:val="superscript"/>
    </w:rPr>
  </w:style>
  <w:style w:type="paragraph" w:styleId="997">
    <w:name w:val="toc 1"/>
    <w:basedOn w:val="1009"/>
    <w:next w:val="1009"/>
    <w:uiPriority w:val="39"/>
    <w:unhideWhenUsed/>
    <w:pPr>
      <w:pBdr/>
      <w:spacing w:after="100"/>
      <w:ind/>
    </w:pPr>
  </w:style>
  <w:style w:type="paragraph" w:styleId="998">
    <w:name w:val="toc 2"/>
    <w:basedOn w:val="1009"/>
    <w:next w:val="1009"/>
    <w:uiPriority w:val="39"/>
    <w:unhideWhenUsed/>
    <w:pPr>
      <w:pBdr/>
      <w:spacing w:after="100"/>
      <w:ind w:left="220"/>
    </w:pPr>
  </w:style>
  <w:style w:type="paragraph" w:styleId="999">
    <w:name w:val="toc 3"/>
    <w:basedOn w:val="1009"/>
    <w:next w:val="1009"/>
    <w:uiPriority w:val="39"/>
    <w:unhideWhenUsed/>
    <w:pPr>
      <w:pBdr/>
      <w:spacing w:after="100"/>
      <w:ind w:left="440"/>
    </w:pPr>
  </w:style>
  <w:style w:type="paragraph" w:styleId="1000">
    <w:name w:val="toc 4"/>
    <w:basedOn w:val="1009"/>
    <w:next w:val="1009"/>
    <w:uiPriority w:val="39"/>
    <w:unhideWhenUsed/>
    <w:pPr>
      <w:pBdr/>
      <w:spacing w:after="100"/>
      <w:ind w:left="660"/>
    </w:pPr>
  </w:style>
  <w:style w:type="paragraph" w:styleId="1001">
    <w:name w:val="toc 5"/>
    <w:basedOn w:val="1009"/>
    <w:next w:val="1009"/>
    <w:uiPriority w:val="39"/>
    <w:unhideWhenUsed/>
    <w:pPr>
      <w:pBdr/>
      <w:spacing w:after="100"/>
      <w:ind w:left="880"/>
    </w:pPr>
  </w:style>
  <w:style w:type="paragraph" w:styleId="1002">
    <w:name w:val="toc 6"/>
    <w:basedOn w:val="1009"/>
    <w:next w:val="1009"/>
    <w:uiPriority w:val="39"/>
    <w:unhideWhenUsed/>
    <w:pPr>
      <w:pBdr/>
      <w:spacing w:after="100"/>
      <w:ind w:left="1100"/>
    </w:pPr>
  </w:style>
  <w:style w:type="paragraph" w:styleId="1003">
    <w:name w:val="toc 7"/>
    <w:basedOn w:val="1009"/>
    <w:next w:val="1009"/>
    <w:uiPriority w:val="39"/>
    <w:unhideWhenUsed/>
    <w:pPr>
      <w:pBdr/>
      <w:spacing w:after="100"/>
      <w:ind w:left="1320"/>
    </w:pPr>
  </w:style>
  <w:style w:type="paragraph" w:styleId="1004">
    <w:name w:val="toc 8"/>
    <w:basedOn w:val="1009"/>
    <w:next w:val="1009"/>
    <w:uiPriority w:val="39"/>
    <w:unhideWhenUsed/>
    <w:pPr>
      <w:pBdr/>
      <w:spacing w:after="100"/>
      <w:ind w:left="1540"/>
    </w:pPr>
  </w:style>
  <w:style w:type="paragraph" w:styleId="1005">
    <w:name w:val="toc 9"/>
    <w:basedOn w:val="1009"/>
    <w:next w:val="1009"/>
    <w:uiPriority w:val="39"/>
    <w:unhideWhenUsed/>
    <w:pPr>
      <w:pBdr/>
      <w:spacing w:after="100"/>
      <w:ind w:left="1760"/>
    </w:pPr>
  </w:style>
  <w:style w:type="character" w:styleId="1006">
    <w:name w:val="Placeholder Text"/>
    <w:basedOn w:val="1014"/>
    <w:uiPriority w:val="99"/>
    <w:semiHidden/>
    <w:pPr>
      <w:pBdr/>
      <w:spacing/>
      <w:ind/>
    </w:pPr>
    <w:rPr>
      <w:color w:val="666666"/>
    </w:rPr>
  </w:style>
  <w:style w:type="paragraph" w:styleId="1007">
    <w:name w:val="TOC Heading"/>
    <w:uiPriority w:val="39"/>
    <w:unhideWhenUsed/>
    <w:pPr>
      <w:pBdr/>
      <w:spacing/>
      <w:ind/>
    </w:pPr>
  </w:style>
  <w:style w:type="paragraph" w:styleId="1008">
    <w:name w:val="table of figures"/>
    <w:basedOn w:val="1009"/>
    <w:next w:val="1009"/>
    <w:uiPriority w:val="99"/>
    <w:unhideWhenUsed/>
    <w:pPr>
      <w:pBdr/>
      <w:spacing w:after="0" w:afterAutospacing="0"/>
      <w:ind/>
    </w:pPr>
  </w:style>
  <w:style w:type="paragraph" w:styleId="1009" w:default="1">
    <w:name w:val="Normal"/>
    <w:qFormat/>
    <w:pPr>
      <w:pBdr/>
      <w:spacing w:after="0" w:line="240" w:lineRule="auto"/>
      <w:ind/>
    </w:pPr>
    <w:rPr>
      <w:rFonts w:ascii="Times New Roman" w:hAnsi="Times New Roman" w:eastAsia="Times New Roman" w:cs="Times New Roman"/>
      <w:sz w:val="24"/>
      <w:szCs w:val="24"/>
    </w:rPr>
  </w:style>
  <w:style w:type="paragraph" w:styleId="1010">
    <w:name w:val="Heading 1"/>
    <w:basedOn w:val="1009"/>
    <w:next w:val="1009"/>
    <w:link w:val="1017"/>
    <w:qFormat/>
    <w:pPr>
      <w:keepNext w:val="true"/>
      <w:pBdr/>
      <w:spacing w:after="120" w:before="120"/>
      <w:ind/>
      <w:jc w:val="center"/>
      <w:outlineLvl w:val="0"/>
    </w:pPr>
    <w:rPr>
      <w:b/>
      <w:bCs/>
      <w:sz w:val="27"/>
      <w:szCs w:val="27"/>
    </w:rPr>
  </w:style>
  <w:style w:type="paragraph" w:styleId="1011">
    <w:name w:val="Heading 2"/>
    <w:basedOn w:val="1009"/>
    <w:next w:val="1009"/>
    <w:link w:val="101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2">
    <w:name w:val="Heading 3"/>
    <w:basedOn w:val="1009"/>
    <w:next w:val="1009"/>
    <w:link w:val="1019"/>
    <w:qFormat/>
    <w:pPr>
      <w:keepNext w:val="true"/>
      <w:pBdr/>
      <w:spacing w:before="60"/>
      <w:ind/>
      <w:outlineLvl w:val="2"/>
    </w:pPr>
    <w:rPr>
      <w:sz w:val="28"/>
      <w:szCs w:val="28"/>
    </w:rPr>
  </w:style>
  <w:style w:type="paragraph" w:styleId="1013">
    <w:name w:val="Heading 4"/>
    <w:basedOn w:val="1009"/>
    <w:next w:val="1009"/>
    <w:link w:val="1020"/>
    <w:qFormat/>
    <w:pPr>
      <w:keepNext w:val="true"/>
      <w:pBdr/>
      <w:spacing/>
      <w:ind/>
      <w:jc w:val="center"/>
      <w:outlineLvl w:val="3"/>
    </w:pPr>
    <w:rPr>
      <w:b/>
      <w:bCs/>
    </w:rPr>
  </w:style>
  <w:style w:type="character" w:styleId="1014" w:default="1">
    <w:name w:val="Default Paragraph Font"/>
    <w:uiPriority w:val="1"/>
    <w:semiHidden/>
    <w:unhideWhenUsed/>
    <w:pPr>
      <w:pBdr/>
      <w:spacing/>
      <w:ind/>
    </w:pPr>
  </w:style>
  <w:style w:type="table" w:styleId="101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6" w:default="1">
    <w:name w:val="No List"/>
    <w:uiPriority w:val="99"/>
    <w:semiHidden/>
    <w:unhideWhenUsed/>
    <w:pPr>
      <w:pBdr/>
      <w:spacing/>
      <w:ind/>
    </w:pPr>
  </w:style>
  <w:style w:type="character" w:styleId="1017" w:customStyle="1">
    <w:name w:val="Heading 1 Char"/>
    <w:basedOn w:val="1014"/>
    <w:link w:val="1010"/>
    <w:pPr>
      <w:pBdr/>
      <w:spacing/>
      <w:ind/>
    </w:pPr>
    <w:rPr>
      <w:rFonts w:ascii="Times New Roman" w:hAnsi="Times New Roman" w:eastAsia="Times New Roman" w:cs="Times New Roman"/>
      <w:b/>
      <w:bCs/>
      <w:sz w:val="27"/>
      <w:szCs w:val="27"/>
    </w:rPr>
  </w:style>
  <w:style w:type="character" w:styleId="1018" w:customStyle="1">
    <w:name w:val="Heading 2 Char"/>
    <w:basedOn w:val="1014"/>
    <w:link w:val="1011"/>
    <w:uiPriority w:val="9"/>
    <w:pPr>
      <w:pBdr/>
      <w:spacing/>
      <w:ind/>
    </w:pPr>
    <w:rPr>
      <w:rFonts w:asciiTheme="majorHAnsi" w:hAnsiTheme="majorHAnsi" w:eastAsiaTheme="majorEastAsia" w:cstheme="majorBidi"/>
      <w:color w:val="365f91" w:themeColor="accent1" w:themeShade="BF"/>
      <w:sz w:val="26"/>
      <w:szCs w:val="26"/>
    </w:rPr>
  </w:style>
  <w:style w:type="character" w:styleId="1019" w:customStyle="1">
    <w:name w:val="Heading 3 Char"/>
    <w:basedOn w:val="1014"/>
    <w:link w:val="1012"/>
    <w:pPr>
      <w:pBdr/>
      <w:spacing/>
      <w:ind/>
    </w:pPr>
    <w:rPr>
      <w:rFonts w:ascii="Times New Roman" w:hAnsi="Times New Roman" w:eastAsia="Times New Roman" w:cs="Times New Roman"/>
      <w:sz w:val="28"/>
      <w:szCs w:val="28"/>
    </w:rPr>
  </w:style>
  <w:style w:type="character" w:styleId="1020" w:customStyle="1">
    <w:name w:val="Heading 4 Char"/>
    <w:basedOn w:val="1014"/>
    <w:link w:val="1013"/>
    <w:pPr>
      <w:pBdr/>
      <w:spacing/>
      <w:ind/>
    </w:pPr>
    <w:rPr>
      <w:rFonts w:ascii="Times New Roman" w:hAnsi="Times New Roman" w:eastAsia="Times New Roman" w:cs="Times New Roman"/>
      <w:b/>
      <w:bCs/>
      <w:sz w:val="24"/>
      <w:szCs w:val="24"/>
    </w:rPr>
  </w:style>
  <w:style w:type="character" w:styleId="1021">
    <w:name w:val="Hyperlink"/>
    <w:uiPriority w:val="99"/>
    <w:pPr>
      <w:pBdr/>
      <w:spacing/>
      <w:ind/>
    </w:pPr>
    <w:rPr>
      <w:color w:val="000000"/>
      <w:u w:val="single"/>
    </w:rPr>
  </w:style>
  <w:style w:type="character" w:styleId="1022">
    <w:name w:val="Strong"/>
    <w:uiPriority w:val="22"/>
    <w:qFormat/>
    <w:pPr>
      <w:pBdr/>
      <w:spacing/>
      <w:ind/>
    </w:pPr>
    <w:rPr>
      <w:b/>
      <w:bCs/>
    </w:rPr>
  </w:style>
  <w:style w:type="paragraph" w:styleId="1023">
    <w:name w:val="Balloon Text"/>
    <w:basedOn w:val="1009"/>
    <w:link w:val="1024"/>
    <w:uiPriority w:val="99"/>
    <w:semiHidden/>
    <w:unhideWhenUsed/>
    <w:pPr>
      <w:pBdr/>
      <w:spacing/>
      <w:ind/>
    </w:pPr>
    <w:rPr>
      <w:rFonts w:ascii="Tahoma" w:hAnsi="Tahoma" w:cs="Tahoma"/>
      <w:sz w:val="16"/>
      <w:szCs w:val="16"/>
    </w:rPr>
  </w:style>
  <w:style w:type="character" w:styleId="1024" w:customStyle="1">
    <w:name w:val="Balloon Text Char"/>
    <w:basedOn w:val="1014"/>
    <w:link w:val="1023"/>
    <w:uiPriority w:val="99"/>
    <w:semiHidden/>
    <w:pPr>
      <w:pBdr/>
      <w:spacing/>
      <w:ind/>
    </w:pPr>
    <w:rPr>
      <w:rFonts w:ascii="Tahoma" w:hAnsi="Tahoma" w:eastAsia="Times New Roman" w:cs="Tahoma"/>
      <w:sz w:val="16"/>
      <w:szCs w:val="16"/>
    </w:rPr>
  </w:style>
  <w:style w:type="paragraph" w:styleId="1025">
    <w:name w:val="Header"/>
    <w:basedOn w:val="1009"/>
    <w:link w:val="1026"/>
    <w:unhideWhenUsed/>
    <w:pPr>
      <w:pBdr/>
      <w:tabs>
        <w:tab w:val="center" w:leader="none" w:pos="4680"/>
        <w:tab w:val="right" w:leader="none" w:pos="9360"/>
      </w:tabs>
      <w:spacing/>
      <w:ind/>
    </w:pPr>
  </w:style>
  <w:style w:type="character" w:styleId="1026" w:customStyle="1">
    <w:name w:val="Header Char"/>
    <w:basedOn w:val="1014"/>
    <w:link w:val="1025"/>
    <w:pPr>
      <w:pBdr/>
      <w:spacing/>
      <w:ind/>
    </w:pPr>
    <w:rPr>
      <w:rFonts w:ascii="Times New Roman" w:hAnsi="Times New Roman" w:eastAsia="Times New Roman" w:cs="Times New Roman"/>
      <w:sz w:val="24"/>
      <w:szCs w:val="24"/>
    </w:rPr>
  </w:style>
  <w:style w:type="paragraph" w:styleId="1027">
    <w:name w:val="Footer"/>
    <w:basedOn w:val="1009"/>
    <w:link w:val="1028"/>
    <w:uiPriority w:val="99"/>
    <w:unhideWhenUsed/>
    <w:pPr>
      <w:pBdr/>
      <w:tabs>
        <w:tab w:val="center" w:leader="none" w:pos="4680"/>
        <w:tab w:val="right" w:leader="none" w:pos="9360"/>
      </w:tabs>
      <w:spacing/>
      <w:ind/>
    </w:pPr>
  </w:style>
  <w:style w:type="character" w:styleId="1028" w:customStyle="1">
    <w:name w:val="Footer Char"/>
    <w:basedOn w:val="1014"/>
    <w:link w:val="1027"/>
    <w:uiPriority w:val="99"/>
    <w:pPr>
      <w:pBdr/>
      <w:spacing/>
      <w:ind/>
    </w:pPr>
    <w:rPr>
      <w:rFonts w:ascii="Times New Roman" w:hAnsi="Times New Roman" w:eastAsia="Times New Roman" w:cs="Times New Roman"/>
      <w:sz w:val="24"/>
      <w:szCs w:val="24"/>
    </w:rPr>
  </w:style>
  <w:style w:type="character" w:styleId="1029" w:customStyle="1">
    <w:name w:val="normal-h1"/>
    <w:pPr>
      <w:pBdr/>
      <w:spacing/>
      <w:ind/>
    </w:pPr>
    <w:rPr>
      <w:rFonts w:hint="default" w:ascii=".VnTime" w:hAnsi=".VnTime"/>
      <w:color w:val="0000ff"/>
      <w:sz w:val="24"/>
      <w:szCs w:val="24"/>
    </w:rPr>
  </w:style>
  <w:style w:type="paragraph" w:styleId="1030" w:customStyle="1">
    <w:name w:val="normal-p"/>
    <w:basedOn w:val="1009"/>
    <w:pPr>
      <w:pBdr/>
      <w:spacing/>
      <w:ind/>
      <w:jc w:val="both"/>
    </w:pPr>
    <w:rPr>
      <w:sz w:val="20"/>
      <w:szCs w:val="20"/>
    </w:rPr>
  </w:style>
  <w:style w:type="paragraph" w:styleId="1031">
    <w:name w:val="List Paragraph"/>
    <w:basedOn w:val="1009"/>
    <w:link w:val="1118"/>
    <w:uiPriority w:val="34"/>
    <w:qFormat/>
    <w:pPr>
      <w:pBdr/>
      <w:spacing/>
      <w:ind w:left="720"/>
    </w:pPr>
  </w:style>
  <w:style w:type="paragraph" w:styleId="1032">
    <w:name w:val="Normal (Web)"/>
    <w:basedOn w:val="1009"/>
    <w:uiPriority w:val="99"/>
    <w:pPr>
      <w:pBdr/>
      <w:spacing w:after="100" w:afterAutospacing="1" w:before="100" w:beforeAutospacing="1"/>
      <w:ind/>
    </w:pPr>
  </w:style>
  <w:style w:type="paragraph" w:styleId="1033">
    <w:name w:val="Body Text"/>
    <w:basedOn w:val="1009"/>
    <w:link w:val="1034"/>
    <w:pPr>
      <w:pBdr/>
      <w:spacing w:after="120"/>
      <w:ind/>
      <w:jc w:val="both"/>
    </w:pPr>
  </w:style>
  <w:style w:type="character" w:styleId="1034" w:customStyle="1">
    <w:name w:val="Body Text Char"/>
    <w:basedOn w:val="1014"/>
    <w:link w:val="1033"/>
    <w:pPr>
      <w:pBdr/>
      <w:spacing/>
      <w:ind/>
    </w:pPr>
    <w:rPr>
      <w:rFonts w:ascii="Times New Roman" w:hAnsi="Times New Roman" w:eastAsia="Times New Roman" w:cs="Times New Roman"/>
      <w:sz w:val="24"/>
      <w:szCs w:val="24"/>
    </w:rPr>
  </w:style>
  <w:style w:type="table" w:styleId="1035">
    <w:name w:val="Table Grid"/>
    <w:basedOn w:val="101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7">
    <w:name w:val="annotation reference"/>
    <w:basedOn w:val="1014"/>
    <w:uiPriority w:val="99"/>
    <w:semiHidden/>
    <w:unhideWhenUsed/>
    <w:pPr>
      <w:pBdr/>
      <w:spacing/>
      <w:ind/>
    </w:pPr>
    <w:rPr>
      <w:sz w:val="16"/>
      <w:szCs w:val="16"/>
    </w:rPr>
  </w:style>
  <w:style w:type="paragraph" w:styleId="1038">
    <w:name w:val="annotation text"/>
    <w:basedOn w:val="1009"/>
    <w:link w:val="1039"/>
    <w:uiPriority w:val="99"/>
    <w:unhideWhenUsed/>
    <w:pPr>
      <w:pBdr/>
      <w:spacing/>
      <w:ind/>
    </w:pPr>
    <w:rPr>
      <w:sz w:val="20"/>
      <w:szCs w:val="20"/>
    </w:rPr>
  </w:style>
  <w:style w:type="character" w:styleId="1039" w:customStyle="1">
    <w:name w:val="Comment Text Char"/>
    <w:basedOn w:val="1014"/>
    <w:link w:val="1038"/>
    <w:uiPriority w:val="99"/>
    <w:pPr>
      <w:pBdr/>
      <w:spacing/>
      <w:ind/>
    </w:pPr>
    <w:rPr>
      <w:rFonts w:ascii="Times New Roman" w:hAnsi="Times New Roman" w:eastAsia="Times New Roman" w:cs="Times New Roman"/>
      <w:sz w:val="20"/>
      <w:szCs w:val="20"/>
    </w:rPr>
  </w:style>
  <w:style w:type="paragraph" w:styleId="1040">
    <w:name w:val="annotation subject"/>
    <w:basedOn w:val="1038"/>
    <w:next w:val="1038"/>
    <w:link w:val="1041"/>
    <w:uiPriority w:val="99"/>
    <w:semiHidden/>
    <w:unhideWhenUsed/>
    <w:pPr>
      <w:pBdr/>
      <w:spacing/>
      <w:ind/>
    </w:pPr>
    <w:rPr>
      <w:b/>
      <w:bCs/>
    </w:rPr>
  </w:style>
  <w:style w:type="character" w:styleId="1041" w:customStyle="1">
    <w:name w:val="Comment Subject Char"/>
    <w:basedOn w:val="1039"/>
    <w:link w:val="1040"/>
    <w:uiPriority w:val="99"/>
    <w:semiHidden/>
    <w:pPr>
      <w:pBdr/>
      <w:spacing/>
      <w:ind/>
    </w:pPr>
    <w:rPr>
      <w:rFonts w:ascii="Times New Roman" w:hAnsi="Times New Roman" w:eastAsia="Times New Roman" w:cs="Times New Roman"/>
      <w:b/>
      <w:bCs/>
      <w:sz w:val="20"/>
      <w:szCs w:val="20"/>
    </w:rPr>
  </w:style>
  <w:style w:type="paragraph" w:styleId="1042" w:customStyle="1">
    <w:name w:val="font5"/>
    <w:basedOn w:val="1009"/>
    <w:pPr>
      <w:pBdr/>
      <w:spacing w:after="100" w:afterAutospacing="1" w:before="100" w:beforeAutospacing="1"/>
      <w:ind/>
    </w:pPr>
    <w:rPr>
      <w:rFonts w:ascii="Tahoma" w:hAnsi="Tahoma" w:cs="Tahoma"/>
      <w:color w:val="000000"/>
      <w:sz w:val="18"/>
      <w:szCs w:val="18"/>
    </w:rPr>
  </w:style>
  <w:style w:type="paragraph" w:styleId="1043" w:customStyle="1">
    <w:name w:val="font6"/>
    <w:basedOn w:val="1009"/>
    <w:pPr>
      <w:pBdr/>
      <w:spacing w:after="100" w:afterAutospacing="1" w:before="100" w:beforeAutospacing="1"/>
      <w:ind/>
    </w:pPr>
    <w:rPr>
      <w:rFonts w:ascii="Tahoma" w:hAnsi="Tahoma" w:cs="Tahoma"/>
      <w:b/>
      <w:bCs/>
      <w:color w:val="000000"/>
      <w:sz w:val="18"/>
      <w:szCs w:val="18"/>
    </w:rPr>
  </w:style>
  <w:style w:type="paragraph" w:styleId="1044" w:customStyle="1">
    <w:name w:val="xl23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5" w:customStyle="1">
    <w:name w:val="xl234"/>
    <w:basedOn w:val="1009"/>
    <w:pPr>
      <w:pBdr/>
      <w:spacing w:after="100" w:afterAutospacing="1" w:before="100" w:beforeAutospacing="1"/>
      <w:ind/>
      <w:jc w:val="center"/>
    </w:pPr>
  </w:style>
  <w:style w:type="paragraph" w:styleId="1046" w:customStyle="1">
    <w:name w:val="xl235"/>
    <w:basedOn w:val="1009"/>
    <w:pPr>
      <w:pBdr/>
      <w:spacing w:after="100" w:afterAutospacing="1" w:before="100" w:beforeAutospacing="1"/>
      <w:ind/>
      <w:jc w:val="center"/>
    </w:pPr>
    <w:rPr>
      <w:b/>
      <w:bCs/>
    </w:rPr>
  </w:style>
  <w:style w:type="paragraph" w:styleId="1047" w:customStyle="1">
    <w:name w:val="xl236"/>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8" w:customStyle="1">
    <w:name w:val="xl23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38"/>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0" w:customStyle="1">
    <w:name w:val="xl23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51" w:customStyle="1">
    <w:name w:val="xl240"/>
    <w:basedOn w:val="1009"/>
    <w:pPr>
      <w:pBdr/>
      <w:spacing w:after="100" w:afterAutospacing="1" w:before="100" w:beforeAutospacing="1"/>
      <w:ind/>
    </w:pPr>
  </w:style>
  <w:style w:type="paragraph" w:styleId="1052" w:customStyle="1">
    <w:name w:val="xl241"/>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3" w:customStyle="1">
    <w:name w:val="xl242"/>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4" w:customStyle="1">
    <w:name w:val="xl243"/>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5" w:customStyle="1">
    <w:name w:val="xl244"/>
    <w:basedOn w:val="1009"/>
    <w:pPr>
      <w:pBdr/>
      <w:spacing w:after="100" w:afterAutospacing="1" w:before="100" w:beforeAutospacing="1"/>
      <w:ind/>
    </w:pPr>
    <w:rPr>
      <w:b/>
      <w:bCs/>
    </w:rPr>
  </w:style>
  <w:style w:type="paragraph" w:styleId="1056" w:customStyle="1">
    <w:name w:val="xl245"/>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4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8" w:customStyle="1">
    <w:name w:val="xl247"/>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9" w:customStyle="1">
    <w:name w:val="xl24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60" w:customStyle="1">
    <w:name w:val="xl24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5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5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3" w:customStyle="1">
    <w:name w:val="xl25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3"/>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4"/>
    <w:basedOn w:val="100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6" w:customStyle="1">
    <w:name w:val="xl255"/>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7" w:customStyle="1">
    <w:name w:val="xl256"/>
    <w:basedOn w:val="100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5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58"/>
    <w:basedOn w:val="100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0" w:customStyle="1">
    <w:name w:val="xl25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1" w:customStyle="1">
    <w:name w:val="xl260"/>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2" w:customStyle="1">
    <w:name w:val="xl261"/>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3" w:customStyle="1">
    <w:name w:val="xl262"/>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3"/>
    <w:basedOn w:val="1009"/>
    <w:pPr>
      <w:pBdr/>
      <w:shd w:val="clear" w:color="000000" w:fill="ffffff"/>
      <w:spacing w:after="100" w:afterAutospacing="1" w:before="100" w:beforeAutospacing="1"/>
      <w:ind/>
    </w:pPr>
  </w:style>
  <w:style w:type="paragraph" w:styleId="1075" w:customStyle="1">
    <w:name w:val="xl264"/>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65"/>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6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8" w:customStyle="1">
    <w:name w:val="xl267"/>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68"/>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0" w:customStyle="1">
    <w:name w:val="xl269"/>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1" w:customStyle="1">
    <w:name w:val="xl27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1"/>
    <w:basedOn w:val="100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3" w:customStyle="1">
    <w:name w:val="xl27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4" w:customStyle="1">
    <w:name w:val="xl273"/>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5" w:customStyle="1">
    <w:name w:val="xl274"/>
    <w:basedOn w:val="100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6" w:customStyle="1">
    <w:name w:val="xl275"/>
    <w:basedOn w:val="1009"/>
    <w:pPr>
      <w:pBdr/>
      <w:spacing w:after="100" w:afterAutospacing="1" w:before="100" w:beforeAutospacing="1"/>
      <w:ind/>
    </w:pPr>
  </w:style>
  <w:style w:type="paragraph" w:styleId="1087" w:customStyle="1">
    <w:name w:val="xl27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77"/>
    <w:basedOn w:val="100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9" w:customStyle="1">
    <w:name w:val="xl278"/>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0" w:customStyle="1">
    <w:name w:val="xl279"/>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80"/>
    <w:basedOn w:val="100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81"/>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82"/>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4" w:customStyle="1">
    <w:name w:val="xl283"/>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4"/>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096" w:customStyle="1">
    <w:name w:val="xl285"/>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7" w:customStyle="1">
    <w:name w:val="xl286"/>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8" w:customStyle="1">
    <w:name w:val="xl287"/>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88"/>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89"/>
    <w:basedOn w:val="1009"/>
    <w:pPr>
      <w:pBdr>
        <w:left w:val="single" w:color="000000" w:sz="4" w:space="0"/>
        <w:right w:val="single" w:color="000000" w:sz="4" w:space="0"/>
      </w:pBdr>
      <w:spacing w:after="100" w:afterAutospacing="1" w:before="100" w:beforeAutospacing="1"/>
      <w:ind/>
    </w:pPr>
    <w:rPr>
      <w:b/>
      <w:bCs/>
    </w:rPr>
  </w:style>
  <w:style w:type="paragraph" w:styleId="1101" w:customStyle="1">
    <w:name w:val="xl290"/>
    <w:basedOn w:val="100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2" w:customStyle="1">
    <w:name w:val="xl291"/>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3" w:customStyle="1">
    <w:name w:val="xl292"/>
    <w:basedOn w:val="1009"/>
    <w:pPr>
      <w:pBdr>
        <w:top w:val="single" w:color="000000" w:sz="4" w:space="0"/>
        <w:left w:val="single" w:color="000000" w:sz="4" w:space="0"/>
        <w:right w:val="single" w:color="000000" w:sz="4" w:space="0"/>
      </w:pBdr>
      <w:spacing w:after="100" w:afterAutospacing="1" w:before="100" w:beforeAutospacing="1"/>
      <w:ind/>
    </w:pPr>
  </w:style>
  <w:style w:type="paragraph" w:styleId="1104" w:customStyle="1">
    <w:name w:val="xl293"/>
    <w:basedOn w:val="1009"/>
    <w:pPr>
      <w:pBdr>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94"/>
    <w:basedOn w:val="100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name w:val="Title"/>
    <w:basedOn w:val="1009"/>
    <w:link w:val="1107"/>
    <w:qFormat/>
    <w:pPr>
      <w:pBdr/>
      <w:spacing/>
      <w:ind/>
      <w:jc w:val="center"/>
    </w:pPr>
    <w:rPr>
      <w:b/>
      <w:bCs/>
      <w:sz w:val="32"/>
      <w:szCs w:val="26"/>
    </w:rPr>
  </w:style>
  <w:style w:type="character" w:styleId="1107" w:customStyle="1">
    <w:name w:val="Title Char"/>
    <w:basedOn w:val="1014"/>
    <w:link w:val="1106"/>
    <w:pPr>
      <w:pBdr/>
      <w:spacing/>
      <w:ind/>
    </w:pPr>
    <w:rPr>
      <w:rFonts w:ascii="Times New Roman" w:hAnsi="Times New Roman" w:eastAsia="Times New Roman" w:cs="Times New Roman"/>
      <w:b/>
      <w:bCs/>
      <w:sz w:val="32"/>
      <w:szCs w:val="26"/>
    </w:rPr>
  </w:style>
  <w:style w:type="character" w:styleId="1108" w:customStyle="1">
    <w:name w:val="Unresolved Mention1"/>
    <w:basedOn w:val="1014"/>
    <w:uiPriority w:val="99"/>
    <w:semiHidden/>
    <w:unhideWhenUsed/>
    <w:pPr>
      <w:pBdr/>
      <w:spacing/>
      <w:ind/>
    </w:pPr>
    <w:rPr>
      <w:color w:val="605e5c"/>
      <w:shd w:val="clear" w:color="auto" w:fill="e1dfdd"/>
    </w:rPr>
  </w:style>
  <w:style w:type="character" w:styleId="1109" w:customStyle="1">
    <w:name w:val="Body text (3)_"/>
    <w:link w:val="1110"/>
    <w:pPr>
      <w:pBdr/>
      <w:spacing/>
      <w:ind/>
    </w:pPr>
    <w:rPr>
      <w:rFonts w:ascii="Times New Roman" w:hAnsi="Times New Roman" w:cs="Times New Roman"/>
      <w:i/>
      <w:iCs/>
      <w:spacing w:val="4"/>
      <w:shd w:val="clear" w:color="auto" w:fill="ffffff"/>
    </w:rPr>
  </w:style>
  <w:style w:type="paragraph" w:styleId="1110" w:customStyle="1">
    <w:name w:val="Body text (3)1"/>
    <w:basedOn w:val="1009"/>
    <w:link w:val="110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11" w:customStyle="1">
    <w:name w:val="t-j"/>
    <w:basedOn w:val="1009"/>
    <w:pPr>
      <w:pBdr/>
      <w:spacing w:after="100" w:afterAutospacing="1" w:before="100" w:beforeAutospacing="1"/>
      <w:ind/>
    </w:pPr>
  </w:style>
  <w:style w:type="character" w:styleId="1112" w:customStyle="1">
    <w:name w:val="Unresolved Mention2"/>
    <w:basedOn w:val="1014"/>
    <w:uiPriority w:val="99"/>
    <w:semiHidden/>
    <w:unhideWhenUsed/>
    <w:pPr>
      <w:pBdr/>
      <w:spacing/>
      <w:ind/>
    </w:pPr>
    <w:rPr>
      <w:color w:val="605e5c"/>
      <w:shd w:val="clear" w:color="auto" w:fill="e1dfdd"/>
    </w:rPr>
  </w:style>
  <w:style w:type="character" w:styleId="1113">
    <w:name w:val="FollowedHyperlink"/>
    <w:basedOn w:val="1014"/>
    <w:uiPriority w:val="99"/>
    <w:semiHidden/>
    <w:unhideWhenUsed/>
    <w:pPr>
      <w:pBdr/>
      <w:spacing/>
      <w:ind/>
    </w:pPr>
    <w:rPr>
      <w:color w:val="800080" w:themeColor="followedHyperlink"/>
      <w:u w:val="single"/>
    </w:rPr>
  </w:style>
  <w:style w:type="character" w:styleId="1114" w:customStyle="1">
    <w:name w:val="text"/>
    <w:basedOn w:val="1014"/>
    <w:pPr>
      <w:pBdr/>
      <w:spacing/>
      <w:ind/>
    </w:pPr>
  </w:style>
  <w:style w:type="character" w:styleId="1115" w:customStyle="1">
    <w:name w:val="card-send-time__sendtime"/>
    <w:basedOn w:val="1014"/>
    <w:pPr>
      <w:pBdr/>
      <w:spacing/>
      <w:ind/>
    </w:pPr>
  </w:style>
  <w:style w:type="character" w:styleId="1116" w:customStyle="1">
    <w:name w:val="Đề cập Chưa giải quyết1"/>
    <w:basedOn w:val="1014"/>
    <w:uiPriority w:val="99"/>
    <w:semiHidden/>
    <w:unhideWhenUsed/>
    <w:pPr>
      <w:pBdr/>
      <w:spacing/>
      <w:ind/>
    </w:pPr>
    <w:rPr>
      <w:color w:val="605e5c"/>
      <w:shd w:val="clear" w:color="auto" w:fill="e1dfdd"/>
    </w:rPr>
  </w:style>
  <w:style w:type="paragraph" w:styleId="1117" w:customStyle="1">
    <w:name w:val="nqtitle"/>
    <w:basedOn w:val="1009"/>
    <w:pPr>
      <w:pBdr/>
      <w:spacing w:after="100" w:afterAutospacing="1" w:before="100" w:beforeAutospacing="1"/>
      <w:ind/>
    </w:pPr>
    <w:rPr>
      <w:lang w:val="vi-VN" w:eastAsia="vi-VN"/>
    </w:rPr>
  </w:style>
  <w:style w:type="character" w:styleId="1118" w:customStyle="1">
    <w:name w:val="List Paragraph Char"/>
    <w:link w:val="1031"/>
    <w:uiPriority w:val="34"/>
    <w:qFormat/>
    <w:pPr>
      <w:pBdr/>
      <w:spacing/>
      <w:ind/>
    </w:pPr>
    <w:rPr>
      <w:rFonts w:ascii="Times New Roman" w:hAnsi="Times New Roman" w:eastAsia="Times New Roman" w:cs="Times New Roman"/>
      <w:sz w:val="24"/>
      <w:szCs w:val="24"/>
    </w:rPr>
  </w:style>
  <w:style w:type="character" w:styleId="1119" w:customStyle="1">
    <w:name w:val="Đề cập Chưa giải quyết2"/>
    <w:basedOn w:val="1014"/>
    <w:uiPriority w:val="99"/>
    <w:semiHidden/>
    <w:unhideWhenUsed/>
    <w:pPr>
      <w:pBdr/>
      <w:spacing/>
      <w:ind/>
    </w:pPr>
    <w:rPr>
      <w:color w:val="605e5c"/>
      <w:shd w:val="clear" w:color="auto" w:fill="e1dfdd"/>
    </w:rPr>
  </w:style>
  <w:style w:type="character" w:styleId="1120" w:customStyle="1">
    <w:name w:val="Unresolved Mention3"/>
    <w:basedOn w:val="1014"/>
    <w:uiPriority w:val="99"/>
    <w:semiHidden/>
    <w:unhideWhenUsed/>
    <w:pPr>
      <w:pBdr/>
      <w:spacing/>
      <w:ind/>
    </w:pPr>
    <w:rPr>
      <w:color w:val="605e5c"/>
      <w:shd w:val="clear" w:color="auto" w:fill="e1dfdd"/>
    </w:rPr>
  </w:style>
  <w:style w:type="character" w:styleId="1121" w:customStyle="1">
    <w:name w:val="copy"/>
    <w:basedOn w:val="1014"/>
    <w:pPr>
      <w:pBdr/>
      <w:spacing/>
      <w:ind/>
    </w:pPr>
  </w:style>
  <w:style w:type="paragraph" w:styleId="1122" w:customStyle="1">
    <w:name w:val="align-justify"/>
    <w:basedOn w:val="1009"/>
    <w:pPr>
      <w:pBdr/>
      <w:spacing w:after="100" w:afterAutospacing="1" w:before="100" w:beforeAutospacing="1"/>
      <w:ind/>
    </w:pPr>
  </w:style>
  <w:style w:type="character" w:styleId="1123" w:customStyle="1">
    <w:name w:val="btn"/>
    <w:basedOn w:val="1014"/>
    <w:pPr>
      <w:pBdr/>
      <w:spacing/>
      <w:ind/>
    </w:pPr>
  </w:style>
  <w:style w:type="character" w:styleId="1124" w:customStyle="1">
    <w:name w:val="hide_mobile"/>
    <w:basedOn w:val="1014"/>
    <w:pPr>
      <w:pBdr/>
      <w:spacing/>
      <w:ind/>
    </w:pPr>
  </w:style>
  <w:style w:type="character" w:styleId="1125">
    <w:name w:val="Emphasis"/>
    <w:basedOn w:val="1014"/>
    <w:uiPriority w:val="20"/>
    <w:qFormat/>
    <w:pPr>
      <w:pBdr/>
      <w:spacing/>
      <w:ind/>
    </w:pPr>
    <w:rPr>
      <w:i/>
      <w:iCs/>
    </w:rPr>
  </w:style>
  <w:style w:type="character" w:styleId="1126" w:customStyle="1">
    <w:name w:val="t1"/>
    <w:basedOn w:val="1014"/>
    <w:pPr>
      <w:pBdr/>
      <w:spacing/>
      <w:ind/>
    </w:pPr>
  </w:style>
  <w:style w:type="character" w:styleId="1127" w:customStyle="1">
    <w:name w:val="Unresolved Mention4"/>
    <w:basedOn w:val="1014"/>
    <w:uiPriority w:val="99"/>
    <w:semiHidden/>
    <w:unhideWhenUsed/>
    <w:pPr>
      <w:pBdr/>
      <w:spacing/>
      <w:ind/>
    </w:pPr>
    <w:rPr>
      <w:color w:val="605e5c"/>
      <w:shd w:val="clear" w:color="auto" w:fill="e1dfdd"/>
    </w:rPr>
  </w:style>
  <w:style w:type="character" w:styleId="1128">
    <w:name w:val="Unresolved Mention"/>
    <w:basedOn w:val="101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jp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Tấn Sang</cp:lastModifiedBy>
  <cp:revision>285</cp:revision>
  <dcterms:created xsi:type="dcterms:W3CDTF">2025-09-15T09:58:00Z</dcterms:created>
  <dcterms:modified xsi:type="dcterms:W3CDTF">2026-06-09T07:11:02Z</dcterms:modified>
</cp:coreProperties>
</file>