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06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06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Minh Tín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811, tờ bản đồ số: 49, có địa chỉ: TDP Lõng Sâu, thị trấn Đại Đình, huyện Tam Đảo, tỉnh Vĩnh Phúc(nay là xã Đại </w:t>
                            </w:r>
                            <w:r>
                              <w:rPr>
                                <w:color w:val="000000"/>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Minh Tín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811, tờ bản đồ số: 49, có địa chỉ: TDP Lõng Sâu, thị trấn Đại Đình, huyện Tam Đảo, tỉnh Vĩnh Phúc(nay là xã Đại </w:t>
                      </w:r>
                      <w:r>
                        <w:rPr>
                          <w:color w:val="000000"/>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275/2026/0813/VFI-CT.44.A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Minh Tín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275/2026/0813/VFI-HĐTĐ.44.A</w:t>
      </w:r>
      <w:r>
        <w:rPr>
          <w:spacing w:val="-4"/>
          <w:lang w:val="vi-VN"/>
        </w:rPr>
        <w:t xml:space="preserve"> ký ngày </w:t>
      </w:r>
      <w:r>
        <w:rPr>
          <w:color w:val="000000" w:themeColor="text1"/>
          <w:spacing w:val="-4"/>
        </w:rPr>
        <w:t xml:space="preserve">25 tháng 5 năm 2026</w:t>
      </w:r>
      <w:r>
        <w:rPr>
          <w:spacing w:val="-4"/>
          <w:lang w:val="vi-VN"/>
        </w:rPr>
        <w:t xml:space="preserve"> </w:t>
      </w:r>
      <w:r>
        <w:rPr>
          <w:spacing w:val="-4"/>
          <w:lang w:val="vi-VN"/>
        </w:rPr>
        <w:t xml:space="preserve">giữa </w:t>
      </w:r>
      <w:r>
        <w:rPr>
          <w:color w:val="000000" w:themeColor="text1"/>
          <w:spacing w:val="-4"/>
        </w:rPr>
        <w:t xml:space="preserve">Ông Phạm Minh Tín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275/2026/0813/VFI-BC.44.A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tabs>
                <w:tab w:val="left" w:leader="none" w:pos="2070"/>
              </w:tabs>
              <w:spacing/>
              <w:ind/>
              <w:rPr>
                <w:b/>
                <w:bCs/>
              </w:rPr>
            </w:pPr>
            <w:r>
              <w:rPr>
                <w:b/>
                <w:bCs/>
              </w:rPr>
              <w:t xml:space="preserve">ÔNG PHẠM MINH TÍN</w:t>
            </w:r>
            <w:r>
              <w:rPr>
                <w:b/>
                <w:bCs/>
              </w:rPr>
            </w:r>
            <w:r>
              <w:rPr>
                <w:b/>
                <w:bCs/>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026096009683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811, tờ bản đồ số: 49, có địa chỉ: TDP Lõng Sâu, thị trấn Đại Đình, huyện Tam Đảo, tỉnh Vĩnh Phúc(nay là xã Đại </w:t>
      </w:r>
      <w:r>
        <w:rPr>
          <w:color w:val="000000" w:themeColor="text1"/>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811, tờ bản đồ số: 49, có địa chỉ: TDP Lõng Sâu, thị trấn Đại Đình, huyện Tam Đảo, tỉnh Vĩnh Phúc(nay là xã Đại </w:t>
            </w:r>
            <w:r>
              <w:rPr>
                <w:color w:val="000000"/>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r>
            <w:r>
              <w:t xml:space="preserve">1156,2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6.548.000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7.570.797.600</w:t>
            </w:r>
            <w:r>
              <w:rPr>
                <w:color w:val="000000" w:themeColor="text1"/>
              </w:rPr>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7.570.797.600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7.571.000.000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bảy mươi mốt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275/2026/0813/VFI-CT.44.A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PHẠM MINH TÍN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lang w:val="vi-VN"/>
              </w:rPr>
              <w:t xml:space="preserve">026096009683</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811, tờ bản đồ số: 49, có địa chỉ: TDP Lõng Sâu, thị trấn Đại Đình, huyện Tam Đảo, tỉnh Vĩnh Phúc(nay là xã Đại </w:t>
            </w:r>
            <w:r>
              <w:rPr>
                <w:bCs/>
                <w:color w:val="000000" w:themeColor="text1"/>
                <w:lang w:val="pt-BR"/>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Minh Quang, Huyện Tam Đảo,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21.454555555556, 105,58577777778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275/2026/0813/VFI-HĐTĐ.44.A ngày 30/05/2026 giữa Ông Phạm Minh Tín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 w:hAnsi="Times New Roman" w:cs="Times New Roman"/>
          <w:b w:val="0"/>
          <w:bCs w:val="0"/>
          <w:sz w:val="24"/>
          <w:szCs w:val="24"/>
          <w:highlight w:val="white"/>
        </w:rPr>
      </w:pPr>
      <w:r>
        <w:rPr>
          <w:highlight w:val="white"/>
          <w:lang w:val="pt-BR"/>
        </w:rPr>
        <w:tab/>
      </w:r>
      <w:r>
        <w:rPr>
          <w:rFonts w:ascii="Times New Roman" w:hAnsi="Times New Roman" w:eastAsia="Times New Roman" w:cs="Times New Roman"/>
          <w:b w:val="0"/>
          <w:bCs w:val="0"/>
          <w:sz w:val="24"/>
          <w:szCs w:val="24"/>
          <w:highlight w:val="white"/>
          <w:lang w:val="pt-BR"/>
        </w:rPr>
        <w:t xml:space="preserve">T</w:t>
      </w:r>
      <w:r>
        <w:rPr>
          <w:rFonts w:ascii="Times New Roman" w:hAnsi="Times New Roman" w:eastAsia="Times New Roman" w:cs="Times New Roman"/>
          <w:b w:val="0"/>
          <w:bCs w:val="0"/>
          <w:color w:val="000000"/>
          <w:sz w:val="24"/>
          <w:szCs w:val="24"/>
          <w:highlight w:val="white"/>
          <w:u w:val="none"/>
        </w:rPr>
        <w:t xml:space="preserve">hị trường bất động sản (BĐS) Vĩnh Phúc đang bước vào giai đoạn chuyển mình mạnh mẽ nhờ vị trí chiến lược sát vách Hà Nội, hạ tầng kết nối vượt trội và trợ lực lớn từ dòng vốn đầu tư FDI/DĐ đầu tư công</w:t>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cs="Times New Roman"/>
          <w:b w:val="0"/>
          <w:bCs w:val="0"/>
          <w:sz w:val="24"/>
          <w:szCs w:val="24"/>
          <w:highlight w:val="white"/>
        </w:rPr>
      </w:r>
      <w:r>
        <w:rPr>
          <w:rFonts w:ascii="Times New Roman" w:hAnsi="Times New Roman" w:cs="Times New Roman"/>
          <w:b w:val="0"/>
          <w:bCs w:val="0"/>
          <w:sz w:val="24"/>
          <w:szCs w:val="24"/>
          <w:highlight w:val="whit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 w:hAnsi="Times New Roman" w:cs="Times New Roman"/>
          <w:b w:val="0"/>
          <w:bCs w:val="0"/>
          <w:sz w:val="24"/>
          <w:szCs w:val="24"/>
        </w:rPr>
      </w:pPr>
      <w:r>
        <w:rPr>
          <w:rFonts w:ascii="Times New Roman" w:hAnsi="Times New Roman" w:eastAsia="Times New Roman" w:cs="Times New Roman"/>
          <w:b w:val="0"/>
          <w:bCs w:val="0"/>
          <w:color w:val="000000"/>
          <w:sz w:val="24"/>
          <w:szCs w:val="24"/>
        </w:rPr>
        <w:t xml:space="preserve">Dưới đây là bức tranh tổng quan phân tích chi tiết về thị trường này:</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1. Yếu tố động lực thúc đẩy thị trường</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Vị trí cửa ngõ</w:t>
      </w:r>
      <w:r>
        <w:rPr>
          <w:rFonts w:ascii="Times New Roman" w:hAnsi="Times New Roman" w:eastAsia="Times New Roman" w:cs="Times New Roman"/>
          <w:color w:val="000000"/>
          <w:sz w:val="24"/>
          <w:szCs w:val="24"/>
          <w:u w:val="none"/>
        </w:rPr>
        <w:t xml:space="preserve">: Cách trung tâm Hà Nội chỉ khoảng 50km, kết nối trực tiếp với sân bay quốc tế Nội Bài.</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Trọng điểm hạ tầng</w:t>
      </w:r>
      <w:r>
        <w:rPr>
          <w:rFonts w:ascii="Times New Roman" w:hAnsi="Times New Roman" w:eastAsia="Times New Roman" w:cs="Times New Roman"/>
          <w:color w:val="000000"/>
          <w:sz w:val="24"/>
          <w:szCs w:val="24"/>
          <w:u w:val="none"/>
        </w:rPr>
        <w:t xml:space="preserve">: Các dự án nâng cấp Quốc lộ 2 (đoạn Vĩnh Yên - Việt Trì), trục đô thị Mê Linh và tuyến Vành đai 5 vùng Thủ đô tạo mạng lưới giao thông cực kỳ đồng bộ.</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Thủ phủ công nghiệp</w:t>
      </w:r>
      <w:r>
        <w:rPr>
          <w:rFonts w:ascii="Times New Roman" w:hAnsi="Times New Roman" w:eastAsia="Times New Roman" w:cs="Times New Roman"/>
          <w:color w:val="000000"/>
          <w:sz w:val="24"/>
          <w:szCs w:val="24"/>
          <w:u w:val="none"/>
        </w:rPr>
        <w:t xml:space="preserve">: Thu hút mạnh mẽ nguồn vốn FDI nhờ các tập đoàn ô tô, xe máy, linh kiện lớn, tạo ra nhu cầu nhà ở và dịch vụ rất cao cho chuyên gia và người lao động.</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Quy hoạch định hướng 2030</w:t>
      </w:r>
      <w:r>
        <w:rPr>
          <w:rFonts w:ascii="Times New Roman" w:hAnsi="Times New Roman" w:eastAsia="Times New Roman" w:cs="Times New Roman"/>
          <w:color w:val="000000"/>
          <w:sz w:val="24"/>
          <w:szCs w:val="24"/>
          <w:u w:val="none"/>
        </w:rPr>
        <w:t xml:space="preserve">: Tỉnh đặt mục tiêu tỷ lệ đô thị hóa đạt khoảng 65%, phát triển 2 đô thị loại II là TP. Vĩnh Yên và Phúc Yên.</w:t>
      </w:r>
      <w:r>
        <w:rPr>
          <w:rFonts w:ascii="Times New Roman" w:hAnsi="Times New Roman" w:eastAsia="Times New Roman" w:cs="Times New Roman"/>
          <w:color w:val="000000"/>
          <w:sz w:val="24"/>
          <w:szCs w:val="24"/>
        </w:rPr>
        <w:t xml:space="preserve"> </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2. Các phân khúc trọng điểm</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Đất nền và Đô thị sinh thái</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Xu hướng tăng giá</w:t>
      </w:r>
      <w:r>
        <w:rPr>
          <w:rFonts w:ascii="Times New Roman" w:hAnsi="Times New Roman" w:eastAsia="Times New Roman" w:cs="Times New Roman"/>
          <w:color w:val="000000"/>
          <w:sz w:val="24"/>
          <w:szCs w:val="24"/>
          <w:u w:val="none"/>
        </w:rPr>
        <w:t xml:space="preserve">: Giá đất tại nhiều khu vực ghi nhận mức tăng từ 15–20% so với cùng kỳ năm trước.</w:t>
      </w:r>
      <w:r>
        <w:rPr>
          <w:rFonts w:ascii="Times New Roman" w:hAnsi="Times New Roman" w:eastAsia="Times New Roman" w:cs="Times New Roman"/>
          <w:color w:val="000000"/>
          <w:sz w:val="24"/>
          <w:szCs w:val="24"/>
        </w:rPr>
        <w:t xml:space="preserve"> </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Tâm điểm sinh thái</w:t>
      </w:r>
      <w:r>
        <w:rPr>
          <w:rFonts w:ascii="Times New Roman" w:hAnsi="Times New Roman" w:eastAsia="Times New Roman" w:cs="Times New Roman"/>
          <w:color w:val="000000"/>
          <w:sz w:val="24"/>
          <w:szCs w:val="24"/>
          <w:u w:val="none"/>
        </w:rPr>
        <w:t xml:space="preserve">: Khu vực quanh hồ Đầm Vạc (Vĩnh Yên) đang là tiêu điểm quy hoạch phát triển đô thị xanh. Giá BĐS hướng thủy tại đây có lợi thế sinh thái vượt trội, thường định giá cao hơn khoảng 40% so với sản phẩm cùng quy mô thông thường.</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Các khu đô thị lớn</w:t>
      </w:r>
      <w:r>
        <w:rPr>
          <w:rFonts w:ascii="Times New Roman" w:hAnsi="Times New Roman" w:eastAsia="Times New Roman" w:cs="Times New Roman"/>
          <w:color w:val="000000"/>
          <w:sz w:val="24"/>
          <w:szCs w:val="24"/>
          <w:u w:val="none"/>
        </w:rPr>
        <w:t xml:space="preserve">: Các khu dân cư sầm uất và đồng bộ hạ tầng tiêu biểu như </w:t>
      </w:r>
      <w:hyperlink r:id="rId17" w:tooltip="https://batdongsan.com.vn/nha-dat-ban-vinh-yen-vp" w:history="1">
        <w:r>
          <w:rPr>
            <w:rStyle w:val="1023"/>
            <w:rFonts w:ascii="Times New Roman" w:hAnsi="Times New Roman" w:eastAsia="Times New Roman" w:cs="Times New Roman"/>
            <w:b/>
            <w:color w:val="0000ee"/>
            <w:sz w:val="24"/>
            <w:szCs w:val="24"/>
            <w:u w:val="single"/>
          </w:rPr>
          <w:t xml:space="preserve">KĐT Nam Vĩnh Yên</w:t>
        </w:r>
      </w:hyperlink>
      <w:r>
        <w:rPr>
          <w:rFonts w:ascii="Times New Roman" w:hAnsi="Times New Roman" w:eastAsia="Times New Roman" w:cs="Times New Roman"/>
          <w:color w:val="000000"/>
          <w:sz w:val="24"/>
          <w:szCs w:val="24"/>
          <w:u w:val="none"/>
        </w:rPr>
        <w:t xml:space="preserve"> hay </w:t>
      </w:r>
      <w:hyperlink r:id="rId18" w:tooltip="https://www.facebook.com/groups/294212787934014/" w:history="1">
        <w:r>
          <w:rPr>
            <w:rStyle w:val="1023"/>
            <w:rFonts w:ascii="Times New Roman" w:hAnsi="Times New Roman" w:eastAsia="Times New Roman" w:cs="Times New Roman"/>
            <w:b/>
            <w:color w:val="0000ee"/>
            <w:sz w:val="24"/>
            <w:szCs w:val="24"/>
            <w:u w:val="single"/>
          </w:rPr>
          <w:t xml:space="preserve">Time Garden Mậu Lâm</w:t>
        </w:r>
      </w:hyperlink>
      <w:r>
        <w:rPr>
          <w:rFonts w:ascii="Times New Roman" w:hAnsi="Times New Roman" w:eastAsia="Times New Roman" w:cs="Times New Roman"/>
          <w:color w:val="000000"/>
          <w:sz w:val="24"/>
          <w:szCs w:val="24"/>
          <w:u w:val="none"/>
        </w:rPr>
        <w:t xml:space="preserve"> tiếp tục thu hút người mua ở thực và giới đầu tư dài hạn.</w:t>
      </w:r>
      <w:r>
        <w:rPr>
          <w:rFonts w:ascii="Times New Roman" w:hAnsi="Times New Roman" w:eastAsia="Times New Roman" w:cs="Times New Roman"/>
          <w:color w:val="000000"/>
          <w:sz w:val="24"/>
          <w:szCs w:val="24"/>
        </w:rPr>
        <w:t xml:space="preserve"> </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BĐS Công nghiệp &amp; Nhà ở công nhân</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Mở rộng nguồn cung</w:t>
      </w:r>
      <w:r>
        <w:rPr>
          <w:rFonts w:ascii="Times New Roman" w:hAnsi="Times New Roman" w:eastAsia="Times New Roman" w:cs="Times New Roman"/>
          <w:color w:val="000000"/>
          <w:sz w:val="24"/>
          <w:szCs w:val="24"/>
          <w:u w:val="none"/>
        </w:rPr>
        <w:t xml:space="preserve">: Nhu cầu thuê nhà xưởng, kho bãi phát triển song hành cùng sự bùng nổ của các khu công nghiệp tại Bình Xuyên, Khai Quang.</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Nhà ở xã hội</w:t>
      </w:r>
      <w:r>
        <w:rPr>
          <w:rFonts w:ascii="Times New Roman" w:hAnsi="Times New Roman" w:eastAsia="Times New Roman" w:cs="Times New Roman"/>
          <w:color w:val="000000"/>
          <w:sz w:val="24"/>
          <w:szCs w:val="24"/>
          <w:u w:val="none"/>
        </w:rPr>
        <w:t xml:space="preserve">: Toàn tỉnh triển khai hàng chục dự án đáp ứng chỗ ở cho công nhân và người thu nhập thấp, với các dự án lớn đã vận hành của Vinaconex Xuân Mai hay Bảo Quân.</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BĐS Nghỉ dưỡng</w:t>
      </w:r>
      <w:r>
        <w:rPr>
          <w:rFonts w:ascii="Times New Roman" w:hAnsi="Times New Roman" w:cs="Times New Roman"/>
          <w:sz w:val="24"/>
          <w:szCs w:val="24"/>
        </w:rPr>
      </w:r>
      <w:r>
        <w:rPr>
          <w:rFonts w:ascii="Times New Roman" w:hAnsi="Times New Roman" w:cs="Times New Roman"/>
          <w:sz w:val="24"/>
          <w:szCs w:val="24"/>
        </w:rPr>
      </w:r>
    </w:p>
    <w:p>
      <w:pPr>
        <w:pStyle w:val="1033"/>
        <w:numPr>
          <w:ilvl w:val="0"/>
          <w:numId w:val="42"/>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 w:val="24"/>
          <w:szCs w:val="24"/>
        </w:rPr>
      </w:pPr>
      <w:r>
        <w:rPr>
          <w:rFonts w:ascii="Times New Roman" w:hAnsi="Times New Roman" w:eastAsia="Times New Roman" w:cs="Times New Roman"/>
          <w:b/>
          <w:color w:val="000000"/>
          <w:sz w:val="24"/>
          <w:szCs w:val="24"/>
          <w:u w:val="none"/>
        </w:rPr>
        <w:t xml:space="preserve">Lợi thế du lịch</w:t>
      </w:r>
      <w:r>
        <w:rPr>
          <w:rFonts w:ascii="Times New Roman" w:hAnsi="Times New Roman" w:eastAsia="Times New Roman" w:cs="Times New Roman"/>
          <w:color w:val="000000"/>
          <w:sz w:val="24"/>
          <w:szCs w:val="24"/>
          <w:u w:val="none"/>
        </w:rPr>
        <w:t xml:space="preserve">: Khu vực Tam Đảo và hồ Đại Lải giữ vai trò then chốt cho phân khúc biệt thự nghỉ dưỡng, homestay đón dòng khách lớn từ Hà Nội vào các kỳ nghỉ ngắn ngày.</w:t>
      </w:r>
      <w:r>
        <w:rPr>
          <w:rFonts w:ascii="Times New Roman" w:hAnsi="Times New Roman" w:cs="Times New Roman"/>
          <w:sz w:val="24"/>
          <w:szCs w:val="24"/>
        </w:rPr>
      </w:r>
      <w:r>
        <w:rPr>
          <w:rFonts w:ascii="Times New Roman" w:hAnsi="Times New Roman" w:cs="Times New Roman"/>
          <w:sz w:val="24"/>
          <w:szCs w:val="24"/>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0"/>
        <w:gridCol w:w="2360"/>
        <w:gridCol w:w="2817"/>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Quyền sử dụng đất tại thửa đất số: 811, tờ bản đồ số: 49, có địa chỉ: TDP Lõng Sâu, thị trấn Đại Đình, huyện Tam Đảo, tỉnh Vĩnh Phúc(nay là xã Đại Đình, tỉnh Phú Thọ) theo Giấy chứng nhận quyền sử dụng đất, quyền sở hữu tài sản khác gắn liền với đất số: A</w:t>
            </w:r>
            <w:r>
              <w:rPr>
                <w:rFonts w:ascii="Times New Roman" w:hAnsi="Times New Roman" w:eastAsia="Times New Roman" w:cs="Times New Roman"/>
                <w:b/>
                <w:color w:val="000000"/>
                <w:sz w:val="24"/>
              </w:rPr>
              <w:t xml:space="preserve">A 00996272, Số vào sổ cấp GCN: CN 3654 do Chi nhánh văn phòng đăng ký đất đai huyện Tam Đảo cấp ngày 14/4/2025; chủ sử dụng đất là Ông Phạm Minh Tín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shd w:val="clear" w:color="ffff00" w:fill="ffff00"/>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811</w:t>
            </w:r>
            <w:r>
              <w:rPr>
                <w:highlight w:val="white"/>
              </w:rPr>
            </w:r>
          </w:p>
        </w:tc>
        <w:tc>
          <w:tcPr>
            <w:shd w:val="clear" w:color="ffff00" w:fill="ffff00"/>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p>
        </w:tc>
        <w:tc>
          <w:tcPr>
            <w:shd w:val="clear" w:color="ffff00" w:fill="ffff00"/>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49</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TDP Lõng Sâu, thị trấn Đại Đình, huyện Tam Đảo, tỉnh Vĩnh Phúc(nay là xã Đại Đình, tỉnh Phú Thọ)</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1156,2</w:t>
            </w: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350m2; Đất CLN: 806,2</w:t>
            </w: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 Lâu dài; Đất CLN: đến 15/1/2043</w:t>
            </w: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 </w:t>
            </w:r>
            <w:r>
              <w:rPr>
                <w:rFonts w:ascii="Times New Roman" w:hAnsi="Times New Roman" w:eastAsia="Times New Roman" w:cs="Times New Roman"/>
                <w:b/>
                <w:i/>
                <w:color w:val="000000"/>
                <w:sz w:val="24"/>
              </w:rPr>
              <w:t xml:space="preserve">không</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TDP Lõng Sâu, xã Đại Đình, huyện Tam Đảo</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Đền Thông</w:t>
            </w:r>
            <w:r/>
          </w:p>
        </w:tc>
        <w:tc>
          <w:tcPr>
            <w:tcBorders>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Tiếp giáp đường Đền Thông</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Đông Nam tiếp giáp đường giao thông;</w:t>
              <w:br/>
              <w:t xml:space="preserve">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82502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46620" name=""/>
                              <pic:cNvPicPr>
                                <a:picLocks noChangeAspect="1"/>
                              </pic:cNvPicPr>
                              <pic:nvPr/>
                            </pic:nvPicPr>
                            <pic:blipFill rotWithShape="1">
                              <a:blip r:embed="rId19"/>
                              <a:stretch/>
                            </pic:blipFill>
                            <pic:spPr bwMode="auto">
                              <a:xfrm>
                                <a:off x="0" y="0"/>
                                <a:ext cx="6048374" cy="2825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2.44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1156,2</w:t>
            </w: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4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white"/>
                <w14:ligatures w14:val="none"/>
              </w:rPr>
            </w:pPr>
            <w:r>
              <w:rPr>
                <w:rFonts w:ascii="Times New Roman" w:hAnsi="Times New Roman" w:eastAsia="Times New Roman" w:cs="Times New Roman"/>
                <w:color w:val="000000"/>
                <w:sz w:val="24"/>
                <w:szCs w:val="24"/>
                <w:highlight w:val="white"/>
                <w:lang w:val="undefined"/>
              </w:rPr>
              <w:t xml:space="preserve">KT mặt tiền (m):</w:t>
            </w:r>
            <w:r>
              <w:rPr>
                <w:rFonts w:ascii="Times New Roman" w:hAnsi="Times New Roman" w:eastAsia="Times New Roman" w:cs="Times New Roman"/>
                <w:color w:val="000000"/>
                <w:sz w:val="24"/>
                <w:szCs w:val="24"/>
                <w:highlight w:val="white"/>
                <w:lang w:val="undefined"/>
              </w:rPr>
            </w:r>
          </w:p>
        </w:tc>
        <w:tc>
          <w:tcPr>
            <w:shd w:val="clear" w:color="ffff00" w:fill="ffff00"/>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hd w:val="clear" w:color="ffffff" w:themeColor="background1" w:fill="ffffff" w:themeFill="background1"/>
              <w:spacing/>
              <w:ind/>
              <w:rPr>
                <w:highlight w:val="white"/>
                <w14:ligatures w14:val="none"/>
              </w:rPr>
            </w:pPr>
            <w:r>
              <w:rPr>
                <w:rFonts w:ascii="Times New Roman" w:hAnsi="Times New Roman" w:eastAsia="Times New Roman" w:cs="Times New Roman"/>
                <w:color w:val="000000"/>
                <w:sz w:val="24"/>
                <w:szCs w:val="24"/>
                <w:highlight w:val="white"/>
                <w:lang w:val="undefined"/>
              </w:rPr>
              <w:t xml:space="preserve">3</w:t>
            </w:r>
            <w:r>
              <w:rPr>
                <w:rFonts w:ascii="Times New Roman" w:hAnsi="Times New Roman" w:eastAsia="Times New Roman" w:cs="Times New Roman"/>
                <w:color w:val="000000"/>
                <w:sz w:val="24"/>
                <w:szCs w:val="24"/>
                <w:highlight w:val="white"/>
                <w:lang w:val="undefined"/>
              </w:rPr>
              <w:t xml:space="preserve">9,46</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rPr>
              <w:t xml:space="preserve">5</w:t>
            </w:r>
            <w:r>
              <w:rPr>
                <w:rFonts w:ascii="Times New Roman" w:hAnsi="Times New Roman" w:eastAsia="Times New Roman" w:cs="Times New Roman"/>
                <w:color w:val="000000"/>
                <w:sz w:val="24"/>
                <w:highlight w:val="white"/>
              </w:rPr>
              <w:t xml:space="preserve">4,31</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Đa giác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2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dưới sự hướng dẫn của chủ tài sản, trên đất có 02 CTXD:</w:t>
            </w:r>
            <w:r/>
          </w:p>
        </w:tc>
      </w:tr>
      <w:tr>
        <w:trPr>
          <w:trHeight w:val="82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vườn 01 tầng, diện tích xây dựng khoảng 120m2, hoàn thiện năm 2021, ngoại quan khá.</w:t>
            </w:r>
            <w:r/>
          </w:p>
        </w:tc>
      </w:tr>
      <w:tr>
        <w:trPr>
          <w:trHeight w:val="68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cấp 4 01 tầng, diện tích xây dựng khoảng 60m2, không rõ năm xây dựng, ngoại quan đã cũ.</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Cả 02 công trình đều chưa được công nhận trên GCN QSDĐ số: AA 00996272</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highlight w:val="yellow"/>
        </w:rPr>
      </w:pPr>
      <w:r>
        <w:rPr>
          <w:spacing w:val="-2"/>
          <w:highlight w:val="yellow"/>
          <w:lang w:val="pt-BR"/>
        </w:rPr>
      </w:r>
      <w:r>
        <w:rPr>
          <w:spacing w:val="-2"/>
          <w:highlight w:val="yellow"/>
        </w:rPr>
        <w:t xml:space="preserve">T</w:t>
      </w:r>
      <w:r>
        <w:rPr>
          <w:spacing w:val="-2"/>
          <w:highlight w:val="none"/>
        </w:rPr>
        <w:t xml:space="preserve">ại thời điểm thẩm định, dưới sự hướng dẫn của chủ tài sản, Trên đất có 02 CTXD:</w:t>
      </w:r>
      <w:r>
        <w:rPr>
          <w:spacing w:val="-2"/>
          <w:highlight w:val="yellow"/>
        </w:rPr>
      </w:r>
      <w:r>
        <w:rPr>
          <w:spacing w:val="-2"/>
          <w:highlight w:val="none"/>
        </w:rPr>
      </w:r>
      <w:r>
        <w:rPr>
          <w:spacing w:val="-2"/>
          <w:highlight w:val="yellow"/>
        </w:rPr>
      </w:r>
      <w:r>
        <w:rPr>
          <w:spacing w:val="-2"/>
          <w:highlight w:val="yellow"/>
        </w:rPr>
      </w:r>
    </w:p>
    <w:p>
      <w:pPr>
        <w:pBdr/>
        <w:tabs>
          <w:tab w:val="left" w:leader="none" w:pos="993"/>
        </w:tabs>
        <w:spacing w:after="120" w:before="120" w:line="264" w:lineRule="auto"/>
        <w:ind w:firstLine="0" w:left="360"/>
        <w:jc w:val="both"/>
        <w:rPr>
          <w:spacing w:val="-2"/>
          <w:highlight w:val="yellow"/>
        </w:rPr>
      </w:pPr>
      <w:r>
        <w:rPr>
          <w:spacing w:val="-2"/>
          <w:highlight w:val="none"/>
        </w:rPr>
        <w:t xml:space="preserve">Cả 02 C đều chưa được công nhận trên GCN QSDĐ số: AA 00996272, đồng thời, tổ thẩm định cũng không nhận được bất kỳ giấy tờ pháp lý nào liên quan đến CTXD này. Theo đề nghị của Khách hàng/ Ngân hàng, Tổ thẩm định không xác định giá trị 02 CTXD trên nhưng vẫn coi đó là phần không thể thiếu của Tài sản thẩm định.</w:t>
      </w:r>
      <w:r>
        <w:rPr>
          <w:spacing w:val="-2"/>
          <w:highlight w:val="non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TDP Lõng Sâu, Xã Đại Đình,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r>
            <w:r>
              <w:rPr>
                <w:color w:val="000000" w:themeColor="text1"/>
                <w:sz w:val="22"/>
                <w:szCs w:val="22"/>
                <w:highlight w:val="none"/>
              </w:rPr>
              <w:t xml:space="preserve">Xã Đại Đình, tỉnh Phú Thọ</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r>
            <w:r>
              <w:rPr>
                <w:color w:val="000000" w:themeColor="text1"/>
                <w:sz w:val="22"/>
                <w:szCs w:val="22"/>
                <w:highlight w:val="none"/>
              </w:rPr>
              <w:t xml:space="preserve">Xã Đại Đình, tỉnh Phú Thọ</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r>
            <w:r>
              <w:rPr>
                <w:color w:val="000000" w:themeColor="text1"/>
                <w:sz w:val="22"/>
                <w:szCs w:val="22"/>
                <w:highlight w:val="none"/>
              </w:rPr>
              <w:t xml:space="preserve">Xã Đại Đình, tỉnh Phú Thọ</w:t>
            </w:r>
            <w:r>
              <w:rPr>
                <w:sz w:val="22"/>
                <w:szCs w:val="22"/>
                <w:highlight w:val="none"/>
              </w:rPr>
            </w:r>
            <w:r>
              <w:rPr>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tiếp</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https://www.facebook.com/share/p/1c4D17a758/</w:t>
            </w:r>
            <w:r>
              <w:rPr>
                <w:sz w:val="22"/>
                <w:szCs w:val="22"/>
                <w:highlight w:val="none"/>
              </w:rPr>
            </w:r>
            <w:r>
              <w:rPr>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none"/>
              </w:rPr>
            </w:pPr>
            <w:r>
              <w:rPr>
                <w:color w:val="000000" w:themeColor="text1"/>
                <w:sz w:val="22"/>
                <w:szCs w:val="22"/>
                <w:highlight w:val="none"/>
              </w:rPr>
              <w:t xml:space="preserve">Liên hệ trực tiêp</w:t>
            </w:r>
            <w:r>
              <w:rPr>
                <w:sz w:val="22"/>
                <w:szCs w:val="22"/>
                <w:highlight w:val="none"/>
              </w:rPr>
            </w:r>
            <w:r>
              <w:rPr>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0329 836 691</w:t>
            </w:r>
            <w:r>
              <w:rPr>
                <w:sz w:val="22"/>
                <w:szCs w:val="22"/>
              </w:rPr>
              <w:t xml:space="preserve"> </w:t>
            </w:r>
            <w:r>
              <w:rPr>
                <w:sz w:val="22"/>
                <w:szCs w:val="22"/>
              </w:rPr>
              <w:br/>
              <w:t xml:space="preserve">(</w:t>
            </w:r>
            <w:r>
              <w:rPr>
                <w:sz w:val="22"/>
                <w:szCs w:val="22"/>
              </w:rPr>
              <w:t xml:space="preserve">Mai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0348281816</w:t>
            </w:r>
            <w:r>
              <w:rPr>
                <w:sz w:val="22"/>
                <w:szCs w:val="22"/>
              </w:rPr>
              <w:br/>
            </w:r>
            <w:r>
              <w:rPr>
                <w:sz w:val="22"/>
                <w:szCs w:val="22"/>
              </w:rPr>
              <w:t xml:space="preserve">(</w:t>
            </w:r>
            <w:r>
              <w:rPr>
                <w:sz w:val="22"/>
                <w:szCs w:val="22"/>
              </w:rPr>
              <w:t xml:space="preserve">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0329 836 691</w:t>
            </w:r>
            <w:r>
              <w:rPr>
                <w:sz w:val="22"/>
                <w:szCs w:val="22"/>
              </w:rPr>
              <w:br/>
            </w:r>
            <w:r>
              <w:rPr>
                <w:sz w:val="22"/>
                <w:szCs w:val="22"/>
              </w:rPr>
              <w:t xml:space="preserve">(</w:t>
            </w:r>
            <w:r>
              <w:rPr>
                <w:sz w:val="22"/>
                <w:szCs w:val="22"/>
              </w:rPr>
              <w:t xml:space="preserve">Mai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(350m²), Đất trồng cây lâu năm (806,2m²)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(100m²), Đất trồng cây lâu năm (47,5m²)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(150m²), Đất trồng cây lâu năm (15m²)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(50m²), Đất trồng cây lâu năm (85,7m²)</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Công trình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11.471.186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12.666.667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11.790.715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1.692.000.000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11.471.186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11.790.715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11.471.186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12.527.634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(350m²), Đất trồng cây lâu năm (806,2m²)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(100m²), Đất trồng cây lâu năm (47,5m²)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(150m²), Đất trồng cây lâu năm (15m²)</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Đất ở nông thôn (50m²), Đất trồng cây lâu năm (85,7m²)</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-353.721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11.436.994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11.436.994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tại: Tiếp giáp đường Đền Thông, xã Đại Đình, tỉnh Phú Thọ</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-626.382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10.133.334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10.810.612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10.133.334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10.810.612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10.324.067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10.133.334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10.810.612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135,7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-2.867.797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-2.947.679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7.456.270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7.862.933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876.934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8.029.829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8.739.867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-501.105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7.456.270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8.238.762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7.456.270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8.238.762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-1.179.072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6.882.711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7.059.690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6.882.711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7.059.690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6.547.467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5.735,593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6.484.893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4.588.475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6.966.667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4.731.025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-12,94</w:t>
      </w:r>
      <w:r>
        <w:t xml:space="preserve">% đến</w:t>
      </w:r>
      <w:r>
        <w:t xml:space="preserve"> </w:t>
      </w:r>
      <w:r>
        <w:t xml:space="preserve"> </w:t>
      </w:r>
      <w:r>
        <w:t xml:space="preserve">7,82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6.882.711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2.294.696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1.899.810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7.059.690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2.352.995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6.547.501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yellow"/>
              </w:rPr>
            </w:pPr>
            <w:r>
              <w:rPr>
                <w:b/>
                <w:bCs/>
                <w:color w:val="000000" w:themeColor="text1"/>
                <w:highlight w:val="yellow"/>
                <w:lang w:val="vi-VN"/>
              </w:rPr>
              <w:t xml:space="preserve">6.548.000</w:t>
            </w:r>
            <w:r>
              <w:rPr>
                <w:b/>
                <w:bCs/>
                <w:color w:val="000000"/>
                <w:highlight w:val="yellow"/>
              </w:rPr>
            </w:r>
            <w:r>
              <w:rPr>
                <w:b/>
                <w:bCs/>
                <w:color w:val="000000"/>
                <w:highlight w:val="yellow"/>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highlight w:val="yellow"/>
          <w:lang w:val="vi-VN"/>
        </w:rPr>
        <w:t xml:space="preserve">6.548.00</w:t>
      </w:r>
      <w:r>
        <w:rPr>
          <w:b/>
          <w:bCs/>
          <w:color w:val="000000" w:themeColor="text1"/>
          <w:lang w:val="vi-VN"/>
        </w:rPr>
        <w:t xml:space="preserve">0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18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234"/>
        <w:gridCol w:w="1951"/>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6"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811, tờ bản đồ số: 49, có địa chỉ: TDP Lõng Sâu, thị trấn Đại Đình, huyện Tam Đảo, tỉnh Vĩnh Phúc(nay là xã Đại </w:t>
            </w:r>
            <w:r>
              <w:rPr>
                <w:color w:val="000000"/>
              </w:rPr>
              <w:t xml:space="preserve">Đình, tỉnh Phú Thọ) theo Giấy chứng nhận quyền sử dụng đất, quyền sở hữu tài sản khác gắn liền với đất số: AA 00996272, Số vào sổ cấp GCN: CN 3654 do Chi nhánh văn phòng đăng ký đất đai huyện Tam Đảo cấp ngày 14/4/2025; chủ sử dụng đất là Ông Phạm Minh Tín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234" w:type="dxa"/>
            <w:vAlign w:val="center"/>
            <w:textDirection w:val="lrTb"/>
            <w:noWrap w:val="false"/>
          </w:tcPr>
          <w:p>
            <w:pPr>
              <w:pBdr/>
              <w:spacing w:after="40" w:before="40" w:line="288" w:lineRule="auto"/>
              <w:ind/>
              <w:rPr/>
            </w:pPr>
            <w:r>
              <w:rPr>
                <w:b/>
                <w:bCs/>
              </w:rPr>
              <w:t xml:space="preserve">Quyền sử dụng đất</w:t>
            </w:r>
            <w:r/>
          </w:p>
        </w:tc>
        <w:tc>
          <w:tcPr>
            <w:tcBorders/>
            <w:tcW w:w="1951" w:type="dxa"/>
            <w:vAlign w:val="center"/>
            <w:textDirection w:val="lrTb"/>
            <w:noWrap/>
          </w:tcPr>
          <w:p>
            <w:pPr>
              <w:pBdr/>
              <w:spacing w:after="40" w:before="40" w:line="288" w:lineRule="auto"/>
              <w:ind/>
              <w:jc w:val="center"/>
              <w:rPr>
                <w:color w:val="000000"/>
              </w:rPr>
            </w:pPr>
            <w:r>
              <w:rPr>
                <w:color w:val="000000" w:themeColor="text1"/>
              </w:rPr>
            </w:r>
            <w:r>
              <w:t xml:space="preserve">1156,2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6.548.000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r>
            <w:r>
              <w:rPr>
                <w:color w:val="000000" w:themeColor="text1"/>
              </w:rPr>
              <w:t xml:space="preserve">7.570.797.600</w:t>
            </w:r>
            <w:r/>
          </w:p>
        </w:tc>
      </w:tr>
      <w:tr>
        <w:trPr>
          <w:trHeight w:val="20"/>
        </w:trPr>
        <w:tc>
          <w:tcPr>
            <w:gridSpan w:val="4"/>
            <w:tcBorders/>
            <w:tcW w:w="771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7.570.797.600</w:t>
            </w:r>
            <w:r>
              <w:rPr>
                <w:b/>
                <w:bCs/>
                <w:color w:val="000000"/>
              </w:rPr>
            </w:r>
            <w:r>
              <w:rPr>
                <w:b/>
                <w:bCs/>
                <w:color w:val="000000"/>
              </w:rPr>
            </w:r>
          </w:p>
        </w:tc>
      </w:tr>
      <w:tr>
        <w:trPr>
          <w:trHeight w:val="20"/>
        </w:trPr>
        <w:tc>
          <w:tcPr>
            <w:gridSpan w:val="4"/>
            <w:tcBorders/>
            <w:tcW w:w="771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7.571.000.000</w:t>
            </w:r>
            <w:r>
              <w:rPr>
                <w:b/>
                <w:bCs/>
                <w:color w:val="000000"/>
              </w:rPr>
            </w:r>
            <w:r>
              <w:rPr>
                <w:b/>
                <w:bCs/>
                <w:color w:val="000000"/>
              </w:rPr>
            </w:r>
          </w:p>
        </w:tc>
      </w:tr>
      <w:tr>
        <w:trPr>
          <w:trHeight w:val="20"/>
        </w:trPr>
        <w:tc>
          <w:tcPr>
            <w:gridSpan w:val="5"/>
            <w:tcBorders/>
            <w:tcW w:w="988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bảy mươi mốt triệu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43"/>
        </w:numPr>
        <w:pBdr/>
        <w:tabs>
          <w:tab w:val="left" w:leader="none" w:pos="993"/>
        </w:tabs>
        <w:spacing w:after="120" w:before="120" w:line="264" w:lineRule="auto"/>
        <w:ind/>
        <w:jc w:val="both"/>
        <w:rPr>
          <w:spacing w:val="-2"/>
          <w:highlight w:val="yellow"/>
        </w:rPr>
      </w:pPr>
      <w:r>
        <w:rPr>
          <w:spacing w:val="-2"/>
          <w:highlight w:val="yellow"/>
          <w:lang w:val="pt-BR"/>
        </w:rPr>
      </w:r>
      <w:r>
        <w:rPr>
          <w:spacing w:val="-2"/>
          <w:highlight w:val="yellow"/>
        </w:rPr>
        <w:t xml:space="preserve">T</w:t>
      </w:r>
      <w:r>
        <w:rPr>
          <w:spacing w:val="-2"/>
          <w:highlight w:val="none"/>
        </w:rPr>
        <w:t xml:space="preserve">ại thời điểm thẩm định, dưới sự hướng dẫn của chủ tài sản, Trên đất có 02 CTXD:</w:t>
      </w:r>
      <w:r>
        <w:rPr>
          <w:spacing w:val="-2"/>
          <w:highlight w:val="yellow"/>
        </w:rPr>
      </w:r>
      <w:r>
        <w:rPr>
          <w:spacing w:val="-2"/>
          <w:highlight w:val="yellow"/>
        </w:rPr>
      </w:r>
    </w:p>
    <w:p>
      <w:pPr>
        <w:pBdr/>
        <w:tabs>
          <w:tab w:val="left" w:leader="none" w:pos="993"/>
        </w:tabs>
        <w:spacing w:after="120" w:before="120" w:line="264" w:lineRule="auto"/>
        <w:ind w:firstLine="0" w:left="360"/>
        <w:jc w:val="both"/>
        <w:rPr>
          <w:spacing w:val="-2"/>
          <w:highlight w:val="none"/>
        </w:rPr>
      </w:pPr>
      <w:r>
        <w:rPr>
          <w:spacing w:val="-2"/>
          <w:highlight w:val="none"/>
        </w:rPr>
        <w:t xml:space="preserve">+ </w:t>
      </w:r>
      <w:r>
        <w:rPr>
          <w:rFonts w:ascii="Times New Roman" w:hAnsi="Times New Roman" w:eastAsia="Times New Roman" w:cs="Times New Roman"/>
          <w:color w:val="000000"/>
          <w:sz w:val="24"/>
        </w:rPr>
        <w:t xml:space="preserve">Nhà vườn 01 tầng, diện tích xây dựng khoảng 120m2</w:t>
      </w:r>
      <w:r>
        <w:rPr>
          <w:spacing w:val="-2"/>
          <w:highlight w:val="none"/>
        </w:rPr>
        <w:t xml:space="preserve">;</w:t>
      </w:r>
      <w:r>
        <w:rPr>
          <w:spacing w:val="-2"/>
          <w:highlight w:val="none"/>
        </w:rPr>
      </w:r>
      <w:r>
        <w:rPr>
          <w:spacing w:val="-2"/>
          <w:highlight w:val="none"/>
        </w:rPr>
      </w:r>
    </w:p>
    <w:p>
      <w:pPr>
        <w:pBdr/>
        <w:tabs>
          <w:tab w:val="left" w:leader="none" w:pos="993"/>
        </w:tabs>
        <w:spacing w:after="120" w:before="120" w:line="264" w:lineRule="auto"/>
        <w:ind w:firstLine="0" w:left="360"/>
        <w:jc w:val="both"/>
        <w:rPr>
          <w:spacing w:val="-2"/>
          <w:highlight w:val="none"/>
        </w:rPr>
      </w:pPr>
      <w:r>
        <w:rPr>
          <w:spacing w:val="-2"/>
          <w:highlight w:val="none"/>
        </w:rPr>
        <w:t xml:space="preserve">+ </w:t>
      </w:r>
      <w:r>
        <w:rPr>
          <w:rFonts w:ascii="Times New Roman" w:hAnsi="Times New Roman" w:eastAsia="Times New Roman" w:cs="Times New Roman"/>
          <w:color w:val="000000"/>
          <w:sz w:val="24"/>
        </w:rPr>
        <w:t xml:space="preserve">Nhà cấp 4 01 tầng, diện tích xây dựng khoảng 60m2</w:t>
      </w:r>
      <w:r>
        <w:rPr>
          <w:spacing w:val="-2"/>
          <w:highlight w:val="none"/>
        </w:rPr>
        <w:t xml:space="preserve">.</w:t>
      </w:r>
      <w:r>
        <w:rPr>
          <w:spacing w:val="-2"/>
          <w:highlight w:val="none"/>
        </w:rPr>
      </w:r>
      <w:r>
        <w:rPr>
          <w:spacing w:val="-2"/>
          <w:highlight w:val="none"/>
        </w:rPr>
      </w:r>
    </w:p>
    <w:p>
      <w:pPr>
        <w:pBdr/>
        <w:tabs>
          <w:tab w:val="left" w:leader="none" w:pos="993"/>
        </w:tabs>
        <w:spacing w:after="120" w:before="120" w:line="264" w:lineRule="auto"/>
        <w:ind w:firstLine="0" w:left="360"/>
        <w:jc w:val="both"/>
        <w:rPr>
          <w:spacing w:val="-2"/>
          <w:highlight w:val="yellow"/>
        </w:rPr>
      </w:pPr>
      <w:r>
        <w:rPr>
          <w:spacing w:val="-2"/>
          <w:highlight w:val="none"/>
        </w:rPr>
        <w:t xml:space="preserve">Cả 02 C đều chưa được công nhận trên GCN QSDĐ số: AA 00</w:t>
      </w:r>
      <w:r>
        <w:rPr>
          <w:spacing w:val="-2"/>
          <w:highlight w:val="none"/>
        </w:rPr>
        <w:t xml:space="preserve">996272, đồng thời, tổ thẩm định cũng không nhận được bất kỳ giấy tờ pháp lý nào liên quan đến CTXD này. Theo đề nghị của Khách hàng/ Ngân hàng, Tổ thẩm định không xác định giá trị 02 CTXD trên nhưng vẫn coi đó là phần không thể thiếu của Tài sản thẩm định.</w:t>
      </w:r>
      <w:r>
        <w:rPr>
          <w:spacing w:val="-2"/>
          <w:highlight w:val="yellow"/>
        </w:rPr>
      </w:r>
      <w:r>
        <w:rPr>
          <w:spacing w:val="-2"/>
          <w:highlight w:val="yellow"/>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275/2026/0813/VFI-CT.44.A</w:t>
      </w:r>
      <w:r>
        <w:rPr>
          <w:color w:val="ff0000"/>
          <w:lang w:val="vi-VN"/>
        </w:rPr>
        <w:t xml:space="preserve"> </w:t>
      </w:r>
      <w:r>
        <w:rPr>
          <w:color w:val="000000" w:themeColor="text1"/>
        </w:rPr>
        <w:t xml:space="preserve">ngày 31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vi-VN"/>
        </w:rPr>
      </w:r>
      <w:r>
        <w:rPr>
          <w:lang w:val="vi-VN"/>
        </w:rPr>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275/2026/0813/VFI-BC.44.A</w:t>
      </w:r>
      <w:r>
        <w:rPr>
          <w:i/>
          <w:lang w:val="pt-BR"/>
        </w:rPr>
        <w:t xml:space="preserve"> </w:t>
      </w:r>
      <w:r>
        <w:rPr>
          <w:i/>
          <w:lang w:val="pt-BR"/>
        </w:rPr>
        <w:t xml:space="preserve">31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48"/>
        <w:gridCol w:w="4877"/>
      </w:tblGrid>
      <w:tr>
        <w:trPr/>
        <w:tc>
          <w:tcPr>
            <w:tcBorders/>
            <w:tcW w:w="464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87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64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03192" cy="28980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03241" name=""/>
                              <pic:cNvPicPr>
                                <a:picLocks noChangeAspect="1"/>
                              </pic:cNvPicPr>
                              <pic:nvPr/>
                            </pic:nvPicPr>
                            <pic:blipFill rotWithShape="1">
                              <a:blip r:embed="rId20"/>
                              <a:stretch/>
                            </pic:blipFill>
                            <pic:spPr bwMode="auto">
                              <a:xfrm flipH="0" flipV="0">
                                <a:off x="0" y="0"/>
                                <a:ext cx="1303191" cy="2898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2.61pt;height:228.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87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94203" cy="247065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01297" name=""/>
                              <pic:cNvPicPr>
                                <a:picLocks noChangeAspect="1"/>
                              </pic:cNvPicPr>
                              <pic:nvPr/>
                            </pic:nvPicPr>
                            <pic:blipFill rotWithShape="1">
                              <a:blip r:embed="rId21"/>
                              <a:stretch/>
                            </pic:blipFill>
                            <pic:spPr bwMode="auto">
                              <a:xfrm flipH="0" flipV="0">
                                <a:off x="0" y="0"/>
                                <a:ext cx="3294202" cy="24706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9.39pt;height:194.5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64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230540" cy="24229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273145" name=""/>
                              <pic:cNvPicPr>
                                <a:picLocks noChangeAspect="1"/>
                              </pic:cNvPicPr>
                              <pic:nvPr/>
                            </pic:nvPicPr>
                            <pic:blipFill rotWithShape="1">
                              <a:blip r:embed="rId22"/>
                              <a:stretch/>
                            </pic:blipFill>
                            <pic:spPr bwMode="auto">
                              <a:xfrm flipH="0" flipV="0">
                                <a:off x="0" y="0"/>
                                <a:ext cx="3230539" cy="2422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4.37pt;height:190.7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87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247274" cy="24354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51997" name=""/>
                              <pic:cNvPicPr>
                                <a:picLocks noChangeAspect="1"/>
                              </pic:cNvPicPr>
                              <pic:nvPr/>
                            </pic:nvPicPr>
                            <pic:blipFill rotWithShape="1">
                              <a:blip r:embed="rId23"/>
                              <a:stretch/>
                            </pic:blipFill>
                            <pic:spPr bwMode="auto">
                              <a:xfrm flipH="0" flipV="0">
                                <a:off x="0" y="0"/>
                                <a:ext cx="3247274" cy="2435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5.69pt;height:191.7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64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06715" cy="233003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11755" name=""/>
                              <pic:cNvPicPr>
                                <a:picLocks noChangeAspect="1"/>
                              </pic:cNvPicPr>
                              <pic:nvPr/>
                            </pic:nvPicPr>
                            <pic:blipFill rotWithShape="1">
                              <a:blip r:embed="rId24"/>
                              <a:stretch/>
                            </pic:blipFill>
                            <pic:spPr bwMode="auto">
                              <a:xfrm flipH="0" flipV="0">
                                <a:off x="0" y="0"/>
                                <a:ext cx="3106714" cy="23300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4.62pt;height:183.4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87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96797" cy="254759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15826" name=""/>
                              <pic:cNvPicPr>
                                <a:picLocks noChangeAspect="1"/>
                              </pic:cNvPicPr>
                              <pic:nvPr/>
                            </pic:nvPicPr>
                            <pic:blipFill rotWithShape="1">
                              <a:blip r:embed="rId25"/>
                              <a:stretch/>
                            </pic:blipFill>
                            <pic:spPr bwMode="auto">
                              <a:xfrm flipH="0" flipV="0">
                                <a:off x="0" y="0"/>
                                <a:ext cx="3396797" cy="2547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7.46pt;height:200.6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pPr>
        <w:pBdr/>
        <w:spacing/>
        <w:ind/>
        <w:rPr/>
      </w:pPr>
      <w:r>
        <mc:AlternateContent>
          <mc:Choice Requires="wpg">
            <w:drawing>
              <wp:inline xmlns:wp="http://schemas.openxmlformats.org/drawingml/2006/wordprocessingDrawing" distT="0" distB="0" distL="0" distR="0">
                <wp:extent cx="6048375" cy="89295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82871" name=""/>
                        <pic:cNvPicPr>
                          <a:picLocks noChangeAspect="1"/>
                        </pic:cNvPicPr>
                        <pic:nvPr/>
                      </pic:nvPicPr>
                      <pic:blipFill rotWithShape="1">
                        <a:blip r:embed="rId26"/>
                        <a:stretch/>
                      </pic:blipFill>
                      <pic:spPr bwMode="auto">
                        <a:xfrm>
                          <a:off x="0" y="0"/>
                          <a:ext cx="6048374" cy="8929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703.11pt;mso-wrap-distance-left:0.00pt;mso-wrap-distance-top:0.00pt;mso-wrap-distance-right:0.00pt;mso-wrap-distance-bottom:0.00pt;z-index:1;" stroked="false">
                <v:imagedata r:id="rId26" o:title=""/>
                <o:lock v:ext="edit" rotation="t"/>
              </v:shape>
            </w:pict>
          </mc:Fallback>
        </mc:AlternateContent>
      </w:r>
      <w:r/>
    </w:p>
    <w:p>
      <w:pPr>
        <w:pBdr/>
        <w:spacing w:after="200" w:line="276" w:lineRule="auto"/>
        <w:ind/>
        <w:rPr/>
      </w:pPr>
      <w:r>
        <w:br w:type="page" w:clear="all"/>
      </w:r>
      <w:r>
        <mc:AlternateContent>
          <mc:Choice Requires="wpg">
            <w:drawing>
              <wp:inline xmlns:wp="http://schemas.openxmlformats.org/drawingml/2006/wordprocessingDrawing" distT="0" distB="0" distL="0" distR="0">
                <wp:extent cx="6048375" cy="892955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90605" name=""/>
                        <pic:cNvPicPr>
                          <a:picLocks noChangeAspect="1"/>
                        </pic:cNvPicPr>
                        <pic:nvPr/>
                      </pic:nvPicPr>
                      <pic:blipFill rotWithShape="1">
                        <a:blip r:embed="rId27"/>
                        <a:stretch/>
                      </pic:blipFill>
                      <pic:spPr bwMode="auto">
                        <a:xfrm>
                          <a:off x="0" y="0"/>
                          <a:ext cx="6048374" cy="8929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703.11pt;mso-wrap-distance-left:0.00pt;mso-wrap-distance-top:0.00pt;mso-wrap-distance-right:0.00pt;mso-wrap-distance-bottom:0.00pt;z-index:1;" stroked="false">
                <v:imagedata r:id="rId27" o:title=""/>
                <o:lock v:ext="edit" rotation="t"/>
              </v:shape>
            </w:pict>
          </mc:Fallback>
        </mc:AlternateContent>
      </w:r>
      <w:r/>
    </w:p>
    <w:p>
      <w:pPr>
        <w:pBdr/>
        <w:spacing w:after="200" w:line="276" w:lineRule="auto"/>
        <w:ind/>
        <w:jc w:val="center"/>
        <w:rPr>
          <w:b/>
          <w:bCs/>
          <w:highlight w:val="none"/>
        </w:rPr>
      </w:pPr>
      <w:r>
        <w:rPr>
          <w:b/>
          <w:highlight w:val="none"/>
        </w:rPr>
        <w:t xml:space="preserve">BIÊN BẢN KHẢO SÁT</w:t>
      </w:r>
      <w:r>
        <w:rPr>
          <w:b/>
          <w:bCs/>
          <w:highlight w:val="none"/>
        </w:rPr>
      </w:r>
      <w:r>
        <w:rPr>
          <w:b/>
          <w:bCs/>
          <w:highlight w:val="none"/>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93196"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bCs/>
          <w:i/>
          <w:lang w:val="pt-BR"/>
        </w:rPr>
      </w:r>
      <w:r>
        <w:rPr>
          <w:bCs/>
          <w:i/>
          <w:lang w:val="pt-BR"/>
        </w:rPr>
      </w:r>
    </w:p>
    <w:p>
      <w:pPr>
        <w:pBdr/>
        <w:shd w:val="nil" w:color="auto"/>
        <w:spacing/>
        <w:ind/>
        <w:rPr>
          <w:b/>
          <w:bCs/>
          <w:highlight w:val="none"/>
        </w:rPr>
      </w:pP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275/2026/0813/VFI-BC.44.A</w:t>
      </w:r>
      <w:r>
        <w:rPr>
          <w:i/>
          <w:lang w:val="pt-BR"/>
        </w:rPr>
        <w:t xml:space="preserve"> </w:t>
      </w:r>
      <w:r>
        <w:rPr>
          <w:i/>
          <w:lang w:val="pt-BR"/>
        </w:rPr>
        <w:t xml:space="preserve">31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0329 836 691</w:t>
            </w:r>
            <w:r>
              <w:rPr>
                <w:sz w:val="22"/>
                <w:szCs w:val="22"/>
              </w:rPr>
              <w:t xml:space="preserve"> </w:t>
            </w:r>
            <w:r>
              <w:rPr>
                <w:sz w:val="22"/>
                <w:szCs w:val="22"/>
              </w:rPr>
              <w:br/>
              <w:t xml:space="preserve">(Mai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(47,5m²)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Tiếp giáp đường Đền Thông, xã Đại Đình, tỉnh Phú Thọ, độ rộng đường trước mặt tài sản 7m, mặt tiền 10m, 21.453881538606712, 105,58603527017284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9.5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61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6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https://www.facebook.com/share/p/1c4D17a758/</w:t>
            </w:r>
            <w:r>
              <w:rPr>
                <w:color w:val="000000" w:themeColor="text1"/>
                <w:sz w:val="22"/>
                <w:szCs w:val="22"/>
              </w:rPr>
              <w:br/>
              <w:t xml:space="preserve">0348281816</w:t>
            </w:r>
            <w:r>
              <w:rPr>
                <w:sz w:val="22"/>
                <w:szCs w:val="22"/>
              </w:rPr>
              <w:t xml:space="preserve"> </w:t>
            </w:r>
            <w:r>
              <w:rPr>
                <w:sz w:val="22"/>
                <w:szCs w:val="22"/>
              </w:rPr>
              <w:br/>
              <w:t xml:space="preserve">(Quỳnh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(150m²), Đất trồng cây lâu năm (15m²)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Tiếp giáp đường Đền Thông, xã Đại Đình, tỉnh Phú Thọ</w:t>
            </w:r>
            <w:r>
              <w:rPr>
                <w:color w:val="000000" w:themeColor="text1"/>
                <w:sz w:val="22"/>
                <w:szCs w:val="22"/>
              </w:rPr>
              <w:t xml:space="preserve">, độ rộng đường trước mặt tài sản 7m, mặt tiền 10m, 21.461789809133975, 105,58103563125941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620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362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7.1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1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51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tiêp</w:t>
            </w:r>
            <w:r>
              <w:rPr>
                <w:color w:val="000000" w:themeColor="text1"/>
                <w:sz w:val="22"/>
                <w:szCs w:val="22"/>
              </w:rPr>
              <w:br/>
            </w:r>
            <w:r>
              <w:rPr>
                <w:sz w:val="22"/>
                <w:szCs w:val="22"/>
              </w:rPr>
              <w:t xml:space="preserve">SĐT: </w:t>
            </w:r>
            <w:r>
              <w:rPr>
                <w:color w:val="000000" w:themeColor="text1"/>
                <w:sz w:val="22"/>
                <w:szCs w:val="22"/>
              </w:rPr>
              <w:t xml:space="preserve">0329 836 691</w:t>
            </w:r>
            <w:r>
              <w:rPr>
                <w:sz w:val="22"/>
                <w:szCs w:val="22"/>
              </w:rPr>
              <w:t xml:space="preserve"> </w:t>
            </w:r>
            <w:r>
              <w:rPr>
                <w:sz w:val="22"/>
                <w:szCs w:val="22"/>
              </w:rPr>
              <w:br/>
              <w:t xml:space="preserve">(Mai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 Đất trồng cây lâu năm (85,7m²)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w:t>
            </w:r>
            <w:r>
              <w:rPr>
                <w:color w:val="000000" w:themeColor="text1"/>
                <w:sz w:val="22"/>
                <w:szCs w:val="22"/>
              </w:rPr>
              <w:t xml:space="preserve">Tiếp giáp đường Đền Thông, xã Đại Đình, tỉnh Phú Thọ</w:t>
            </w:r>
            <w:r>
              <w:rPr>
                <w:color w:val="000000" w:themeColor="text1"/>
                <w:sz w:val="22"/>
                <w:szCs w:val="22"/>
              </w:rPr>
              <w:t xml:space="preserve">, độ rộng đường trước mặt tài sản 7m, mặt tiền 5,5m, 21.460526711273467, 105,5815828028807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2703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3270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61.9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3454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2345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5.95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9062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2906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0.36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D90B88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B31C12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4904465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B0B9E45"/>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nha-dat-ban-vinh-yen-vp" TargetMode="External"/><Relationship Id="rId18" Type="http://schemas.openxmlformats.org/officeDocument/2006/relationships/hyperlink" Target="https://www.facebook.com/groups/294212787934014/"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jp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281</cp:revision>
  <dcterms:created xsi:type="dcterms:W3CDTF">2025-09-15T09:58:00Z</dcterms:created>
  <dcterms:modified xsi:type="dcterms:W3CDTF">2026-06-01T03:31:46Z</dcterms:modified>
</cp:coreProperties>
</file>