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hd w:val="nil" w:color="auto"/>
        <w:spacing/>
        <w:ind/>
        <w:rPr>
          <w:lang w:val="vi-VN"/>
          <w14:ligatures w14:val="none"/>
        </w:rPr>
      </w:pPr>
      <w:r>
        <w:rPr>
          <w:lang w:val="vi-VN"/>
        </w:rPr>
      </w:r>
      <w:r>
        <w:rPr>
          <w:lang w:val="vi-VN"/>
          <w14:ligatures w14:val="none"/>
        </w:rPr>
      </w:r>
      <w:r>
        <w:rPr>
          <w:lang w:val="vi-VN"/>
          <w14:ligatures w14:val="none"/>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5470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5470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75/2026/0796/VFI-CT.69.A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THƯƠNG MẠI VÀ DỊCH VỤ VẬN TẢI NHẬT MINH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758 (gốc 254), tờ bản đồ số: 18 (C49-I-(43b)) có địa chỉ: Phường 7, Thành phố Đà Lạt, tỉnh Lâm Đồng (Nay là phường Lang Biang - Đà </w:t>
                            </w:r>
                            <w:r>
                              <w:rPr>
                                <w:color w:val="000000"/>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5.6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75/2026/0796/VFI-CT.69.A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THƯƠNG MẠI VÀ DỊCH VỤ VẬN TẢI NHẬT MINH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758 (gốc 254), tờ bản đồ số: 18 (C49-I-(43b)) có địa chỉ: Phường 7, Thành phố Đà Lạt, tỉnh Lâm Đồng (Nay là phường Lang Biang - Đà </w:t>
                      </w:r>
                      <w:r>
                        <w:rPr>
                          <w:color w:val="000000"/>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commentRangeStart w:id="0"/>
      <w:r>
        <w:rPr>
          <w:b/>
          <w:sz w:val="28"/>
        </w:rPr>
        <w:t xml:space="preserve">MỤC LỤC</w:t>
      </w:r>
      <w:r>
        <w:rPr>
          <w:sz w:val="28"/>
        </w:rPr>
      </w:r>
      <w:commentRangeEnd w:id="0"/>
      <w:r>
        <w:commentReference w:id="0"/>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402"/>
        <w:gridCol w:w="6520"/>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402"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75/2026/0796/VFI-CT.69.A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5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VÀ DỊCH VỤ VẬN TẢI NHẬT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275/2026/0796/VFI-HĐTĐ.69.A</w:t>
      </w:r>
      <w:r>
        <w:rPr>
          <w:spacing w:val="-4"/>
          <w:lang w:val="vi-VN"/>
        </w:rPr>
        <w:t xml:space="preserve"> ký ngày </w:t>
      </w:r>
      <w:r>
        <w:rPr>
          <w:color w:val="000000" w:themeColor="text1"/>
          <w:spacing w:val="-4"/>
        </w:rPr>
        <w:t xml:space="preserve">25 tháng 5 năm 2026</w:t>
      </w:r>
      <w:r>
        <w:rPr>
          <w:spacing w:val="-4"/>
          <w:lang w:val="vi-VN"/>
        </w:rPr>
        <w:t xml:space="preserve"> </w:t>
      </w:r>
      <w:r>
        <w:rPr>
          <w:spacing w:val="-4"/>
          <w:lang w:val="vi-VN"/>
        </w:rPr>
        <w:t xml:space="preserve">giữa </w:t>
      </w:r>
      <w:r>
        <w:rPr>
          <w:color w:val="000000" w:themeColor="text1"/>
          <w:spacing w:val="-4"/>
        </w:rPr>
        <w:t xml:space="preserve">CÔNG TY TNHH THƯƠNG MẠI VÀ DỊCH VỤ VẬN TẢI NHẬT MINH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75/2026/0796/VFI-BC.69.A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THƯƠNG MẠI VÀ DỊCH VỤ VẬN TẢI NHẬT MINH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hd w:val="nil" w:color="auto"/>
              <w:spacing/>
              <w:ind/>
              <w:rPr>
                <w:highlight w:val="white"/>
                <w14:ligatures w14:val="none"/>
              </w:rPr>
            </w:pPr>
            <w:r>
              <w:rPr>
                <w:highlight w:val="white"/>
                <w:lang w:val="pt-BR"/>
              </w:rPr>
              <w:t xml:space="preserve">:</w:t>
            </w:r>
            <w:r>
              <w:rPr>
                <w:highlight w:val="white"/>
                <w14:ligatures w14:val="none"/>
              </w:rPr>
            </w:r>
            <w:r>
              <w:rPr>
                <w:highlight w:val="white"/>
                <w14:ligatures w14:val="none"/>
              </w:rPr>
            </w:r>
          </w:p>
        </w:tc>
        <w:tc>
          <w:tcPr>
            <w:tcBorders/>
            <w:tcW w:w="3643" w:type="pct"/>
            <w:vAlign w:val="center"/>
            <w:textDirection w:val="lrTb"/>
            <w:noWrap w:val="false"/>
          </w:tcPr>
          <w:p>
            <w:pPr>
              <w:pBdr/>
              <w:shd w:val="nil" w:color="auto"/>
              <w:spacing/>
              <w:ind/>
              <w:rPr>
                <w:highlight w:val="white"/>
                <w14:ligatures w14:val="none"/>
              </w:rPr>
            </w:pPr>
            <w:r>
              <w:rPr>
                <w:highlight w:val="white"/>
                <w:lang w:val="vi-VN"/>
              </w:rPr>
            </w:r>
            <w:r>
              <w:rPr>
                <w:highlight w:val="white"/>
              </w:rPr>
              <w:t xml:space="preserve">0101868836 </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highlight w:val="white"/>
                <w14:ligatures w14:val="none"/>
              </w:rPr>
            </w:pPr>
            <w:r>
              <w:rPr>
                <w:color w:val="000000" w:themeColor="text1"/>
                <w:lang w:val="vi-VN"/>
              </w:rPr>
            </w:r>
            <w:r>
              <w:rPr>
                <w:highlight w:val="white"/>
              </w:rPr>
              <w:t xml:space="preserve">Số 398, đường Âu Cơ, Phường Hồng Hà, TP Hà Nội</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Bà </w:t>
            </w:r>
            <w:r>
              <w:rPr>
                <w:color w:val="000000" w:themeColor="text1"/>
                <w:lang w:val="vi-VN"/>
              </w:rPr>
              <w:t xml:space="preserve">Hoàng </w:t>
            </w:r>
            <w:r>
              <w:rPr>
                <w:color w:val="000000" w:themeColor="text1"/>
                <w:lang w:val="vi-VN"/>
              </w:rPr>
              <w:t xml:space="preserve">Thuỳ </w:t>
            </w:r>
            <w:r>
              <w:rPr>
                <w:color w:val="000000" w:themeColor="text1"/>
                <w:lang w:val="vi-VN"/>
              </w:rPr>
              <w:t xml:space="preserve">Minh - </w:t>
            </w:r>
            <w:r>
              <w:rPr>
                <w:color w:val="000000" w:themeColor="text1"/>
                <w:lang w:val="vi-VN"/>
              </w:rPr>
              <w:t xml:space="preserve">C</w:t>
            </w:r>
            <w:r>
              <w:rPr>
                <w:color w:val="000000" w:themeColor="text1"/>
                <w:lang w:val="vi-VN"/>
              </w:rPr>
              <w:t xml:space="preserve">h</w:t>
            </w:r>
            <w:r>
              <w:rPr>
                <w:color w:val="000000" w:themeColor="text1"/>
                <w:lang w:val="vi-VN"/>
              </w:rPr>
              <w:t xml:space="preserve">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758 (gốc 254), tờ bản đồ số: 18 (C49-I-(43b)) có địa chỉ: Phường 7, Thành phố Đà Lạt, tỉnh Lâm Đồng (Nay là phường Lang Biang - Đà </w:t>
      </w:r>
      <w:r>
        <w:rPr>
          <w:color w:val="000000" w:themeColor="text1"/>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758 (gốc 254), tờ bản đồ số: 18 (C49-I-(43b)) có địa chỉ: Phường 7, Thành phố Đà Lạt, tỉnh Lâm Đồng (Nay là phường Lang Biang - Đà </w:t>
            </w:r>
            <w:r>
              <w:rPr>
                <w:b/>
                <w:bCs/>
                <w:color w:val="000000"/>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219,4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4.388.000.000</w:t>
            </w:r>
            <w:r/>
          </w:p>
        </w:tc>
      </w:tr>
      <w:tr>
        <w:trPr>
          <w:trHeight w:val="411"/>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4.388.000.000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tám mươi tám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118"/>
        <w:gridCol w:w="567"/>
        <w:gridCol w:w="6378"/>
      </w:tblGrid>
      <w:tr>
        <w:trPr>
          <w:trHeight w:val="1843"/>
        </w:trPr>
        <w:tc>
          <w:tcPr>
            <w:gridSpan w:val="2"/>
            <w:tcBorders/>
            <w:tcW w:w="314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94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3685"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75/2026/0796/VFI</w:t>
            </w:r>
            <w:commentRangeStart w:id="1"/>
            <w:r>
              <w:rPr>
                <w:rStyle w:val="1029"/>
                <w:rFonts w:ascii="Times New Roman" w:hAnsi="Times New Roman"/>
                <w:color w:val="000000" w:themeColor="text1"/>
                <w:lang w:val="pt-BR"/>
              </w:rPr>
              <w:t xml:space="preserve">-</w:t>
            </w:r>
            <w:r>
              <w:rPr>
                <w:rStyle w:val="1029"/>
                <w:rFonts w:ascii="Times New Roman" w:hAnsi="Times New Roman"/>
                <w:color w:val="000000" w:themeColor="text1"/>
                <w:lang w:val="pt-BR"/>
              </w:rPr>
              <w:t xml:space="preserve">BC</w:t>
            </w:r>
            <w:r>
              <w:rPr>
                <w:rStyle w:val="1029"/>
                <w:rFonts w:ascii="Times New Roman" w:hAnsi="Times New Roman"/>
                <w:color w:val="000000" w:themeColor="text1"/>
                <w:lang w:val="pt-BR"/>
              </w:rPr>
              <w:t xml:space="preserve">.</w:t>
            </w:r>
            <w:commentRangeEnd w:id="1"/>
            <w:r>
              <w:commentReference w:id="1"/>
            </w:r>
            <w:r>
              <w:rPr>
                <w:rStyle w:val="1029"/>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118"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gridSpan w:val="2"/>
            <w:shd w:val="clear" w:color="auto" w:fill="auto"/>
            <w:tcBorders/>
            <w:tcMar>
              <w:left w:w="108" w:type="dxa"/>
              <w:top w:w="0" w:type="dxa"/>
              <w:right w:w="108" w:type="dxa"/>
              <w:bottom w:w="0" w:type="dxa"/>
            </w:tcMar>
            <w:tcW w:w="6945"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75/2026/0796/VFI-CT.69.A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TNHH THƯƠNG MẠI VÀ DỊCH VỤ VẬN TẢI NHẬT MINH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color="auto"/>
              <w:spacing/>
              <w:ind/>
              <w:rPr>
                <w:highlight w:val="white"/>
                <w14:ligatures w14:val="none"/>
              </w:rPr>
            </w:pPr>
            <w:r>
              <w:rPr>
                <w:highlight w:val="white"/>
                <w:lang w:val="vi-VN"/>
              </w:rPr>
            </w:r>
            <w:r>
              <w:rPr>
                <w:highlight w:val="white"/>
              </w:rPr>
              <w:t xml:space="preserve">0101868836</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color="auto"/>
              <w:spacing/>
              <w:ind/>
              <w:rPr>
                <w:highlight w:val="white"/>
                <w14:ligatures w14:val="none"/>
              </w:rPr>
            </w:pPr>
            <w:r>
              <w:rPr>
                <w:highlight w:val="white"/>
                <w:lang w:val="vi-VN"/>
              </w:rPr>
            </w:r>
            <w:r>
              <w:rPr>
                <w:highlight w:val="white"/>
              </w:rPr>
              <w:t xml:space="preserve">Số 398, đường Âu Cơ, Phường Hồng Hà, TP Hà Nội</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color="auto"/>
              <w:spacing/>
              <w:ind/>
              <w:rPr>
                <w:highlight w:val="white"/>
                <w14:ligatures w14:val="none"/>
              </w:rPr>
            </w:pPr>
            <w:r>
              <w:rPr>
                <w:highlight w:val="white"/>
                <w:lang w:val="vi-VN"/>
              </w:rPr>
              <w:t xml:space="preserve">Bà </w:t>
            </w:r>
            <w:r>
              <w:rPr>
                <w:highlight w:val="white"/>
                <w:lang w:val="vi-VN"/>
              </w:rPr>
              <w:t xml:space="preserve">Hoàng </w:t>
            </w:r>
            <w:r>
              <w:rPr>
                <w:highlight w:val="white"/>
                <w:lang w:val="vi-VN"/>
              </w:rPr>
              <w:t xml:space="preserve">Thuỳ </w:t>
            </w:r>
            <w:r>
              <w:rPr>
                <w:highlight w:val="white"/>
                <w:lang w:val="vi-VN"/>
              </w:rPr>
              <w:t xml:space="preserve">Minh - </w:t>
            </w:r>
            <w:r>
              <w:rPr>
                <w:highlight w:val="white"/>
                <w:lang w:val="vi-VN"/>
              </w:rPr>
              <w:t xml:space="preserve">Chức </w:t>
            </w:r>
            <w:r>
              <w:rPr>
                <w:highlight w:val="white"/>
                <w:lang w:val="vi-VN"/>
              </w:rPr>
              <w:t xml:space="preserve">vụ: </w:t>
            </w:r>
            <w:r>
              <w:rPr>
                <w:highlight w:val="white"/>
                <w:lang w:val="vi-VN"/>
              </w:rPr>
              <w:t xml:space="preserve">Giám </w:t>
            </w:r>
            <w:r>
              <w:rPr>
                <w:highlight w:val="white"/>
                <w:lang w:val="vi-VN"/>
              </w:rPr>
              <w:t xml:space="preserve">đốc</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758 (gốc 254), tờ bản đồ số: 18 (C49-I-(43b)) có địa chỉ: Phường 7, Thành phố Đà Lạt, tỉnh Lâm Đồng (Nay là phường Lang Biang - Đà </w:t>
            </w:r>
            <w:r>
              <w:rPr>
                <w:bCs/>
                <w:color w:val="000000" w:themeColor="text1"/>
                <w:lang w:val="pt-BR"/>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Hẻm </w:t>
            </w:r>
            <w:r>
              <w:rPr>
                <w:color w:val="000000" w:themeColor="text1"/>
                <w:lang w:val="pt-BR"/>
              </w:rPr>
              <w:t xml:space="preserve">Măng </w:t>
            </w:r>
            <w:r>
              <w:rPr>
                <w:color w:val="000000" w:themeColor="text1"/>
                <w:lang w:val="pt-BR"/>
              </w:rPr>
              <w:t xml:space="preserve">Lin, </w:t>
            </w:r>
            <w:r>
              <w:rPr>
                <w:color w:val="000000" w:themeColor="text1"/>
                <w:lang w:val="pt-BR"/>
              </w:rPr>
              <w:t xml:space="preserve">Ph</w:t>
            </w:r>
            <w:r>
              <w:rPr>
                <w:color w:val="000000" w:themeColor="text1"/>
                <w:lang w:val="pt-BR"/>
              </w:rPr>
              <w:t xml:space="preserve">ường </w:t>
            </w:r>
            <w:r>
              <w:rPr>
                <w:color w:val="000000" w:themeColor="text1"/>
                <w:lang w:val="pt-BR"/>
              </w:rPr>
              <w:t xml:space="preserve">Lang </w:t>
            </w:r>
            <w:r>
              <w:rPr>
                <w:color w:val="000000" w:themeColor="text1"/>
                <w:lang w:val="pt-BR"/>
              </w:rPr>
              <w:t xml:space="preserve">Biang - </w:t>
            </w:r>
            <w:r>
              <w:rPr>
                <w:color w:val="000000" w:themeColor="text1"/>
                <w:lang w:val="pt-BR"/>
              </w:rPr>
              <w:t xml:space="preserve">Đà </w:t>
            </w:r>
            <w:r>
              <w:rPr>
                <w:color w:val="000000" w:themeColor="text1"/>
                <w:lang w:val="pt-BR"/>
              </w:rPr>
              <w:t xml:space="preserve">Lạt, </w:t>
            </w:r>
            <w:r>
              <w:rPr>
                <w:color w:val="000000" w:themeColor="text1"/>
                <w:lang w:val="pt-BR"/>
              </w:rPr>
              <w:t xml:space="preserve">Tỉnh </w:t>
            </w:r>
            <w:r>
              <w:rPr>
                <w:color w:val="000000" w:themeColor="text1"/>
                <w:lang w:val="pt-BR"/>
              </w:rPr>
              <w:t xml:space="preserve">Lâm </w:t>
            </w:r>
            <w:r>
              <w:rPr>
                <w:color w:val="000000" w:themeColor="text1"/>
                <w:lang w:val="pt-BR"/>
              </w:rPr>
              <w:t xml:space="preserve">Đồng.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11.976388888889, 108.39125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27/05/2026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w:t>
      </w:r>
      <w:r>
        <w:rPr>
          <w:color w:val="ff0000"/>
          <w:spacing w:val="-6"/>
          <w:lang w:val="pt-BR"/>
        </w:rPr>
        <w:t xml:space="preserve"> rao</w:t>
      </w:r>
      <w:r>
        <w:rPr>
          <w:spacing w:val="-6"/>
          <w:lang w:val="pt-BR"/>
        </w:rPr>
        <w:t xml:space="preserve">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275/2026/0796/VFI-HĐTĐ.69.A ký ngày 25/05/2026 giữa CÔNG TY TNHH THƯƠNG MẠI VÀ DỊCH VỤ VẬN TẢI NHẬT MINH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Bất động sản ngoại ô Đà Lạt: Liệu có đáng để đầu tư trong giai đoạn 2026?</w:t>
      </w:r>
      <w:r>
        <w:rPr>
          <w:b/>
          <w:bCs/>
          <w:iCs/>
        </w:rPr>
      </w:r>
      <w:r>
        <w:rPr>
          <w:b/>
          <w:bCs/>
          <w:iCs/>
        </w:rPr>
      </w:r>
    </w:p>
    <w:p>
      <w:pPr>
        <w:pBdr/>
        <w:tabs>
          <w:tab w:val="left" w:leader="none" w:pos="426"/>
        </w:tabs>
        <w:spacing w:after="120" w:before="120" w:line="276" w:lineRule="auto"/>
        <w:ind/>
        <w:jc w:val="both"/>
        <w:rPr/>
      </w:pPr>
      <w:r>
        <w:rPr>
          <w:shd w:val="clear" w:color="auto" w:fill="ffffff"/>
        </w:rPr>
        <w:t xml:space="preserve">Trong vài năm gần đây, thị trường bất động sản vùng ven Đà Lạt chứng kiến sự chuyển mình mạnh mẽ, đặc biệt là sự chuyển từ đ</w:t>
      </w:r>
      <w:r>
        <w:rPr>
          <w:shd w:val="clear" w:color="auto" w:fill="ffffff"/>
        </w:rPr>
        <w:t xml:space="preserve">ất nông nghiệp diện tích lớn sang đất nền nghỉ dưỡng, kết hợp với mô hình Farmstay/Homestay. Các khu vực xung quanh Đà Lạt như Đức Trọng, Lạc Dương, Lâm Hà ngày càng thu hút sự quan tâm của nhà đầu tư nhờ vào hạ tầng kết nối tốt và giá trị hợp lý. Cùng Myt</w:t>
      </w:r>
      <w:r>
        <w:rPr>
          <w:shd w:val="clear" w:color="auto" w:fill="ffffff"/>
        </w:rPr>
        <w:t xml:space="preserve">our khám phá tiềm năng bất động sản vùng ven Đà Lạt trong năm 2026.</w:t>
      </w:r>
      <w:r/>
    </w:p>
    <w:p>
      <w:pPr>
        <w:pBdr/>
        <w:tabs>
          <w:tab w:val="left" w:leader="none" w:pos="426"/>
        </w:tabs>
        <w:spacing w:after="120" w:before="120" w:line="276" w:lineRule="auto"/>
        <w:ind/>
        <w:jc w:val="center"/>
        <w:rPr>
          <w:b/>
          <w:bCs/>
        </w:rPr>
      </w:pPr>
      <w:r>
        <w:rPr>
          <w:b/>
          <w:bCs/>
          <w:shd w:val="clear" w:color="auto" w:fill="ffffff"/>
        </w:rPr>
      </w:r>
      <w:r>
        <w:rPr>
          <w:b/>
          <w:bCs/>
          <w:shd w:val="clear" w:color="auto" w:fill="ffffff"/>
        </w:rPr>
        <w:t xml:space="preserve">Tổng quan về thị trường bất động sản tại Đà Lạt hiện nay</w:t>
      </w:r>
      <w:r>
        <w:rPr>
          <w:b/>
          <w:bCs/>
        </w:rPr>
      </w:r>
      <w:r>
        <w:rPr>
          <w:b/>
          <w:bCs/>
        </w:rPr>
      </w:r>
    </w:p>
    <w:p>
      <w:pPr>
        <w:pBdr/>
        <w:tabs>
          <w:tab w:val="left" w:leader="none" w:pos="426"/>
        </w:tabs>
        <w:spacing w:after="120" w:before="120" w:line="276" w:lineRule="auto"/>
        <w:ind/>
        <w:jc w:val="both"/>
        <w:rPr/>
      </w:pPr>
      <w:r>
        <w:rPr>
          <w:shd w:val="clear" w:color="auto" w:fill="ffffff"/>
        </w:rPr>
        <w:t xml:space="preserve">Bất động sản Đà Lạt trong đầu năm 2026 đã có dấu hiệu phục hồi sau một thời gian dài yên ắng. Đất nền nghỉ dưỡng vẫn là phân khúc </w:t>
      </w:r>
      <w:r>
        <w:rPr>
          <w:shd w:val="clear" w:color="auto" w:fill="ffffff"/>
        </w:rPr>
        <w:t xml:space="preserve">được các nhà đầu tư săn đón mạnh mẽ, đặc biệt là những khu vực sở hữu khí hậu mát mẻ và cảnh sắc thiên nhiên tuyệt đẹp. Dưới đây là bức tranh tổng thể về thị trường bất động sản tại Đà Lạt: </w:t>
      </w:r>
      <w:r/>
    </w:p>
    <w:p>
      <w:pPr>
        <w:pBdr/>
        <w:tabs>
          <w:tab w:val="left" w:leader="none" w:pos="426"/>
        </w:tabs>
        <w:spacing w:after="120" w:before="120" w:line="276" w:lineRule="auto"/>
        <w:ind/>
        <w:jc w:val="center"/>
        <w:rPr>
          <w:b/>
          <w:bCs/>
        </w:rPr>
      </w:pPr>
      <w:r>
        <w:rPr>
          <w:b/>
          <w:bCs/>
          <w:shd w:val="clear" w:color="auto" w:fill="ffffff"/>
        </w:rPr>
        <w:t xml:space="preserve">Xu hướng phát triển của thị trường bất động sản Đà Lạt trong nhữn</w:t>
      </w:r>
      <w:r>
        <w:rPr>
          <w:b/>
          <w:bCs/>
          <w:shd w:val="clear" w:color="auto" w:fill="ffffff"/>
        </w:rPr>
        <w:t xml:space="preserve">g năm gần đây</w:t>
      </w:r>
      <w:r>
        <w:rPr>
          <w:b/>
          <w:bCs/>
        </w:rPr>
      </w:r>
      <w:r>
        <w:rPr>
          <w:b/>
          <w:bCs/>
        </w:rPr>
      </w:r>
    </w:p>
    <w:p>
      <w:pPr>
        <w:pBdr/>
        <w:tabs>
          <w:tab w:val="left" w:leader="none" w:pos="426"/>
        </w:tabs>
        <w:spacing w:after="120" w:before="120" w:line="276" w:lineRule="auto"/>
        <w:ind/>
        <w:jc w:val="both"/>
        <w:rPr/>
      </w:pPr>
      <w:r>
        <w:rPr>
          <w:shd w:val="clear" w:color="auto" w:fill="ffffff"/>
        </w:rPr>
        <w:t xml:space="preserve">Trong thời gian qua, bất động sản vùng ven Đà Lạt đã trở thành một xu hướng đầu tư mới. Với quỹ đất trung tâm Đà Lạt ngày càng khan hiếm, giá bất động sản không ngừng tăng, khiến biên độ sinh lời ngắn hạn giảm dần. Các nhà đầu tư đã chuyển hư</w:t>
      </w:r>
      <w:r>
        <w:rPr>
          <w:shd w:val="clear" w:color="auto" w:fill="ffffff"/>
        </w:rPr>
        <w:t xml:space="preserve">ớng sang các khu vực vùng ven, nơi vẫn còn quỹ đất lớn và mức giá hợp lý hơn so với khu vực trung tâm.</w:t>
      </w:r>
      <w:r/>
    </w:p>
    <w:p>
      <w:pPr>
        <w:pBdr/>
        <w:tabs>
          <w:tab w:val="left" w:leader="none" w:pos="426"/>
        </w:tabs>
        <w:spacing w:after="120" w:before="120" w:line="276" w:lineRule="auto"/>
        <w:ind/>
        <w:jc w:val="both"/>
        <w:rPr/>
      </w:pPr>
      <w:r>
        <w:rPr>
          <w:shd w:val="clear" w:color="auto" w:fill="ffffff"/>
        </w:rPr>
        <w:t xml:space="preserve">Nhờ vào khí hậu mát mẻ và cảnh quan thiên nhiên tuyệt đẹp, các khu vực ngoại ô Đà Lạt như Lâm Hà, Bảo Lộc đã trở thành điểm đến lý tưởng cho các dự án b</w:t>
      </w:r>
      <w:r>
        <w:rPr>
          <w:shd w:val="clear" w:color="auto" w:fill="ffffff"/>
        </w:rPr>
        <w:t xml:space="preserve">ất động sản nghỉ dưỡng. Các loại hình như đất nghỉ dưỡng, farmstay, homestay hay second stay đang thu hút sự chú ý của các nhà đầu tư, đặc biệt là những người đến từ các thành phố lớn, tìm kiếm không gian nghỉ dưỡng kết hợp khai thác cho thuê.</w:t>
      </w:r>
      <w:r/>
    </w:p>
    <w:p>
      <w:pPr>
        <w:pBdr/>
        <w:tabs>
          <w:tab w:val="left" w:leader="none" w:pos="426"/>
        </w:tabs>
        <w:spacing w:after="120" w:before="120" w:line="276" w:lineRule="auto"/>
        <w:ind/>
        <w:jc w:val="both"/>
        <w:rPr/>
      </w:pPr>
      <w:r>
        <w:rPr>
          <w:shd w:val="clear" w:color="auto" w:fill="ffffff"/>
        </w:rPr>
        <w:t xml:space="preserve">Vì vậy, khu</w:t>
      </w:r>
      <w:r>
        <w:rPr>
          <w:shd w:val="clear" w:color="auto" w:fill="ffffff"/>
        </w:rPr>
        <w:t xml:space="preserve"> vực ngoại ô Đà Lạt không chỉ mang lại tiềm năng sinh lời lớn mà còn là sự lựa chọn đầu tư an toàn cho những ai mong muốn sở hữu tài sản lâu dài. Hạ tầng giao thông phát triển và các kế hoạch quy hoạch mở rộng cũng đang tạo động lực để khu vực này trở thàn</w:t>
      </w:r>
      <w:r>
        <w:rPr>
          <w:shd w:val="clear" w:color="auto" w:fill="ffffff"/>
        </w:rPr>
        <w:t xml:space="preserve">h điểm đến hấp dẫn cho các dự án nghỉ dưỡng và second home trong tương lai dài hạn.</w:t>
      </w:r>
      <w:r/>
    </w:p>
    <w:p>
      <w:pPr>
        <w:pBdr/>
        <w:tabs>
          <w:tab w:val="left" w:leader="none" w:pos="426"/>
        </w:tabs>
        <w:spacing w:after="120" w:before="120" w:line="276" w:lineRule="auto"/>
        <w:ind/>
        <w:jc w:val="center"/>
        <w:rPr>
          <w:b/>
          <w:bCs/>
        </w:rPr>
      </w:pPr>
      <w:r>
        <w:rPr>
          <w:b/>
          <w:bCs/>
          <w:shd w:val="clear" w:color="auto" w:fill="ffffff"/>
        </w:rPr>
      </w:r>
      <w:r>
        <w:rPr>
          <w:b/>
          <w:bCs/>
          <w:shd w:val="clear" w:color="auto" w:fill="ffffff"/>
        </w:rPr>
        <w:t xml:space="preserve">Vì sao bất động sản vùng ven Đà Lạt lại thu hút nhiều nhà đầu tư?</w:t>
      </w:r>
      <w:r>
        <w:rPr>
          <w:b/>
          <w:bCs/>
        </w:rPr>
      </w:r>
      <w:r>
        <w:rPr>
          <w:b/>
          <w:bCs/>
        </w:rPr>
      </w:r>
    </w:p>
    <w:p>
      <w:pPr>
        <w:pBdr/>
        <w:tabs>
          <w:tab w:val="left" w:leader="none" w:pos="426"/>
        </w:tabs>
        <w:spacing w:after="120" w:before="120" w:line="276" w:lineRule="auto"/>
        <w:ind/>
        <w:jc w:val="both"/>
        <w:rPr/>
      </w:pPr>
      <w:r>
        <w:rPr>
          <w:shd w:val="clear" w:color="auto" w:fill="ffffff"/>
        </w:rPr>
        <w:t xml:space="preserve">Thị trường bất động sản vùng ven Đà Lạt đang nổi lên như một điểm đầu tư hấp dẫn. Ngoài tác động từ xu hư</w:t>
      </w:r>
      <w:r>
        <w:rPr>
          <w:shd w:val="clear" w:color="auto" w:fill="ffffff"/>
        </w:rPr>
        <w:t xml:space="preserve">ớng giãn dân, sự thu hút này còn đến từ một số yếu tố quan trọng khác, chẳng hạn như:</w:t>
      </w:r>
      <w:r/>
    </w:p>
    <w:p>
      <w:pPr>
        <w:pBdr/>
        <w:tabs>
          <w:tab w:val="left" w:leader="none" w:pos="426"/>
        </w:tabs>
        <w:spacing w:after="120" w:before="120" w:line="276" w:lineRule="auto"/>
        <w:ind/>
        <w:jc w:val="both"/>
        <w:rPr/>
      </w:pPr>
      <w:r>
        <w:rPr>
          <w:shd w:val="clear" w:color="auto" w:fill="ffffff"/>
        </w:rPr>
        <w:t xml:space="preserve">Giá đất vẫn thấp hơn so với khu vực trung tâm: Giá đất trung tâm Đà Lạt đã liên tục tăng cao trong những năm gần đây, quỹ đất ngày càng khan hiếm và chi phí đầu tư cũng </w:t>
      </w:r>
      <w:r>
        <w:rPr>
          <w:shd w:val="clear" w:color="auto" w:fill="ffffff"/>
        </w:rPr>
        <w:t xml:space="preserve">tăng theo. Trong khi đó, các khu vực ngoại ô như Lạc Dương, Đức Trọng, Đơn Dương... vẫn có mức giá hợp lý hơn và còn dư địa tăng trưởng, thích hợp để đầu tư trung và dài hạn. Hơn nữa, đất vùng ven cũng dễ tiếp cận hơn đối với các nhà đầu tư có vốn nhỏ và t</w:t>
      </w:r>
      <w:r>
        <w:rPr>
          <w:shd w:val="clear" w:color="auto" w:fill="ffffff"/>
        </w:rPr>
        <w:t xml:space="preserve">rung bình, không cần quá nhiều tài chính.</w:t>
      </w:r>
      <w:r/>
    </w:p>
    <w:p>
      <w:pPr>
        <w:pBdr/>
        <w:tabs>
          <w:tab w:val="left" w:leader="none" w:pos="426"/>
        </w:tabs>
        <w:spacing w:after="120" w:before="120" w:line="276" w:lineRule="auto"/>
        <w:ind/>
        <w:jc w:val="both"/>
        <w:rPr/>
      </w:pPr>
      <w:r>
        <w:rPr>
          <w:shd w:val="clear" w:color="auto" w:fill="ffffff"/>
        </w:rPr>
        <w:t xml:space="preserve">Quỹ đất rộng và dễ dàng phát triển mô hình nghỉ dưỡng: Nếu như quỹ đất trung tâm bị phân chia nhỏ và mật độ xây dựng dày đặc thì vùng ven Đà Lạt lại có lợi thế lớn về diện tích đất rộng, liền thửa, lý tưởng cho cá</w:t>
      </w:r>
      <w:r>
        <w:rPr>
          <w:shd w:val="clear" w:color="auto" w:fill="ffffff"/>
        </w:rPr>
        <w:t xml:space="preserve">c mô hình như farmstay, homestay sinh thái, resort nghỉ dưỡng, khu retreat… Đây là xu hướng du lịch mới, với nhiều cơ hội sinh lời bền vững trong dài hạn. </w:t>
      </w:r>
      <w:r/>
    </w:p>
    <w:p>
      <w:pPr>
        <w:pBdr/>
        <w:tabs>
          <w:tab w:val="left" w:leader="none" w:pos="426"/>
        </w:tabs>
        <w:spacing w:after="120" w:before="120" w:line="276" w:lineRule="auto"/>
        <w:ind/>
        <w:jc w:val="both"/>
        <w:rPr/>
      </w:pPr>
      <w:r>
        <w:rPr>
          <w:shd w:val="clear" w:color="auto" w:fill="ffffff"/>
        </w:rPr>
        <w:t xml:space="preserve">Không gian thiên nhiên tuyệt vời và khí hậu lý tưởng: Vùng ven Đà Lạt có khí hậu mát mẻ quanh năm, c</w:t>
      </w:r>
      <w:r>
        <w:rPr>
          <w:shd w:val="clear" w:color="auto" w:fill="ffffff"/>
        </w:rPr>
        <w:t xml:space="preserve">ảnh sắc thiên nhiên phong phú (đồi núi, hồ tự nhiên, rừng thông…) và không khí trong lành, ít ô nhiễm, rất thích hợp cho các dự án du lịch nghỉ dưỡng cao cấp, đặc biệt là khi xu hướng “bỏ phố về rừng” hay “sống chậm” đang ngày càng phổ biến.</w:t>
      </w:r>
      <w:r/>
    </w:p>
    <w:p>
      <w:pPr>
        <w:pBdr/>
        <w:tabs>
          <w:tab w:val="left" w:leader="none" w:pos="426"/>
        </w:tabs>
        <w:spacing w:after="120" w:before="120" w:line="276" w:lineRule="auto"/>
        <w:ind/>
        <w:jc w:val="both"/>
        <w:rPr>
          <w:b/>
          <w:bCs/>
        </w:rPr>
      </w:pPr>
      <w:r>
        <w:rPr>
          <w:b/>
          <w:bCs/>
          <w:shd w:val="clear" w:color="auto" w:fill="ffffff"/>
        </w:rPr>
        <w:t xml:space="preserve">Cơ sở hạ tầng</w:t>
      </w:r>
      <w:r>
        <w:rPr>
          <w:b/>
          <w:bCs/>
          <w:shd w:val="clear" w:color="auto" w:fill="ffffff"/>
        </w:rPr>
        <w:t xml:space="preserve"> kết nối ngày càng được nâng cấp. </w:t>
      </w:r>
      <w:r>
        <w:rPr>
          <w:b/>
          <w:bCs/>
        </w:rPr>
      </w:r>
      <w:r>
        <w:rPr>
          <w:b/>
          <w:bCs/>
        </w:rPr>
      </w:r>
    </w:p>
    <w:p>
      <w:pPr>
        <w:pBdr/>
        <w:tabs>
          <w:tab w:val="left" w:leader="none" w:pos="426"/>
        </w:tabs>
        <w:spacing w:after="120" w:before="120" w:line="276" w:lineRule="auto"/>
        <w:ind/>
        <w:jc w:val="both"/>
        <w:rPr/>
      </w:pPr>
      <w:r>
        <w:rPr>
          <w:shd w:val="clear" w:color="auto" w:fill="ffffff"/>
        </w:rPr>
        <w:t xml:space="preserve">Hạ tầng đóng vai trò là yếu tố then chốt giúp gia tăng giá trị bất động sản vùng ven Đà Lạt. Nhiều tuyến đường lớn kết nối Đà Lạt với TP.HCM, Nha Trang, các tỉnh Tây Nguyên đã được đầu tư và mở rộng, cải thiện các tuyến đườ</w:t>
      </w:r>
      <w:r>
        <w:rPr>
          <w:shd w:val="clear" w:color="auto" w:fill="ffffff"/>
        </w:rPr>
        <w:t xml:space="preserve">ng liên huyện, liên xã. Hơn nữa, sự phát triển của sân bay Liên Khương còn thúc đẩy khả năng tiếp cận du lịch, rút ngắn thời gian di chuyển và tăng cường sự kết nối giữa Đà Lạt và các khu vực vùng ven. </w:t>
      </w:r>
      <w:r/>
    </w:p>
    <w:p>
      <w:pPr>
        <w:pBdr/>
        <w:tabs>
          <w:tab w:val="left" w:leader="none" w:pos="426"/>
        </w:tabs>
        <w:spacing w:after="120" w:before="120" w:line="276" w:lineRule="auto"/>
        <w:ind/>
        <w:jc w:val="both"/>
        <w:rPr/>
      </w:pPr>
      <w:r>
        <w:rPr>
          <w:shd w:val="clear" w:color="auto" w:fill="ffffff"/>
        </w:rPr>
      </w:r>
      <w:r>
        <w:rPr>
          <w:shd w:val="clear" w:color="auto" w:fill="ffffff"/>
        </w:rPr>
        <w:t xml:space="preserve">Những khu vực ngoại ô Đà Lạt đang thu hút sự chú ý: </w:t>
      </w:r>
      <w:r/>
    </w:p>
    <w:p>
      <w:pPr>
        <w:pBdr/>
        <w:tabs>
          <w:tab w:val="left" w:leader="none" w:pos="426"/>
        </w:tabs>
        <w:spacing w:after="120" w:before="120" w:line="276" w:lineRule="auto"/>
        <w:ind/>
        <w:jc w:val="both"/>
        <w:rPr>
          <w:b/>
          <w:bCs/>
          <w:i/>
          <w:u w:val="none"/>
        </w:rPr>
      </w:pPr>
      <w:r>
        <w:rPr>
          <w:shd w:val="clear" w:color="auto" w:fill="ffffff"/>
        </w:rPr>
        <w:t xml:space="preserve">Các khu vực ngoại ô Đà Lạt đang ngày càng thu hút sự quan tâm từ các nhà đầu tư. Dòng tiền không còn chỉ tập trung vào một điểm mà lan rộng ra các vành đai phát triển xung quanh thành phố. Dưới đây là </w:t>
      </w:r>
      <w:r>
        <w:rPr>
          <w:shd w:val="clear" w:color="auto" w:fill="ffffff"/>
        </w:rPr>
        <w:t xml:space="preserve">một số khu vực ngoại ô Đà Lạt đang thu hút sự chú ý mạnh mẽ từ các nhà đầu tư hiện nay:</w:t>
        <w:br/>
        <w:br/>
      </w:r>
      <w:r>
        <w:rPr>
          <w:b/>
          <w:bCs/>
          <w:i/>
          <w:iCs/>
          <w:u w:val="none"/>
          <w:shd w:val="clear" w:color="auto" w:fill="ffffff"/>
        </w:rPr>
        <w:t xml:space="preserve">Huyện Lạc Dương</w:t>
      </w:r>
      <w:r>
        <w:rPr>
          <w:b/>
          <w:bCs/>
          <w:i/>
          <w:u w:val="none"/>
        </w:rPr>
      </w:r>
      <w:r>
        <w:rPr>
          <w:b/>
          <w:bCs/>
          <w:i/>
          <w:u w:val="none"/>
        </w:rPr>
      </w:r>
    </w:p>
    <w:p>
      <w:pPr>
        <w:pBdr/>
        <w:tabs>
          <w:tab w:val="left" w:leader="none" w:pos="426"/>
        </w:tabs>
        <w:spacing w:after="120" w:before="120" w:line="276" w:lineRule="auto"/>
        <w:ind/>
        <w:jc w:val="both"/>
        <w:rPr/>
      </w:pPr>
      <w:r>
        <w:rPr>
          <w:shd w:val="clear" w:color="auto" w:fill="ffffff"/>
        </w:rPr>
        <w:t xml:space="preserve">Huyện Lạc Dương đang được quy hoạch là phần mở rộng về phía Bắc của Đà Lạt theo kế hoạch đô thị đến năm 2045. Với cảnh quan rừng thông, núi cao và hệ s</w:t>
      </w:r>
      <w:r>
        <w:rPr>
          <w:shd w:val="clear" w:color="auto" w:fill="ffffff"/>
        </w:rPr>
        <w:t xml:space="preserve">inh thái tự nhiên phong phú, Lạc Dương sở hữu lợi thế lớn về du lịch. Khu vực này kết nối nhanh chóng với trung tâm thành phố nhờ các tuyến đường lớn, đặc biệt là tuyến quốc lộ 27C, và hiện đang được đầu tư mạnh vào hạ tầng. Lạc Dương vì thế có nhiều tiềm </w:t>
      </w:r>
      <w:r>
        <w:rPr>
          <w:shd w:val="clear" w:color="auto" w:fill="ffffff"/>
        </w:rPr>
        <w:t xml:space="preserve">năng phát triển du lịch và là địa điểm lý tưởng cho các dự án kinh doanh lưu trú.</w:t>
      </w:r>
      <w:r/>
    </w:p>
    <w:p>
      <w:pPr>
        <w:pBdr/>
        <w:tabs>
          <w:tab w:val="left" w:leader="none" w:pos="426"/>
        </w:tabs>
        <w:spacing w:after="120" w:before="120" w:line="276" w:lineRule="auto"/>
        <w:ind/>
        <w:jc w:val="both"/>
        <w:rPr>
          <w:b/>
          <w:bCs/>
          <w:i/>
        </w:rPr>
      </w:pPr>
      <w:r>
        <w:rPr>
          <w:b/>
          <w:bCs/>
          <w:i/>
          <w:iCs/>
          <w:shd w:val="clear" w:color="auto" w:fill="ffffff"/>
        </w:rPr>
        <w:t xml:space="preserve">Huyện Đơn Dương</w:t>
      </w:r>
      <w:r>
        <w:rPr>
          <w:b/>
          <w:bCs/>
          <w:i/>
        </w:rPr>
      </w:r>
      <w:r>
        <w:rPr>
          <w:b/>
          <w:bCs/>
          <w:i/>
        </w:rPr>
      </w:r>
    </w:p>
    <w:p>
      <w:pPr>
        <w:pBdr/>
        <w:tabs>
          <w:tab w:val="left" w:leader="none" w:pos="426"/>
        </w:tabs>
        <w:spacing w:after="120" w:before="120" w:line="276" w:lineRule="auto"/>
        <w:ind/>
        <w:jc w:val="both"/>
        <w:rPr/>
      </w:pPr>
      <w:r>
        <w:rPr>
          <w:shd w:val="clear" w:color="auto" w:fill="ffffff"/>
        </w:rPr>
        <w:t xml:space="preserve">Huyện Đơn Dương nằm ở phía Đông Đà Lạt, với địa hình bằng phẳng, điều này rất hiếm thấy tại các khu vực cao nguyên. Khu vực này có hệ thống giao thông khá đầ</w:t>
      </w:r>
      <w:r>
        <w:rPr>
          <w:shd w:val="clear" w:color="auto" w:fill="ffffff"/>
        </w:rPr>
        <w:t xml:space="preserve">y đủ, kết nối thuận tiện với các trục đường lớn như quốc lộ 27 và các tuyến đường nối với Nha Trang. Với lợi thế đất rộng, giá đất còn phải chăng và dễ khai thác, Đơn Dương đang trở thành một điểm đến lý tưởng cho các mô hình farmstay, khu nghỉ dưỡng kết </w:t>
      </w:r>
      <w:r>
        <w:rPr>
          <w:shd w:val="clear" w:color="auto" w:fill="ffffff"/>
        </w:rPr>
        <w:t xml:space="preserve">hợp nông nghiệp công nghệ cao hoặc second home với diện tích lớn. Hơn nữa, xu hướng mở rộng đô thị và nhu cầu tìm kiếm không gian sống xanh, yên tĩnh sẽ là động lực mạnh mẽ thúc đẩy tiềm năng tăng giá trong tương lai.</w:t>
      </w:r>
      <w:r/>
    </w:p>
    <w:p>
      <w:pPr>
        <w:pBdr/>
        <w:tabs>
          <w:tab w:val="left" w:leader="none" w:pos="426"/>
        </w:tabs>
        <w:spacing w:after="120" w:before="120" w:line="276" w:lineRule="auto"/>
        <w:ind/>
        <w:jc w:val="both"/>
        <w:rPr>
          <w:b/>
          <w:bCs/>
          <w:i/>
        </w:rPr>
      </w:pPr>
      <w:r>
        <w:rPr>
          <w:b/>
          <w:bCs/>
          <w:i/>
          <w:iCs/>
          <w:shd w:val="clear" w:color="auto" w:fill="ffffff"/>
        </w:rPr>
        <w:t xml:space="preserve">Huyện Đức Trọng</w:t>
      </w:r>
      <w:r>
        <w:rPr>
          <w:b/>
          <w:bCs/>
          <w:i/>
        </w:rPr>
      </w:r>
      <w:r>
        <w:rPr>
          <w:b/>
          <w:bCs/>
          <w:i/>
        </w:rPr>
      </w:r>
    </w:p>
    <w:p>
      <w:pPr>
        <w:pBdr/>
        <w:tabs>
          <w:tab w:val="left" w:leader="none" w:pos="426"/>
        </w:tabs>
        <w:spacing w:after="120" w:before="120" w:line="276" w:lineRule="auto"/>
        <w:ind/>
        <w:jc w:val="both"/>
        <w:rPr/>
      </w:pPr>
      <w:r>
        <w:rPr>
          <w:shd w:val="clear" w:color="auto" w:fill="ffffff"/>
        </w:rPr>
        <w:t xml:space="preserve">Huyện Đức Trọng là cử</w:t>
      </w:r>
      <w:r>
        <w:rPr>
          <w:shd w:val="clear" w:color="auto" w:fill="ffffff"/>
        </w:rPr>
        <w:t xml:space="preserve">a ngõ giao thương quan trọng của Đà Lạt. Với vị trí gần sân bay Liên Khương và các trục giao thông chính (như Quốc lộ 20, 27), Đức Trọng có lợi thế kết nối liên vùng TP.HCM – Đà Lạt – Tây Nguyên. Đức Trọng cũng được quy hoạch để trở thành đô thị động lực p</w:t>
      </w:r>
      <w:r>
        <w:rPr>
          <w:shd w:val="clear" w:color="auto" w:fill="ffffff"/>
        </w:rPr>
        <w:t xml:space="preserve">hía Nam Đà Lạt, thu hút nhiều dự án bất động sản đa dạng, từ khu dân cư, nhà ở thương mại – dịch vụ đến nghỉ dưỡng kết hợp logistics và du lịch. Hơn nữa, Đức Trọng có hệ thống hạ tầng mạnh mẽ, mở ra tiềm năng tăng giá cao trong trung và dài hạn.</w:t>
      </w:r>
      <w:r/>
    </w:p>
    <w:p>
      <w:pPr>
        <w:pBdr/>
        <w:tabs>
          <w:tab w:val="left" w:leader="none" w:pos="426"/>
        </w:tabs>
        <w:spacing w:after="120" w:before="120" w:line="276" w:lineRule="auto"/>
        <w:ind/>
        <w:jc w:val="both"/>
        <w:rPr/>
      </w:pPr>
      <w:r>
        <w:rPr>
          <w:shd w:val="clear" w:color="auto" w:fill="ffffff"/>
        </w:rPr>
      </w:r>
      <w:r>
        <w:rPr>
          <w:b/>
          <w:bCs/>
          <w:i/>
          <w:iCs/>
          <w:shd w:val="clear" w:color="auto" w:fill="ffffff"/>
        </w:rPr>
        <w:t xml:space="preserve">Huyện Lâm</w:t>
      </w:r>
      <w:r>
        <w:rPr>
          <w:b/>
          <w:bCs/>
          <w:i/>
          <w:iCs/>
          <w:shd w:val="clear" w:color="auto" w:fill="ffffff"/>
        </w:rPr>
        <w:t xml:space="preserve"> H</w:t>
      </w:r>
      <w:r>
        <w:rPr>
          <w:b/>
          <w:bCs/>
          <w:i/>
          <w:iCs/>
          <w:shd w:val="clear" w:color="auto" w:fill="ffffff"/>
        </w:rPr>
        <w:t xml:space="preserve">à </w:t>
      </w:r>
      <w:r/>
    </w:p>
    <w:p>
      <w:pPr>
        <w:pBdr/>
        <w:tabs>
          <w:tab w:val="left" w:leader="none" w:pos="426"/>
        </w:tabs>
        <w:spacing w:after="120" w:before="120" w:line="276" w:lineRule="auto"/>
        <w:ind/>
        <w:jc w:val="both"/>
        <w:rPr/>
      </w:pPr>
      <w:r>
        <w:rPr>
          <w:shd w:val="clear" w:color="auto" w:fill="ffffff"/>
        </w:rPr>
      </w:r>
      <w:r>
        <w:rPr>
          <w:shd w:val="clear" w:color="auto" w:fill="ffffff"/>
        </w:rPr>
        <w:t xml:space="preserve">Huyện Lâm Hà nằm ở phía Tây Đà Lạt, nổi bật với cảnh quan thiên nhiên hoang sơ, đồi núi thoai thoải và diện tích đất nông nghiệp rộng lớn. Khu vực này có hệ thống hạ tầng giao thông nông thôn phát triển, kết nối thuận tiện với các tuyến tỉnh lộ lớn như</w:t>
      </w:r>
      <w:r>
        <w:rPr>
          <w:shd w:val="clear" w:color="auto" w:fill="ffffff"/>
        </w:rPr>
        <w:t xml:space="preserve"> ĐT 725, 726, qua đó tạo điều kiện tăng cường kết nối liên vùng với Tây Nguyên. Quỹ đất ở Lâm Hà rất rộng, giá đất vẫn ở mức hợp lý, vì vậy khu vực này thu hút sự quan tâm của nhiều nhà đầu tư trong thời gian gần đây. Đây là địa điểm lý tưởng để phát triể</w:t>
      </w:r>
      <w:r>
        <w:rPr>
          <w:shd w:val="clear" w:color="auto" w:fill="ffffff"/>
        </w:rPr>
        <w:t xml:space="preserve">n các mô hình homestay, farmstay hoặc khu nghỉ dưỡng nhỏ mang tính trải nghiệm, hòa mình vào thiên nhiên và văn hóa địa phương. Tiềm năng tăng giá dài hạn sẽ lớn khi hạ tầng hoàn thiện, cùng với xu hướng “đi xa trung tâm” và nhu cầu sở hữu bất động sản ngh</w:t>
      </w:r>
      <w:r>
        <w:rPr>
          <w:shd w:val="clear" w:color="auto" w:fill="ffffff"/>
        </w:rPr>
        <w:t xml:space="preserve">ỉ dưỡng chi phí thấp ngày càng gia tăng.</w:t>
      </w:r>
      <w:r/>
    </w:p>
    <w:p>
      <w:pPr>
        <w:pBdr/>
        <w:tabs>
          <w:tab w:val="left" w:leader="none" w:pos="426"/>
        </w:tabs>
        <w:spacing w:after="120" w:before="120" w:line="276" w:lineRule="auto"/>
        <w:ind/>
        <w:jc w:val="both"/>
        <w:rPr>
          <w:b/>
          <w:bCs/>
          <w:i/>
        </w:rPr>
      </w:pPr>
      <w:r>
        <w:rPr>
          <w:b/>
          <w:bCs/>
          <w:i/>
          <w:iCs/>
          <w:shd w:val="clear" w:color="auto" w:fill="ffffff"/>
        </w:rPr>
        <w:t xml:space="preserve">Huyện Tà Nun</w:t>
      </w:r>
      <w:r>
        <w:rPr>
          <w:b/>
          <w:bCs/>
          <w:i/>
          <w:iCs/>
          <w:shd w:val="clear" w:color="auto" w:fill="ffffff"/>
        </w:rPr>
        <w:t xml:space="preserve">g</w:t>
      </w:r>
      <w:r>
        <w:rPr>
          <w:b/>
          <w:bCs/>
          <w:i/>
        </w:rPr>
      </w:r>
      <w:r>
        <w:rPr>
          <w:b/>
          <w:bCs/>
          <w:i/>
        </w:rPr>
      </w:r>
    </w:p>
    <w:p>
      <w:pPr>
        <w:pBdr/>
        <w:tabs>
          <w:tab w:val="left" w:leader="none" w:pos="426"/>
        </w:tabs>
        <w:spacing w:after="120" w:before="120" w:line="276" w:lineRule="auto"/>
        <w:ind/>
        <w:jc w:val="both"/>
        <w:rPr/>
      </w:pPr>
      <w:r>
        <w:rPr>
          <w:shd w:val="clear" w:color="auto" w:fill="ffffff"/>
        </w:rPr>
      </w:r>
      <w:r>
        <w:rPr>
          <w:shd w:val="clear" w:color="auto" w:fill="ffffff"/>
        </w:rPr>
        <w:t xml:space="preserve">Khu vực huyện Tà Nung nổi bật với cảnh quan thiên nhiên đặc trưng, như thác nước và đồi cà phê, là nơi lý tưởng để phát triển du lịch trải nghiệm. Chỉ cách trung tâm Đà Lạt khoảng 20-30 phút di chuyển</w:t>
      </w:r>
      <w:r>
        <w:rPr>
          <w:shd w:val="clear" w:color="auto" w:fill="ffffff"/>
        </w:rPr>
        <w:t xml:space="preserve">, Tà Nung rất thuận tiện để khai thác du lịch, đặc biệt với các mô hình homestay, quán cà phê view đồi, farmstay hoặc nghỉ dưỡng kết hợp với trải nghiệm nông nghiệp. Trong những năm gần đây, bất động sản tại Tà Nung đã tăng trưởng nhanh nhờ sự phát triển d</w:t>
      </w:r>
      <w:r>
        <w:rPr>
          <w:shd w:val="clear" w:color="auto" w:fill="ffffff"/>
        </w:rPr>
        <w:t xml:space="preserve">u lịch, hạ tầng giao thông được nâng cấp, rất phù hợp cho các nhà đầu tư tìm kiếm dòng tiền ngắn và trung hạn.</w:t>
      </w:r>
      <w:r/>
    </w:p>
    <w:p>
      <w:pPr>
        <w:pBdr/>
        <w:tabs>
          <w:tab w:val="left" w:leader="none" w:pos="426"/>
        </w:tabs>
        <w:spacing w:after="120" w:before="120" w:line="276" w:lineRule="auto"/>
        <w:ind/>
        <w:jc w:val="center"/>
        <w:rPr>
          <w:b/>
          <w:bCs/>
        </w:rPr>
      </w:pPr>
      <w:r>
        <w:rPr>
          <w:b/>
          <w:bCs/>
          <w:shd w:val="clear" w:color="auto" w:fill="ffffff"/>
        </w:rPr>
        <w:t xml:space="preserve">6 lý do nên đầu tư bất động sản Đà Lạt và vùng ven Đà Lạ</w:t>
      </w:r>
      <w:r>
        <w:rPr>
          <w:b/>
          <w:bCs/>
          <w:shd w:val="clear" w:color="auto" w:fill="ffffff"/>
        </w:rPr>
        <w:t xml:space="preserve">t</w:t>
      </w:r>
      <w:r>
        <w:rPr>
          <w:b/>
          <w:bCs/>
        </w:rPr>
      </w:r>
      <w:r>
        <w:rPr>
          <w:b/>
          <w:bCs/>
        </w:rPr>
      </w:r>
    </w:p>
    <w:p>
      <w:pPr>
        <w:pBdr/>
        <w:tabs>
          <w:tab w:val="left" w:leader="none" w:pos="426"/>
        </w:tabs>
        <w:spacing w:after="120" w:before="120" w:line="276" w:lineRule="auto"/>
        <w:ind/>
        <w:jc w:val="both"/>
        <w:rPr/>
      </w:pPr>
      <w:r>
        <w:rPr>
          <w:shd w:val="clear" w:color="auto" w:fill="ffffff"/>
        </w:rPr>
      </w:r>
      <w:r>
        <w:rPr>
          <w:shd w:val="clear" w:color="auto" w:fill="ffffff"/>
        </w:rPr>
        <w:t xml:space="preserve">Khác với sự sốt ảo ở nhiều thị trường bất động sản vùng ven, nhà đất vùng ven Đà Lạt c</w:t>
      </w:r>
      <w:r>
        <w:rPr>
          <w:shd w:val="clear" w:color="auto" w:fill="ffffff"/>
        </w:rPr>
        <w:t xml:space="preserve">ó sự tăng trưởng ổn định và thu hút nhà đầu tư thực tế. Hầu hết nhà đầu tư sở hữu bất động sản để tích lũy tài sản, xây dựng nhà vườn, hoặc phát triển du lịch hơn là để “lướt sóng” kiếm lời. Dưới đây là 6 lý do nên đầu tư vào bất động sản tại Đà Lạt: </w:t>
      </w:r>
      <w:r/>
    </w:p>
    <w:p>
      <w:pPr>
        <w:pBdr/>
        <w:tabs>
          <w:tab w:val="left" w:leader="none" w:pos="426"/>
        </w:tabs>
        <w:spacing w:after="120" w:before="120" w:line="276" w:lineRule="auto"/>
        <w:ind/>
        <w:jc w:val="both"/>
        <w:rPr>
          <w:b/>
          <w:bCs w:val="0"/>
          <w:i w:val="0"/>
        </w:rPr>
      </w:pPr>
      <w:r>
        <w:rPr>
          <w:b/>
          <w:bCs/>
          <w:i w:val="0"/>
          <w:iCs w:val="0"/>
          <w:shd w:val="clear" w:color="auto" w:fill="ffffff"/>
        </w:rPr>
        <w:t xml:space="preserve">Hấp </w:t>
      </w:r>
      <w:r>
        <w:rPr>
          <w:b/>
          <w:bCs/>
          <w:i w:val="0"/>
          <w:iCs w:val="0"/>
          <w:shd w:val="clear" w:color="auto" w:fill="ffffff"/>
        </w:rPr>
        <w:t xml:space="preserve">dẫn từ sự bùng nổ mạnh mẽ của du lịch</w:t>
      </w:r>
      <w:r>
        <w:rPr>
          <w:b/>
          <w:bCs w:val="0"/>
          <w:i w:val="0"/>
        </w:rPr>
      </w:r>
      <w:r>
        <w:rPr>
          <w:b/>
          <w:bCs w:val="0"/>
          <w:i w:val="0"/>
        </w:rPr>
      </w:r>
    </w:p>
    <w:p>
      <w:pPr>
        <w:pBdr/>
        <w:tabs>
          <w:tab w:val="left" w:leader="none" w:pos="426"/>
        </w:tabs>
        <w:spacing w:after="120" w:before="120" w:line="276" w:lineRule="auto"/>
        <w:ind/>
        <w:jc w:val="both"/>
        <w:rPr/>
      </w:pPr>
      <w:r>
        <w:rPr>
          <w:shd w:val="clear" w:color="auto" w:fill="ffffff"/>
        </w:rPr>
        <w:t xml:space="preserve">Đà Lạt luôn là một trong những điểm đến du lịch hàng đầu tại Việt Nam. Sự tăng trưởng vượt bậc của ngành du lịch đã tạo ra động lực mạnh mẽ cho thị trường bất động sản. Các loại hình du lịch trải nghiệm, nghỉ dưỡng cao</w:t>
      </w:r>
      <w:r>
        <w:rPr>
          <w:shd w:val="clear" w:color="auto" w:fill="ffffff"/>
        </w:rPr>
        <w:t xml:space="preserve"> cấp và “chữa lành” đã làm gia tăng mạnh mẽ nhu cầu lưu trú. </w:t>
      </w:r>
      <w:r>
        <w:rPr>
          <w:shd w:val="clear" w:color="auto" w:fill="ffffff"/>
        </w:rPr>
        <w:t xml:space="preserve">Điều này mở ra cơ hội phát triển cho các loại hình bất động sản như homestay, villa, farmstay, second home… tại những khu vực còn quỹ đất rộng và chi phí đầu tư thấp. Đồng thời, sự phát triển củ</w:t>
      </w:r>
      <w:r>
        <w:rPr>
          <w:shd w:val="clear" w:color="auto" w:fill="ffffff"/>
        </w:rPr>
        <w:t xml:space="preserve">a du lịch cũng thúc đẩy đầu tư vào hạ tầng, dịch vụ và tiện ích, làm gia tăng giá trị đất đai ở các khu vực vùng ven Đà Lạt. Có thể thấy, du lịch chính là động lực tăng trưởng lớn nhất cho bất động sản Đà Lạt và các khu vực lân cận trong dài hạn. </w:t>
      </w:r>
      <w:r>
        <w:rPr>
          <w:shd w:val="clear" w:color="auto" w:fill="ffffff"/>
        </w:rPr>
        <w:t xml:space="preserve">Hấp dẫn từ các dự án quy mô lớn được đầu tư</w:t>
      </w:r>
      <w:r/>
    </w:p>
    <w:p>
      <w:pPr>
        <w:pBdr/>
        <w:tabs>
          <w:tab w:val="left" w:leader="none" w:pos="426"/>
        </w:tabs>
        <w:spacing w:after="120" w:before="120" w:line="276" w:lineRule="auto"/>
        <w:ind/>
        <w:jc w:val="both"/>
        <w:rPr/>
      </w:pPr>
      <w:r>
        <w:rPr>
          <w:shd w:val="clear" w:color="auto" w:fill="ffffff"/>
        </w:rPr>
        <w:t xml:space="preserve">Sự xuất hiện của những dự án bất động sản và nghỉ dưỡng quy mô lớn như khu Vinpearl, khu đô thị Nam Đà </w:t>
      </w:r>
      <w:r>
        <w:rPr>
          <w:shd w:val="clear" w:color="auto" w:fill="ffffff"/>
        </w:rPr>
        <w:t xml:space="preserve">Lạt, hay khu phức hợp nghỉ dưỡng rộng hơn 250 ha tại hồ Tuyền Lâm… không chỉ nâng cao diện mạo đô thị mà còn thúc đẩy sự phát triển của hệ sinh thái dịch vụ thương mại đi kèm. Điều này làm tăng tính thanh khoản và khả năng khai thác kinh doanh cho bất động</w:t>
      </w:r>
      <w:r>
        <w:rPr>
          <w:shd w:val="clear" w:color="auto" w:fill="ffffff"/>
        </w:rPr>
        <w:t xml:space="preserve"> sản vùng ven Đà Lạt.</w:t>
        <w:br/>
        <w:t xml:space="preserve">Hơn nữa, sự có mặt của các chủ đầu tư lớn giúp củng cố niềm tin thị trường và thu hút dòng vốn đầu tư cá nhân. Sự kết hợp từ quy hoạch, hạ tầng giao thông, dòng vốn và hiệu ứng lan tỏa đã khiến bất động sản Đà Lạt trở nên ngày càng h</w:t>
      </w:r>
      <w:r>
        <w:rPr>
          <w:shd w:val="clear" w:color="auto" w:fill="ffffff"/>
        </w:rPr>
        <w:t xml:space="preserve">ấp dẫn đối với các nhà đầu tư. </w:t>
      </w:r>
      <w:r/>
    </w:p>
    <w:p>
      <w:pPr>
        <w:pBdr/>
        <w:tabs>
          <w:tab w:val="left" w:leader="none" w:pos="426"/>
        </w:tabs>
        <w:spacing w:after="120" w:before="120" w:line="276" w:lineRule="auto"/>
        <w:ind/>
        <w:jc w:val="both"/>
        <w:rPr>
          <w:b/>
          <w:bCs/>
        </w:rPr>
      </w:pPr>
      <w:r>
        <w:rPr>
          <w:b/>
          <w:bCs/>
          <w:shd w:val="clear" w:color="auto" w:fill="ffffff"/>
        </w:rPr>
        <w:t xml:space="preserve">Hưởng lợi từ hệ thống hạ tầng giao thông thuận lợi</w:t>
      </w:r>
      <w:r>
        <w:rPr>
          <w:b/>
          <w:bCs/>
        </w:rPr>
      </w:r>
      <w:r>
        <w:rPr>
          <w:b/>
          <w:bCs/>
        </w:rPr>
      </w:r>
    </w:p>
    <w:p>
      <w:pPr>
        <w:pBdr/>
        <w:tabs>
          <w:tab w:val="left" w:leader="none" w:pos="426"/>
        </w:tabs>
        <w:spacing w:after="120" w:before="120" w:line="276" w:lineRule="auto"/>
        <w:ind/>
        <w:jc w:val="both"/>
        <w:rPr/>
      </w:pPr>
      <w:r>
        <w:rPr>
          <w:shd w:val="clear" w:color="auto" w:fill="ffffff"/>
        </w:rPr>
      </w:r>
      <w:r>
        <w:rPr>
          <w:shd w:val="clear" w:color="auto" w:fill="ffffff"/>
        </w:rPr>
        <w:t xml:space="preserve">Hạ tầng giao thông được xem là yếu tố then chốt thúc đẩy giá trị bất động sản Đà Lạt. Trong những năm gần đây, nhiều tuyến đường huyết mạch kết nối Đà Lạt với TP.HCM, Nha Tr</w:t>
      </w:r>
      <w:r>
        <w:rPr>
          <w:shd w:val="clear" w:color="auto" w:fill="ffffff"/>
        </w:rPr>
        <w:t xml:space="preserve">ang, và Tây Nguyên đã được nâng cấp và mở rộng, giúp rút ngắn thời gian di chuyển. Sân bay Liên Khương đã được nâng cấp hiện đại, tăng cường tần suất các chuyến bay nội địa và quốc tế, tạo điều kiện thuận lợi cho sự phát triển du lịch và giúp các nhà đầu </w:t>
      </w:r>
      <w:r>
        <w:rPr>
          <w:shd w:val="clear" w:color="auto" w:fill="ffffff"/>
        </w:rPr>
        <w:t xml:space="preserve">tư dễ dàng tiếp cận khu vực. Hệ thống giao thông nội vùng cũng được cải thiện, các tuyến đường liên huyện, đường vành đai… đang dần hoàn thiện. Nhờ vậy, khu vực vùng ven Đà Lạt ngày càng dễ tiếp cận, góp phần gia tăng sức hút và giá trị bất động sản.</w:t>
      </w:r>
      <w:r/>
    </w:p>
    <w:p>
      <w:pPr>
        <w:pBdr/>
        <w:tabs>
          <w:tab w:val="left" w:leader="none" w:pos="426"/>
        </w:tabs>
        <w:spacing w:after="120" w:before="120" w:line="276" w:lineRule="auto"/>
        <w:ind/>
        <w:jc w:val="both"/>
        <w:rPr>
          <w:b/>
          <w:bCs/>
        </w:rPr>
      </w:pPr>
      <w:r>
        <w:rPr>
          <w:b/>
          <w:bCs/>
          <w:shd w:val="clear" w:color="auto" w:fill="ffffff"/>
        </w:rPr>
        <w:t xml:space="preserve">Lợi </w:t>
      </w:r>
      <w:r>
        <w:rPr>
          <w:b/>
          <w:bCs/>
          <w:shd w:val="clear" w:color="auto" w:fill="ffffff"/>
        </w:rPr>
        <w:t xml:space="preserve">ích kép: vừa cho thuê, vừa nghỉ dưỡng</w:t>
      </w:r>
      <w:r>
        <w:rPr>
          <w:b/>
          <w:bCs/>
        </w:rPr>
      </w:r>
      <w:r>
        <w:rPr>
          <w:b/>
          <w:bCs/>
        </w:rPr>
      </w:r>
    </w:p>
    <w:p>
      <w:pPr>
        <w:pBdr/>
        <w:tabs>
          <w:tab w:val="left" w:leader="none" w:pos="426"/>
        </w:tabs>
        <w:spacing w:after="120" w:before="120" w:line="276" w:lineRule="auto"/>
        <w:ind/>
        <w:jc w:val="both"/>
        <w:rPr/>
      </w:pPr>
      <w:r>
        <w:rPr>
          <w:shd w:val="clear" w:color="auto" w:fill="ffffff"/>
        </w:rPr>
        <w:t xml:space="preserve">Một trong những yếu tố tạo nên sức hấp dẫn của bất động sản Đà Lạt là khả năng mang lại lợi ích kép: vừa có thể khai thác cho thuê sinh lời, vừa phục vụ nhu cầu nghỉ dưỡng cá nhân. Các mô hình kinh doanh du lịch như ho</w:t>
      </w:r>
      <w:r>
        <w:rPr>
          <w:shd w:val="clear" w:color="auto" w:fill="ffffff"/>
        </w:rPr>
        <w:t xml:space="preserve">mestay, farmstay… có thể tạo ra dòng tiền ổn định qua việc cho thuê ngắn hạn hoặc linh hoạt làm nơi nghỉ dưỡng vào những dịp cá nhân mong muốn.</w:t>
      </w:r>
      <w:r/>
    </w:p>
    <w:p>
      <w:pPr>
        <w:pBdr/>
        <w:tabs>
          <w:tab w:val="left" w:leader="none" w:pos="426"/>
        </w:tabs>
        <w:spacing w:after="120" w:before="120" w:line="276" w:lineRule="auto"/>
        <w:ind/>
        <w:jc w:val="both"/>
        <w:rPr/>
      </w:pPr>
      <w:r>
        <w:rPr>
          <w:shd w:val="clear" w:color="auto" w:fill="ffffff"/>
        </w:rPr>
        <w:t xml:space="preserve">Đây là điểm khác biệt khi đầu tư bất động sản tại Đà Lạt so với các hình thức đầu tư truyền thống, vốn chỉ tạo </w:t>
      </w:r>
      <w:r>
        <w:rPr>
          <w:shd w:val="clear" w:color="auto" w:fill="ffffff"/>
        </w:rPr>
        <w:t xml:space="preserve">ra giá trị gia tăng theo thời gian mà không có dòng tiền thực tế. Vì vậy, bất động sản Đà Lạt không chỉ là một kênh đầu tư, mà còn là tài sản phục vụ cho chất lượng sống lâu dài.</w:t>
      </w:r>
      <w:r/>
    </w:p>
    <w:p>
      <w:pPr>
        <w:pBdr/>
        <w:tabs>
          <w:tab w:val="left" w:leader="none" w:pos="426"/>
        </w:tabs>
        <w:spacing w:after="120" w:before="120" w:line="276" w:lineRule="auto"/>
        <w:ind/>
        <w:jc w:val="both"/>
        <w:rPr>
          <w:b/>
          <w:bCs/>
        </w:rPr>
      </w:pPr>
      <w:r>
        <w:rPr>
          <w:b/>
          <w:bCs/>
          <w:shd w:val="clear" w:color="auto" w:fill="ffffff"/>
        </w:rPr>
        <w:t xml:space="preserve">Giá được dự báo sẽ tiếp tục tăng</w:t>
      </w:r>
      <w:r>
        <w:rPr>
          <w:b/>
          <w:bCs/>
        </w:rPr>
      </w:r>
      <w:r>
        <w:rPr>
          <w:b/>
          <w:bCs/>
        </w:rPr>
      </w:r>
    </w:p>
    <w:p>
      <w:pPr>
        <w:pBdr/>
        <w:tabs>
          <w:tab w:val="left" w:leader="none" w:pos="426"/>
        </w:tabs>
        <w:spacing w:after="120" w:before="120" w:line="276" w:lineRule="auto"/>
        <w:ind/>
        <w:jc w:val="both"/>
        <w:rPr/>
      </w:pPr>
      <w:r>
        <w:rPr>
          <w:shd w:val="clear" w:color="auto" w:fill="ffffff"/>
        </w:rPr>
        <w:t xml:space="preserve">Giá bất động sản tại Đà Lạt và các khu vực </w:t>
      </w:r>
      <w:r>
        <w:rPr>
          <w:shd w:val="clear" w:color="auto" w:fill="ffffff"/>
        </w:rPr>
        <w:t xml:space="preserve">xung quanh dự báo sẽ tiếp tục tăng trong tương lai. Quỹ đất ngày càng khan hiếm, trong khi nhu cầu sở hữu và đầu tư lại không ngừng tăng, tạo ra áp lực đẩy giá lên. Thêm vào đó, sự phát triển mạnh mẽ của du lịch và dòng vốn đổ vào các dự án nghỉ dưỡng, đô </w:t>
      </w:r>
      <w:r>
        <w:rPr>
          <w:shd w:val="clear" w:color="auto" w:fill="ffffff"/>
        </w:rPr>
        <w:t xml:space="preserve">thị quy mô lớn càng làm gia tăng mặt bằng giá chung của toàn khu vực.</w:t>
      </w:r>
      <w:r/>
    </w:p>
    <w:p>
      <w:pPr>
        <w:pBdr/>
        <w:tabs>
          <w:tab w:val="left" w:leader="none" w:pos="426"/>
        </w:tabs>
        <w:spacing w:after="120" w:before="120" w:line="276" w:lineRule="auto"/>
        <w:ind/>
        <w:jc w:val="both"/>
        <w:rPr/>
      </w:pPr>
      <w:r>
        <w:rPr>
          <w:shd w:val="clear" w:color="auto" w:fill="ffffff"/>
        </w:rPr>
        <w:t xml:space="preserve">Hạ tầng phát triển mạnh mẽ giúp việc tiếp cận các khu vực vùng ven trở nên dễ dàng hơn, từ đó thúc đẩy nhu cầu thực. Chính những yếu tố này đã khiến giá đất tại vùng ven Đà Lạt sớm thiế</w:t>
      </w:r>
      <w:r>
        <w:rPr>
          <w:shd w:val="clear" w:color="auto" w:fill="ffffff"/>
        </w:rPr>
        <w:t xml:space="preserve">t lập mức giá mới, duy trì đà tăng trưởng ổn định và tính thanh khoản cao.</w:t>
      </w:r>
      <w:r/>
    </w:p>
    <w:p>
      <w:pPr>
        <w:pBdr/>
        <w:tabs>
          <w:tab w:val="left" w:leader="none" w:pos="426"/>
        </w:tabs>
        <w:spacing w:after="120" w:before="120" w:line="276" w:lineRule="auto"/>
        <w:ind/>
        <w:jc w:val="both"/>
        <w:rPr>
          <w:b/>
          <w:bCs/>
        </w:rPr>
      </w:pPr>
      <w:r>
        <w:rPr>
          <w:b/>
          <w:bCs/>
          <w:shd w:val="clear" w:color="auto" w:fill="ffffff"/>
        </w:rPr>
        <w:t xml:space="preserve">Quy hoạch mở rộng Đà Lạt: Cơ hội lớn cho bất động sản vùng ven</w:t>
      </w:r>
      <w:r>
        <w:rPr>
          <w:b/>
          <w:bCs/>
        </w:rPr>
      </w:r>
      <w:r>
        <w:rPr>
          <w:b/>
          <w:bCs/>
        </w:rPr>
      </w:r>
    </w:p>
    <w:p>
      <w:pPr>
        <w:pBdr/>
        <w:tabs>
          <w:tab w:val="left" w:leader="none" w:pos="426"/>
        </w:tabs>
        <w:spacing w:after="120" w:before="120" w:line="276" w:lineRule="auto"/>
        <w:ind/>
        <w:jc w:val="both"/>
        <w:rPr/>
      </w:pPr>
      <w:r>
        <w:rPr>
          <w:shd w:val="clear" w:color="auto" w:fill="ffffff"/>
        </w:rPr>
        <w:t xml:space="preserve">Quy hoạch phát triển và mở rộng Đà Lạt đang tạo ra vô vàn cơ hội cho cả thị trường bất động sản trung tâm lẫn các khu</w:t>
      </w:r>
      <w:r>
        <w:rPr>
          <w:shd w:val="clear" w:color="auto" w:fill="ffffff"/>
        </w:rPr>
        <w:t xml:space="preserve"> vực vùng ven. Những khu vực như Đức Trọng, Lạc Dương, Đơn Dương đang từng bước hình thành các mô hình đô thị vệ tinh và các vùng liên kết. Điều này không chỉ giảm tải cho khu trung tâm mà còn nâng cao vai trò của vùng ven, biến chúng từ nông thôn thành cá</w:t>
      </w:r>
      <w:r>
        <w:rPr>
          <w:shd w:val="clear" w:color="auto" w:fill="ffffff"/>
        </w:rPr>
        <w:t xml:space="preserve">c khu đô thị hoặc bán đô thị. </w:t>
      </w:r>
      <w:r>
        <w:rPr>
          <w:shd w:val="clear" w:color="auto" w:fill="ffffff"/>
        </w:rPr>
        <w:t xml:space="preserve">Đà Lạt cũng được định hướng trở thành một đô thị chất lượng cao, trung tâm nghỉ dưỡng, sinh thái, và nông nghiệp công nghệ cao, điều này sẽ thúc đẩy nhu cầu đối với các loại hình bất động sản như second home, farmstay, khu đô</w:t>
      </w:r>
      <w:r>
        <w:rPr>
          <w:shd w:val="clear" w:color="auto" w:fill="ffffff"/>
        </w:rPr>
        <w:t xml:space="preserve"> thị sinh thái. Tuy nhiên, khi quỹ đất tại trung tâm ngày càng hạn chế, các nhà đầu tư đang dần chuyển dịch ra vùng ven để tận dụng cơ hội quy hoạch, nơi giá đất vẫn còn thấp nhưng tiềm năng tăng trưởng lại rất lớn.</w:t>
      </w:r>
      <w:r/>
    </w:p>
    <w:p>
      <w:pPr>
        <w:pBdr/>
        <w:tabs>
          <w:tab w:val="left" w:leader="none" w:pos="426"/>
        </w:tabs>
        <w:spacing w:after="120" w:before="120" w:line="276" w:lineRule="auto"/>
        <w:ind/>
        <w:jc w:val="both"/>
        <w:rPr>
          <w:b/>
          <w:bCs/>
        </w:rPr>
      </w:pPr>
      <w:r>
        <w:rPr>
          <w:b/>
          <w:bCs/>
          <w:shd w:val="clear" w:color="auto" w:fill="ffffff"/>
        </w:rPr>
        <w:t xml:space="preserve">Những yếu tố cần lưu ý khi đầu tư bất đ</w:t>
      </w:r>
      <w:r>
        <w:rPr>
          <w:b/>
          <w:bCs/>
          <w:shd w:val="clear" w:color="auto" w:fill="ffffff"/>
        </w:rPr>
        <w:t xml:space="preserve">ộng sản vùng ven Đà Lạ</w:t>
      </w:r>
      <w:r>
        <w:rPr>
          <w:b/>
          <w:bCs/>
          <w:shd w:val="clear" w:color="auto" w:fill="ffffff"/>
        </w:rPr>
        <w:t xml:space="preserve">t</w:t>
      </w:r>
      <w:r>
        <w:rPr>
          <w:b/>
          <w:bCs/>
        </w:rPr>
      </w:r>
      <w:r>
        <w:rPr>
          <w:b/>
          <w:bCs/>
        </w:rPr>
      </w:r>
    </w:p>
    <w:p>
      <w:pPr>
        <w:pBdr/>
        <w:tabs>
          <w:tab w:val="left" w:leader="none" w:pos="426"/>
        </w:tabs>
        <w:spacing w:after="120" w:before="120" w:line="276" w:lineRule="auto"/>
        <w:ind/>
        <w:jc w:val="both"/>
        <w:rPr/>
      </w:pPr>
      <w:r>
        <w:rPr>
          <w:shd w:val="clear" w:color="auto" w:fill="ffffff"/>
        </w:rPr>
      </w:r>
      <w:r>
        <w:rPr>
          <w:shd w:val="clear" w:color="auto" w:fill="ffffff"/>
        </w:rPr>
        <w:t xml:space="preserve">Đầu tư bất động sản vùng ven Đà Lạt mang lại nhiều cơ hội tiềm năng, nhưng cũng tiềm ẩn không ít rủi ro nếu thiếu sự hiểu biết sâu sắc. Để đảm bảo đầu tư an toàn và sinh lời, người mua cần lưu ý những yếu tố quan trọng sau:</w:t>
      </w:r>
      <w:r/>
    </w:p>
    <w:p>
      <w:pPr>
        <w:pBdr/>
        <w:tabs>
          <w:tab w:val="left" w:leader="none" w:pos="426"/>
        </w:tabs>
        <w:spacing w:after="120" w:before="120" w:line="276" w:lineRule="auto"/>
        <w:ind/>
        <w:jc w:val="both"/>
        <w:rPr>
          <w:bCs/>
          <w:i/>
        </w:rPr>
      </w:pPr>
      <w:r>
        <w:rPr>
          <w:i/>
          <w:iCs/>
          <w:shd w:val="clear" w:color="auto" w:fill="ffffff"/>
        </w:rPr>
        <w:t xml:space="preserve">(Nguồn tham khảo: https://mytour.vn/vi/blog/bat-dong-san/bat-dong-san-ngoai-o-da-lat-lieu-co-dang-de-dau-tu-trong-giai-doan-2026-mytour.html)</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758 (gốc 254), tờ bản đồ số: 18 (C49-I-(43b)) có địa chỉ: Phường 7, Thành phố Đà Lạt, tỉnh Lâm Đồng (Nay là phường Lang Biang - Đà </w:t>
            </w:r>
            <w:r>
              <w:rPr>
                <w:b/>
                <w:bCs/>
                <w:color w:val="000000"/>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18 (C49-I-(43b)</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7, </w:t>
            </w:r>
            <w:r>
              <w:rPr>
                <w:color w:val="000000"/>
              </w:rPr>
              <w:t xml:space="preserve">Thành </w:t>
            </w:r>
            <w:r>
              <w:rPr>
                <w:color w:val="000000"/>
              </w:rPr>
              <w:t xml:space="preserve">phố </w:t>
            </w:r>
            <w:r>
              <w:rPr>
                <w:color w:val="000000"/>
              </w:rPr>
              <w:t xml:space="preserve">Đà </w:t>
            </w:r>
            <w:r>
              <w:rPr>
                <w:color w:val="000000"/>
              </w:rPr>
              <w:t xml:space="preserve">Lạt, </w:t>
            </w:r>
            <w:r>
              <w:rPr>
                <w:color w:val="000000"/>
              </w:rPr>
              <w:t xml:space="preserve">Tỉnh </w:t>
            </w:r>
            <w:r>
              <w:rPr>
                <w:color w:val="000000"/>
              </w:rPr>
              <w:t xml:space="preserve">Lâm </w:t>
            </w:r>
            <w:r>
              <w:rPr>
                <w:color w:val="000000"/>
              </w:rPr>
              <w:t xml:space="preserve">Đồng (</w:t>
            </w:r>
            <w:r>
              <w:rPr>
                <w:color w:val="000000"/>
              </w:rPr>
              <w:t xml:space="preserve">Nay </w:t>
            </w:r>
            <w:r>
              <w:rPr>
                <w:color w:val="000000"/>
              </w:rPr>
              <w:t xml:space="preserve">là </w:t>
            </w:r>
            <w:r>
              <w:rPr>
                <w:color w:val="000000"/>
              </w:rPr>
              <w:t xml:space="preserve">p</w:t>
            </w:r>
            <w:r>
              <w:rPr>
                <w:color w:val="000000"/>
              </w:rPr>
              <w:t xml:space="preserve">hường </w:t>
            </w:r>
            <w:r>
              <w:rPr>
                <w:color w:val="000000"/>
              </w:rPr>
              <w:t xml:space="preserve">Lang </w:t>
            </w:r>
            <w:r>
              <w:rPr>
                <w:color w:val="000000"/>
              </w:rPr>
              <w:t xml:space="preserve">Biang - </w:t>
            </w:r>
            <w:r>
              <w:rPr>
                <w:color w:val="000000"/>
              </w:rPr>
              <w:t xml:space="preserve">Đà </w:t>
            </w:r>
            <w:r>
              <w:rPr>
                <w:color w:val="000000"/>
              </w:rPr>
              <w:t xml:space="preserve">Lạt, </w:t>
            </w:r>
            <w:r>
              <w:rPr>
                <w:color w:val="000000"/>
              </w:rPr>
              <w:t xml:space="preserve">Tỉnh </w:t>
            </w:r>
            <w:r>
              <w:rPr>
                <w:color w:val="000000"/>
              </w:rPr>
              <w:t xml:space="preserve">Lâm </w:t>
            </w:r>
            <w:r>
              <w:rPr>
                <w:color w:val="000000"/>
              </w:rPr>
              <w:t xml:space="preserve">Đồng)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219</w:t>
            </w:r>
            <w:r>
              <w:rPr>
                <w:color w:val="000000"/>
              </w:rPr>
              <w:t xml:space="preserve">,4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219,4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w:t>
            </w:r>
            <w:r>
              <w:rPr>
                <w:color w:val="000000"/>
              </w:rPr>
              <w:t xml:space="preserve">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firstLine="0"/>
              <w:jc w:val="left"/>
              <w:rPr>
                <w:color w:val="000000"/>
                <w:highlight w:val="none"/>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tại </w:t>
            </w:r>
            <w:r>
              <w:rPr>
                <w:color w:val="000000"/>
              </w:rPr>
              <w:t xml:space="preserve">web</w:t>
            </w:r>
            <w:r>
              <w:rPr>
                <w:color w:val="000000"/>
              </w:rPr>
              <w:t xml:space="preserve">site </w:t>
            </w:r>
            <w:r>
              <w:rPr>
                <w:color w:val="000000"/>
              </w:rPr>
              <w:t xml:space="preserve">Meeymap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nằm </w:t>
            </w:r>
            <w:r>
              <w:rPr>
                <w:color w:val="000000"/>
              </w:rPr>
              <w:t xml:space="preserve">trong </w:t>
            </w:r>
            <w:r>
              <w:rPr>
                <w:color w:val="000000"/>
              </w:rPr>
              <w:t xml:space="preserve">quy </w:t>
            </w:r>
            <w:r>
              <w:rPr>
                <w:color w:val="000000"/>
              </w:rPr>
              <w:t xml:space="preserve">h</w:t>
            </w:r>
            <w:r>
              <w:rPr>
                <w:color w:val="000000"/>
              </w:rPr>
              <w:t xml:space="preserve">oạch </w:t>
            </w:r>
            <w:r>
              <w:rPr>
                <w:color w:val="000000"/>
              </w:rPr>
              <w:t xml:space="preserve">đất </w:t>
            </w:r>
            <w:r>
              <w:rPr>
                <w:color w:val="000000"/>
              </w:rPr>
              <w:t xml:space="preserve">khu </w:t>
            </w:r>
            <w:r>
              <w:rPr>
                <w:color w:val="000000"/>
              </w:rPr>
              <w:t xml:space="preserve">ở </w:t>
            </w:r>
            <w:r>
              <w:rPr>
                <w:color w:val="000000"/>
              </w:rPr>
              <w:t xml:space="preserve">mật </w:t>
            </w:r>
            <w:r>
              <w:rPr>
                <w:color w:val="000000"/>
              </w:rPr>
              <w:t xml:space="preserve">độ </w:t>
            </w:r>
            <w:r>
              <w:rPr>
                <w:color w:val="000000"/>
              </w:rPr>
              <w:t xml:space="preserve">thấp. </w:t>
            </w:r>
            <w:r>
              <w:rPr>
                <w:color w:val="000000"/>
                <w:highlight w:val="none"/>
              </w:rPr>
            </w:r>
            <w:r>
              <w:rPr>
                <w:color w:val="000000"/>
                <w:highlight w:val="none"/>
              </w:rPr>
            </w:r>
          </w:p>
          <w:p>
            <w:pPr>
              <w:pBdr/>
              <w:spacing/>
              <w:ind w:firstLine="0"/>
              <w:jc w:val="left"/>
              <w:rPr>
                <w:color w:val="000000"/>
              </w:rPr>
            </w:pPr>
            <w:r>
              <w:rPr>
                <w:color w:val="000000"/>
                <w:highlight w:val="none"/>
              </w:rPr>
            </w:r>
            <w:r>
              <mc:AlternateContent>
                <mc:Choice Requires="wpg">
                  <w:drawing>
                    <wp:inline xmlns:wp="http://schemas.openxmlformats.org/drawingml/2006/wordprocessingDrawing" distT="0" distB="0" distL="0" distR="0">
                      <wp:extent cx="3798112" cy="19467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35601" name=""/>
                              <pic:cNvPicPr>
                                <a:picLocks noChangeAspect="1"/>
                              </pic:cNvPicPr>
                              <pic:nvPr/>
                            </pic:nvPicPr>
                            <pic:blipFill rotWithShape="1">
                              <a:blip r:embed="rId17"/>
                              <a:stretch/>
                            </pic:blipFill>
                            <pic:spPr bwMode="auto">
                              <a:xfrm flipH="0" flipV="0">
                                <a:off x="0" y="0"/>
                                <a:ext cx="3798112" cy="1946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06pt;height:153.2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Hẻm Măng Lin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51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đường Măng Lin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Style w:val="1031"/>
              <w:numPr>
                <w:ilvl w:val="0"/>
                <w:numId w:val="40"/>
              </w:numPr>
              <w:pBdr/>
              <w:spacing/>
              <w:ind/>
              <w:rPr>
                <w:color w:val="000000" w:themeColor="text1"/>
              </w:rPr>
            </w:pPr>
            <w:r>
              <w:t xml:space="preserve">Hướng </w:t>
            </w:r>
            <w:r>
              <w:t xml:space="preserve">Nam: </w:t>
            </w:r>
            <w:r>
              <w:t xml:space="preserve">Tiếp </w:t>
            </w:r>
            <w:r>
              <w:t xml:space="preserve">giáp </w:t>
            </w:r>
            <w:r>
              <w:t xml:space="preserve">đường </w:t>
            </w:r>
            <w:r>
              <w:t xml:space="preserve">giao </w:t>
            </w:r>
            <w:r>
              <w:t xml:space="preserve">thông.</w:t>
            </w:r>
            <w:r>
              <w:rPr>
                <w:color w:val="000000" w:themeColor="text1"/>
              </w:rPr>
            </w:r>
            <w:r>
              <w:rPr>
                <w:color w:val="000000" w:themeColor="text1"/>
              </w:rPr>
            </w:r>
          </w:p>
          <w:p>
            <w:pPr>
              <w:pStyle w:val="1031"/>
              <w:numPr>
                <w:ilvl w:val="0"/>
                <w:numId w:val="40"/>
              </w:numPr>
              <w:pBdr/>
              <w:spacing/>
              <w:ind/>
              <w:rPr>
                <w:color w:val="000000" w:themeColor="text1"/>
              </w:rPr>
            </w:pPr>
            <w:r>
              <w:rPr>
                <w:highlight w:val="none"/>
              </w:rPr>
              <w:t xml:space="preserve">Các </w:t>
            </w: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w:t>
            </w:r>
            <w:r>
              <w:rPr>
                <w:highlight w:val="none"/>
              </w:rPr>
              <w:t xml:space="preserve">ửa </w:t>
            </w:r>
            <w:r>
              <w:rPr>
                <w:highlight w:val="none"/>
              </w:rPr>
              <w:t xml:space="preserve">đất </w:t>
            </w:r>
            <w:r>
              <w:rPr>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11.976388888889</w:t>
            </w:r>
            <w:r>
              <w:rPr>
                <w:color w:val="000000"/>
              </w:rPr>
              <w:t xml:space="preserve">, </w:t>
            </w:r>
            <w:r>
              <w:rPr>
                <w:color w:val="000000"/>
              </w:rPr>
              <w:t xml:space="preserve">108.39125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6269684"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626968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93.6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219,4 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17,65</w:t>
            </w:r>
            <w:r>
              <w:rPr>
                <w:color w:val="000000"/>
              </w:rPr>
            </w:r>
            <w:r>
              <w:rPr>
                <w:color w:val="000000"/>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12,32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Nam </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tbl>
      <w:tblPr>
        <w:tblStyle w:val="1035"/>
        <w:jc w:val="center"/>
        <w:tblW w:w="0" w:type="auto"/>
        <w:tblBorders/>
        <w:tblLayout w:type="fixed"/>
        <w:tblLook w:val="04A0" w:firstRow="1" w:lastRow="0" w:firstColumn="1" w:lastColumn="0" w:noHBand="0" w:noVBand="1"/>
      </w:tblPr>
      <w:tblGrid>
        <w:gridCol w:w="1167"/>
        <w:gridCol w:w="1663"/>
        <w:gridCol w:w="1560"/>
        <w:gridCol w:w="27"/>
        <w:gridCol w:w="1578"/>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gridSpan w:val="2"/>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7, </w:t>
            </w:r>
            <w:r>
              <w:t xml:space="preserve">Thành </w:t>
            </w:r>
            <w:r>
              <w:t xml:space="preserve">p</w:t>
            </w:r>
            <w:r>
              <w:t xml:space="preserve">hố </w:t>
            </w:r>
            <w:r>
              <w:t xml:space="preserve">Đà </w:t>
            </w:r>
            <w:r>
              <w:t xml:space="preserve">Lạt, </w:t>
            </w:r>
            <w:r>
              <w:t xml:space="preserve">Tỉnh </w:t>
            </w:r>
            <w:r>
              <w:t xml:space="preserve">Lâm </w:t>
            </w:r>
            <w:r>
              <w:t xml:space="preserve">Đồng</w:t>
            </w:r>
            <w:r/>
          </w:p>
        </w:tc>
        <w:tc>
          <w:tcPr>
            <w:gridSpan w:val="2"/>
            <w:tcBorders/>
            <w:tcW w:w="1605" w:type="dxa"/>
            <w:vAlign w:val="center"/>
            <w:textDirection w:val="lrTb"/>
            <w:noWrap w:val="false"/>
          </w:tcPr>
          <w:p>
            <w:pPr>
              <w:pBdr/>
              <w:spacing/>
              <w:ind/>
              <w:jc w:val="center"/>
              <w:rPr/>
            </w:pPr>
            <w:r>
              <w:t xml:space="preserve">Hẻm </w:t>
            </w:r>
            <w:r>
              <w:t xml:space="preserve">Măng </w:t>
            </w:r>
            <w:r>
              <w:t xml:space="preserve">Lin, </w:t>
            </w:r>
            <w:r>
              <w:t xml:space="preserve">Phường </w:t>
            </w:r>
            <w:r>
              <w:t xml:space="preserve">L</w:t>
            </w:r>
            <w:r>
              <w:t xml:space="preserve">ang </w:t>
            </w:r>
            <w:r>
              <w:t xml:space="preserve">Biang - </w:t>
            </w:r>
            <w:r>
              <w:t xml:space="preserve">Đà </w:t>
            </w:r>
            <w:r>
              <w:t xml:space="preserve">Lạt, </w:t>
            </w:r>
            <w:r>
              <w:t xml:space="preserve">Tỉnh </w:t>
            </w:r>
            <w:r>
              <w:t xml:space="preserve">Lâm </w:t>
            </w:r>
            <w:r>
              <w:t xml:space="preserve">Đồng </w:t>
            </w:r>
            <w:r/>
          </w:p>
          <w:p>
            <w:pPr>
              <w:pBdr/>
              <w:spacing/>
              <w:ind/>
              <w:jc w:val="center"/>
              <w:rPr/>
            </w:pPr>
            <w:r>
              <w:t xml:space="preserve"> ✔</w:t>
            </w:r>
            <w:r/>
          </w:p>
        </w:tc>
        <w:tc>
          <w:tcPr>
            <w:tcBorders/>
            <w:tcW w:w="1371" w:type="dxa"/>
            <w:vAlign w:val="center"/>
            <w:textDirection w:val="lrTb"/>
            <w:noWrap w:val="false"/>
          </w:tcPr>
          <w:p>
            <w:pPr>
              <w:pBdr/>
              <w:spacing/>
              <w:ind/>
              <w:jc w:val="center"/>
              <w:rPr>
                <w:color w:val="ff0000"/>
              </w:rPr>
            </w:pPr>
            <w:r>
              <w:rPr>
                <w:color w:val="ff0000"/>
              </w:rPr>
              <w:t xml:space="preserve">Có</w:t>
            </w:r>
            <w:r>
              <w:rPr>
                <w:color w:val="ff0000"/>
              </w:rPr>
            </w:r>
            <w:r>
              <w:rPr>
                <w:color w:val="ff0000"/>
              </w:rPr>
            </w:r>
          </w:p>
        </w:tc>
        <w:tc>
          <w:tcPr>
            <w:tcBorders/>
            <w:tcW w:w="2149" w:type="dxa"/>
            <w:vAlign w:val="center"/>
            <w:textDirection w:val="lrTb"/>
            <w:noWrap w:val="false"/>
          </w:tcPr>
          <w:p>
            <w:pPr>
              <w:pBdr/>
              <w:spacing/>
              <w:ind/>
              <w:jc w:val="center"/>
              <w:rPr>
                <w:color w:val="ff0000"/>
              </w:rPr>
            </w:pPr>
            <w:r>
              <w:rPr>
                <w:color w:val="ff0000"/>
              </w:rPr>
              <w:t xml:space="preserve">Do sáp nhập đơn vị hành chính</w:t>
            </w:r>
            <w:r>
              <w:rPr>
                <w:color w:val="ff0000"/>
              </w:rPr>
            </w:r>
            <w:r>
              <w:rPr>
                <w:color w:val="ff0000"/>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3</w:t>
            </w:r>
            <w:r>
              <w:rPr>
                <w:highlight w:val="white"/>
              </w:rPr>
            </w:r>
            <w:r>
              <w:rPr>
                <w:highlight w:val="white"/>
              </w:rP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gridSpan w:val="2"/>
            <w:tcBorders/>
            <w:tcW w:w="1605" w:type="dxa"/>
            <w:vAlign w:val="center"/>
            <w:textDirection w:val="lrTb"/>
            <w:noWrap w:val="false"/>
          </w:tcPr>
          <w:p>
            <w:pPr>
              <w:pBdr/>
              <w:spacing/>
              <w:ind/>
              <w:jc w:val="center"/>
              <w:rPr/>
            </w:pPr>
            <w:r>
              <w:t xml:space="preserve">Giấy chứng nhận quyền sử dụng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4</w:t>
            </w:r>
            <w:r>
              <w:rPr>
                <w:highlight w:val="white"/>
              </w:rPr>
            </w:r>
            <w:r>
              <w:rPr>
                <w:highlight w:val="white"/>
              </w:rP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gridSpan w:val="2"/>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r>
              <w:rPr>
                <w:highlight w:val="white"/>
              </w:rP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gridSpan w:val="2"/>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6</w:t>
            </w:r>
            <w:r>
              <w:rPr>
                <w:highlight w:val="yellow"/>
              </w:rPr>
            </w:r>
            <w:r>
              <w:rPr>
                <w:highlight w:val="yellow"/>
              </w:rP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219,4</w:t>
            </w:r>
            <w:r/>
          </w:p>
        </w:tc>
        <w:tc>
          <w:tcPr>
            <w:gridSpan w:val="2"/>
            <w:tcBorders/>
            <w:tcW w:w="1605" w:type="dxa"/>
            <w:vAlign w:val="center"/>
            <w:textDirection w:val="lrTb"/>
            <w:noWrap w:val="false"/>
          </w:tcPr>
          <w:p>
            <w:pPr>
              <w:pBdr/>
              <w:spacing/>
              <w:ind/>
              <w:jc w:val="center"/>
              <w:rPr/>
            </w:pPr>
            <w:r>
              <w:t xml:space="preserve">219,4</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7</w:t>
            </w:r>
            <w:r>
              <w:rPr>
                <w:highlight w:val="yellow"/>
              </w:rPr>
            </w:r>
            <w:r>
              <w:rPr>
                <w:highlight w:val="yellow"/>
              </w:rP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17,65</w:t>
            </w:r>
            <w:r/>
          </w:p>
        </w:tc>
        <w:tc>
          <w:tcPr>
            <w:gridSpan w:val="2"/>
            <w:tcBorders/>
            <w:tcW w:w="1605" w:type="dxa"/>
            <w:vAlign w:val="center"/>
            <w:textDirection w:val="lrTb"/>
            <w:noWrap w:val="false"/>
          </w:tcPr>
          <w:p>
            <w:pPr>
              <w:pBdr/>
              <w:spacing/>
              <w:ind/>
              <w:jc w:val="center"/>
              <w:rPr/>
            </w:pPr>
            <w:r>
              <w:t xml:space="preserve">17,65</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8</w:t>
            </w:r>
            <w:r>
              <w:rPr>
                <w:highlight w:val="yellow"/>
              </w:rPr>
            </w:r>
            <w:r>
              <w:rPr>
                <w:highlight w:val="yellow"/>
              </w:rP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12,32</w:t>
            </w:r>
            <w:r/>
          </w:p>
        </w:tc>
        <w:tc>
          <w:tcPr>
            <w:gridSpan w:val="2"/>
            <w:tcBorders/>
            <w:tcW w:w="1605" w:type="dxa"/>
            <w:vAlign w:val="center"/>
            <w:textDirection w:val="lrTb"/>
            <w:noWrap w:val="false"/>
          </w:tcPr>
          <w:p>
            <w:pPr>
              <w:pBdr/>
              <w:spacing/>
              <w:ind/>
              <w:jc w:val="center"/>
              <w:rPr/>
            </w:pPr>
            <w:r>
              <w:t xml:space="preserve">12,32</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9</w:t>
            </w:r>
            <w:r>
              <w:rPr>
                <w:highlight w:val="yellow"/>
              </w:rPr>
            </w:r>
            <w:r>
              <w:rPr>
                <w:highlight w:val="yellow"/>
              </w:rP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gridSpan w:val="2"/>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t xml:space="preserve">0</w:t>
            </w:r>
            <w:r>
              <w:rPr>
                <w:highlight w:val="white"/>
              </w:rPr>
            </w:r>
            <w:r>
              <w:rPr>
                <w:highlight w:val="white"/>
              </w:rP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gridSpan w:val="2"/>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 </w:t>
            </w:r>
            <w:r/>
          </w:p>
        </w:tc>
        <w:tc>
          <w:tcPr>
            <w:gridSpan w:val="2"/>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highlight w:val="none"/>
          <w:shd w:val="clear" w:color="auto" w:fill="ffffff"/>
        </w:rPr>
      </w:r>
      <w:r>
        <w:rPr>
          <w:b/>
          <w:bCs/>
        </w:rPr>
      </w:r>
      <w:r>
        <w:rPr>
          <w:b/>
          <w:bCs/>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7, Thành phố Đà Lạt, Tỉnh Lâm Đồng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sz w:val="22"/>
                <w:szCs w:val="22"/>
              </w:rPr>
            </w:r>
            <w:r>
              <w:rPr>
                <w:sz w:val="22"/>
                <w:szCs w:val="22"/>
              </w:rPr>
            </w:r>
          </w:p>
        </w:tc>
      </w:tr>
      <w:tr>
        <w:trPr>
          <w:trHeight w:val="14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https://www.facebook.com/groups/1830477993873464/posts/4244561469131759/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https://www.facebook.com/groups/2394197994225465/posts/4287776364867609/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0334 904 825</w:t>
            </w:r>
            <w:r>
              <w:rPr>
                <w:sz w:val="22"/>
                <w:szCs w:val="22"/>
              </w:rPr>
              <w:t xml:space="preserve"> </w:t>
            </w:r>
            <w:r>
              <w:rPr>
                <w:sz w:val="22"/>
                <w:szCs w:val="22"/>
              </w:rPr>
              <w:br/>
              <w:t xml:space="preserve">(</w:t>
            </w:r>
            <w:r>
              <w:rPr>
                <w:sz w:val="22"/>
                <w:szCs w:val="22"/>
              </w:rPr>
              <w:t xml:space="preserve">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0334 904 825</w:t>
            </w:r>
            <w:r>
              <w:rPr>
                <w:sz w:val="22"/>
                <w:szCs w:val="22"/>
              </w:rPr>
              <w:br/>
            </w:r>
            <w:r>
              <w:rPr>
                <w:sz w:val="22"/>
                <w:szCs w:val="22"/>
              </w:rPr>
              <w:t xml:space="preserve">(</w:t>
            </w:r>
            <w:r>
              <w:rPr>
                <w:sz w:val="22"/>
                <w:szCs w:val="22"/>
              </w:rPr>
              <w:t xml:space="preserve">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0792.104.333</w:t>
            </w:r>
            <w:r>
              <w:rPr>
                <w:sz w:val="22"/>
                <w:szCs w:val="22"/>
              </w:rPr>
              <w:br/>
            </w:r>
            <w:r>
              <w:rPr>
                <w:sz w:val="22"/>
                <w:szCs w:val="22"/>
              </w:rPr>
              <w:t xml:space="preserve">(</w:t>
            </w:r>
            <w:r>
              <w:rPr>
                <w:sz w:val="22"/>
                <w:szCs w:val="22"/>
              </w:rPr>
              <w:t xml:space="preserve">Trường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w:t>
            </w:r>
            <w:r>
              <w:rPr>
                <w:color w:val="000000"/>
                <w:sz w:val="22"/>
                <w:szCs w:val="22"/>
              </w:rPr>
              <w:t xml:space="preserve">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w:t>
            </w:r>
            <w:r>
              <w:rPr>
                <w:color w:val="000000"/>
                <w:sz w:val="22"/>
                <w:szCs w:val="22"/>
              </w:rPr>
              <w:t xml:space="preserve">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w:t>
            </w:r>
            <w:r>
              <w:rPr>
                <w:color w:val="000000"/>
                <w:sz w:val="22"/>
                <w:szCs w:val="22"/>
              </w:rPr>
              <w:t xml:space="preserve">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yellow"/>
              </w:rPr>
              <w:t xml:space="preserve">Thời hạn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Lâu </w:t>
            </w:r>
            <w:r>
              <w:rPr>
                <w:color w:val="000000" w:themeColor="text1"/>
                <w:sz w:val="22"/>
                <w:szCs w:val="22"/>
                <w:highlight w:val="none"/>
              </w:rPr>
              <w:t xml:space="preserve">dài</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w:t>
            </w:r>
            <w:r>
              <w:rPr>
                <w:color w:val="000000" w:themeColor="text1"/>
                <w:sz w:val="22"/>
                <w:szCs w:val="22"/>
              </w:rPr>
              <w:t xml:space="preserve">bê </w:t>
            </w:r>
            <w:r>
              <w:rPr>
                <w:color w:val="000000" w:themeColor="text1"/>
                <w:sz w:val="22"/>
                <w:szCs w:val="22"/>
              </w:rPr>
              <w:t xml:space="preserve">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w:t>
            </w:r>
            <w:r>
              <w:rPr>
                <w:color w:val="000000" w:themeColor="text1"/>
                <w:sz w:val="22"/>
                <w:szCs w:val="22"/>
              </w:rPr>
              <w:t xml:space="preserve">giáp 1 </w:t>
            </w:r>
            <w:r>
              <w:rPr>
                <w:color w:val="000000" w:themeColor="text1"/>
                <w:sz w:val="22"/>
                <w:szCs w:val="22"/>
              </w:rPr>
              <w:t xml:space="preserve">mặt </w:t>
            </w:r>
            <w:r>
              <w:rPr>
                <w:color w:val="000000" w:themeColor="text1"/>
                <w:sz w:val="22"/>
                <w:szCs w:val="22"/>
              </w:rPr>
              <w:t xml:space="preserve">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w:t>
            </w:r>
            <w:r>
              <w:rPr>
                <w:color w:val="000000" w:themeColor="text1"/>
                <w:sz w:val="22"/>
                <w:szCs w:val="22"/>
              </w:rPr>
              <w:t xml:space="preserve">trống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w:t>
            </w:r>
            <w:r>
              <w:rPr>
                <w:color w:val="000000" w:themeColor="text1"/>
                <w:sz w:val="22"/>
                <w:szCs w:val="22"/>
              </w:rPr>
              <w:t xml:space="preserve">trống </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4.488.000.000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4.039.200.000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4.039.200.000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4.039.200.000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rPr>
                <w:color w:val="000000" w:themeColor="text1"/>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Măng </w:t>
            </w:r>
            <w:r>
              <w:rPr>
                <w:color w:val="000000" w:themeColor="text1"/>
                <w:sz w:val="22"/>
                <w:szCs w:val="22"/>
              </w:rPr>
              <w:t xml:space="preserve">Lin, </w:t>
            </w:r>
            <w:r>
              <w:rPr>
                <w:color w:val="000000" w:themeColor="text1"/>
                <w:sz w:val="22"/>
                <w:szCs w:val="22"/>
              </w:rPr>
              <w:t xml:space="preserve">Phường 7, Thành phố Đà Lạt, Tỉnh Lâm Đồng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Lang </w:t>
            </w:r>
            <w:r>
              <w:rPr>
                <w:color w:val="000000" w:themeColor="text1"/>
                <w:sz w:val="22"/>
                <w:szCs w:val="22"/>
              </w:rPr>
              <w:t xml:space="preserve">Biang - </w:t>
            </w:r>
            <w:r>
              <w:rPr>
                <w:color w:val="000000" w:themeColor="text1"/>
                <w:sz w:val="22"/>
                <w:szCs w:val="22"/>
              </w:rPr>
              <w:t xml:space="preserve">Đà </w:t>
            </w:r>
            <w:r>
              <w:rPr>
                <w:color w:val="000000" w:themeColor="text1"/>
                <w:sz w:val="22"/>
                <w:szCs w:val="22"/>
              </w:rPr>
              <w:t xml:space="preserve">Lạt, </w:t>
            </w:r>
            <w:r>
              <w:rPr>
                <w:color w:val="000000" w:themeColor="text1"/>
                <w:sz w:val="22"/>
                <w:szCs w:val="22"/>
              </w:rPr>
              <w:t xml:space="preserve">Tỉnh </w:t>
            </w:r>
            <w:r>
              <w:rPr>
                <w:color w:val="000000" w:themeColor="text1"/>
                <w:sz w:val="22"/>
                <w:szCs w:val="22"/>
              </w:rPr>
              <w:t xml:space="preserve">Lâm </w:t>
            </w:r>
            <w:r>
              <w:rPr>
                <w:color w:val="000000" w:themeColor="text1"/>
                <w:sz w:val="22"/>
                <w:szCs w:val="22"/>
              </w:rPr>
              <w:t xml:space="preserve">Đồng) </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-1.669.500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22.180.500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19.251.000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22.180.500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19.251.000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19.796.118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204,04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-395.922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19.400.196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593.884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19.994.080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593.884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20.587.964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20.587.964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20.587.964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21.703.500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18.837.000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20.587.964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20.376.155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-7,55%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1,04%</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2.146.500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1.863.000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1.583.690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w:t>
            </w:r>
            <w:r>
              <w:rPr>
                <w:color w:val="000000" w:themeColor="text1"/>
                <w:sz w:val="22"/>
                <w:szCs w:val="22"/>
                <w:highlight w:val="white"/>
              </w:rPr>
              <w:t xml:space="preserve">3%</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2.146.500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1.863.000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791.846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-7,55</w:t>
      </w:r>
      <w:r>
        <w:t xml:space="preserve">% đến</w:t>
      </w:r>
      <w:r>
        <w:t xml:space="preserve"> </w:t>
      </w:r>
      <w:r>
        <w:t xml:space="preserve"> </w:t>
      </w:r>
      <w:r>
        <w:t xml:space="preserve">6,51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bCs/>
          <w:i/>
          <w:highlight w:val="none"/>
        </w:rPr>
      </w:pPr>
      <w:r>
        <w:rPr>
          <w:i/>
          <w:iCs/>
          <w:highlight w:val="none"/>
        </w:rPr>
      </w:r>
      <w:r>
        <w:rPr>
          <w:bCs/>
          <w:i/>
          <w:highlight w:val="none"/>
        </w:rPr>
      </w:r>
      <w:r>
        <w:rPr>
          <w:bCs/>
          <w:i/>
          <w:highlight w:val="none"/>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21.703.500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7.235.947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18.837.000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6.278.372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20.587.964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6.861.968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20.376.287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758 (gốc 254), tờ bản đồ số: 18 (C49-I-(43b)) có địa chỉ: Phường 7, Thành phố Đà Lạt, tỉnh Lâm Đồng (Nay là phường Lang Biang - Đà </w:t>
            </w:r>
            <w:r>
              <w:rPr>
                <w:b/>
                <w:bCs/>
                <w:color w:val="000000"/>
              </w:rPr>
              <w:t xml:space="preserve">Lạt, tỉnh Lâm Đồng) theo Giấy chứng nhận quyền sử dụng đất quyền sở hữu nhà ở và tài sản khác gắn liền với đất số DD 938831, số vào sổ cấp GCN: CS04144 do Sở Tài nguyên và Môi trường tỉnh Lâm Đồng cấp ngày 25/03/2022; Chử sử dụng đất là Bà Hoàng Thuỳ Minh.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219,4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4.388.000.000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4.388.000.000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tám mươi tám triệu</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75/2026/0796/VFI-CT.69.A</w:t>
      </w:r>
      <w:r>
        <w:rPr>
          <w:color w:val="ff0000"/>
          <w:lang w:val="vi-VN"/>
        </w:rPr>
        <w:t xml:space="preserve"> </w:t>
      </w:r>
      <w:r>
        <w:rPr>
          <w:color w:val="000000" w:themeColor="text1"/>
        </w:rPr>
        <w:t xml:space="preserve">ngày 27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75/2026/0796/VFI-BC.6</w:t>
      </w:r>
      <w:commentRangeStart w:id="2"/>
      <w:r>
        <w:rPr>
          <w:i/>
          <w:highlight w:val="yellow"/>
        </w:rPr>
        <w:t xml:space="preserve">9.A</w:t>
      </w:r>
      <w:r>
        <w:rPr>
          <w:i/>
          <w:highlight w:val="yellow"/>
          <w:lang w:val="pt-BR"/>
        </w:rPr>
        <w:t xml:space="preserve"> </w:t>
      </w:r>
      <w:r>
        <w:rPr>
          <w:i/>
          <w:highlight w:val="yellow"/>
          <w:lang w:val="pt-BR"/>
        </w:rPr>
        <w:t xml:space="preserve">ngày</w:t>
      </w:r>
      <w:r>
        <w:rPr>
          <w:i/>
          <w:highlight w:val="yellow"/>
          <w:lang w:val="pt-BR"/>
        </w:rPr>
        <w:t xml:space="preserve"> </w:t>
      </w:r>
      <w:r>
        <w:rPr>
          <w:i/>
          <w:highlight w:val="yellow"/>
          <w:lang w:val="pt-BR"/>
        </w:rPr>
        <w:t xml:space="preserve">27 thá</w:t>
      </w:r>
      <w:r>
        <w:rPr>
          <w:i/>
          <w:lang w:val="pt-BR"/>
        </w:rPr>
      </w:r>
      <w:commentRangeEnd w:id="2"/>
      <w:r>
        <w:commentReference w:id="2"/>
      </w:r>
      <w:r>
        <w:rPr>
          <w:i/>
          <w:lang w:val="pt-BR"/>
        </w:rPr>
        <w:t xml:space="preserve">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90357" cy="23260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3550" name=""/>
                              <pic:cNvPicPr>
                                <a:picLocks noChangeAspect="1"/>
                              </pic:cNvPicPr>
                              <pic:nvPr/>
                            </pic:nvPicPr>
                            <pic:blipFill rotWithShape="1">
                              <a:blip r:embed="rId19"/>
                              <a:stretch/>
                            </pic:blipFill>
                            <pic:spPr bwMode="auto">
                              <a:xfrm flipH="0" flipV="0">
                                <a:off x="0" y="0"/>
                                <a:ext cx="1690357" cy="23260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3.10pt;height:183.1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1548" cy="22811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0615" name=""/>
                              <pic:cNvPicPr>
                                <a:picLocks noChangeAspect="1"/>
                              </pic:cNvPicPr>
                              <pic:nvPr/>
                            </pic:nvPicPr>
                            <pic:blipFill rotWithShape="1">
                              <a:blip r:embed="rId20"/>
                              <a:stretch/>
                            </pic:blipFill>
                            <pic:spPr bwMode="auto">
                              <a:xfrm flipH="0" flipV="0">
                                <a:off x="0" y="0"/>
                                <a:ext cx="3041548" cy="2281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9.49pt;height:179.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8802" cy="22191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11082" name=""/>
                              <pic:cNvPicPr>
                                <a:picLocks noChangeAspect="1"/>
                              </pic:cNvPicPr>
                              <pic:nvPr/>
                            </pic:nvPicPr>
                            <pic:blipFill rotWithShape="1">
                              <a:blip r:embed="rId21"/>
                              <a:stretch/>
                            </pic:blipFill>
                            <pic:spPr bwMode="auto">
                              <a:xfrm flipH="0" flipV="0">
                                <a:off x="0" y="0"/>
                                <a:ext cx="2958802" cy="2219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98pt;height:174.7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1768" cy="22888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95082" name=""/>
                              <pic:cNvPicPr>
                                <a:picLocks noChangeAspect="1"/>
                              </pic:cNvPicPr>
                              <pic:nvPr/>
                            </pic:nvPicPr>
                            <pic:blipFill rotWithShape="1">
                              <a:blip r:embed="rId22"/>
                              <a:stretch/>
                            </pic:blipFill>
                            <pic:spPr bwMode="auto">
                              <a:xfrm flipH="0" flipV="0">
                                <a:off x="0" y="0"/>
                                <a:ext cx="3051767" cy="228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30pt;height:180.2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8647" cy="22264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53520" name=""/>
                              <pic:cNvPicPr>
                                <a:picLocks noChangeAspect="1"/>
                              </pic:cNvPicPr>
                              <pic:nvPr/>
                            </pic:nvPicPr>
                            <pic:blipFill rotWithShape="1">
                              <a:blip r:embed="rId23"/>
                              <a:stretch/>
                            </pic:blipFill>
                            <pic:spPr bwMode="auto">
                              <a:xfrm flipH="0" flipV="0">
                                <a:off x="0" y="0"/>
                                <a:ext cx="2968647" cy="2226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75pt;height:175.3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0103" cy="21975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6975" name=""/>
                              <pic:cNvPicPr>
                                <a:picLocks noChangeAspect="1"/>
                              </pic:cNvPicPr>
                              <pic:nvPr/>
                            </pic:nvPicPr>
                            <pic:blipFill rotWithShape="1">
                              <a:blip r:embed="rId24"/>
                              <a:stretch/>
                            </pic:blipFill>
                            <pic:spPr bwMode="auto">
                              <a:xfrm flipH="0" flipV="0">
                                <a:off x="0" y="0"/>
                                <a:ext cx="2930102" cy="21975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72pt;height:173.0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75/2026/0796/VFI-BC.69</w:t>
      </w:r>
      <w:commentRangeStart w:id="3"/>
      <w:r>
        <w:rPr>
          <w:i/>
        </w:rPr>
        <w:t xml:space="preserve">.A</w:t>
      </w:r>
      <w:r>
        <w:rPr>
          <w:i/>
          <w:lang w:val="pt-BR"/>
        </w:rPr>
        <w:t xml:space="preserve"> </w:t>
      </w:r>
      <w:r>
        <w:rPr>
          <w:i/>
          <w:lang w:val="pt-BR"/>
        </w:rPr>
        <w:t xml:space="preserve">ngày </w:t>
      </w:r>
      <w:r>
        <w:rPr>
          <w:i/>
          <w:lang w:val="pt-BR"/>
        </w:rPr>
        <w:t xml:space="preserve">27 t</w:t>
      </w:r>
      <w:commentRangeEnd w:id="3"/>
      <w:r>
        <w:commentReference w:id="3"/>
      </w:r>
      <w:r>
        <w:rPr>
          <w:i/>
          <w:lang w:val="pt-BR"/>
        </w:rPr>
        <w:t xml:space="preserve">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https://www.facebook.com/groups/1830477993873464/posts/4244561469131759/</w:t>
            </w:r>
            <w:r>
              <w:rPr>
                <w:color w:val="000000" w:themeColor="text1"/>
                <w:sz w:val="22"/>
                <w:szCs w:val="22"/>
              </w:rPr>
              <w:br/>
              <w:t xml:space="preserve">0334 904 825</w:t>
            </w:r>
            <w:r>
              <w:rPr>
                <w:sz w:val="22"/>
                <w:szCs w:val="22"/>
              </w:rPr>
              <w:t xml:space="preserve"> </w:t>
            </w:r>
            <w:r>
              <w:rPr>
                <w:sz w:val="22"/>
                <w:szCs w:val="22"/>
              </w:rPr>
              <w:br/>
              <w:t xml:space="preserve">(Hoàng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Măng Lin, Phường 7, Thành phố Đà Lạt, Tỉnh Lâm Đồng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13,19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454865" cy="2144718"/>
                      <wp:effectExtent l="0" t="0" r="0" b="0"/>
                      <wp:docPr id="13" name=""/>
                      <wp:cNvGraphicFramePr/>
                      <a:graphic xmlns:a="http://schemas.openxmlformats.org/drawingml/2006/main">
                        <a:graphicData uri="http://schemas.openxmlformats.org/drawingml/2006/picture">
                          <pic:pic xmlns:pic="http://schemas.openxmlformats.org/drawingml/2006/picture">
                            <pic:nvPicPr>
                              <pic:cNvPr id="1558751160" name="" descr=""/>
                              <pic:cNvPicPr/>
                              <pic:nvPr/>
                            </pic:nvPicPr>
                            <pic:blipFill rotWithShape="1">
                              <a:blip r:embed="rId25"/>
                              <a:stretch/>
                            </pic:blipFill>
                            <pic:spPr bwMode="auto">
                              <a:xfrm flipH="0" flipV="0">
                                <a:off x="0" y="0"/>
                                <a:ext cx="4454865" cy="21447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0.78pt;height:168.8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83"/>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44565" cy="77228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7293" name=""/>
                              <pic:cNvPicPr>
                                <a:picLocks noChangeAspect="1"/>
                              </pic:cNvPicPr>
                              <pic:nvPr/>
                            </pic:nvPicPr>
                            <pic:blipFill rotWithShape="1">
                              <a:blip r:embed="rId26"/>
                              <a:stretch/>
                            </pic:blipFill>
                            <pic:spPr bwMode="auto">
                              <a:xfrm flipH="0" flipV="0">
                                <a:off x="0" y="0"/>
                                <a:ext cx="1544564" cy="772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1.62pt;height:60.81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0334 904 825</w:t>
            </w:r>
            <w:r>
              <w:rPr>
                <w:sz w:val="22"/>
                <w:szCs w:val="22"/>
              </w:rPr>
              <w:t xml:space="preserve"> </w:t>
            </w:r>
            <w:r>
              <w:rPr>
                <w:sz w:val="22"/>
                <w:szCs w:val="22"/>
              </w:rPr>
              <w:br/>
              <w:t xml:space="preserve">(Hoàng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7, Thành phố Đà Lạt, Tỉnh Lâm Đồng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040710" cy="2385653"/>
                      <wp:effectExtent l="0" t="0" r="0" b="0"/>
                      <wp:docPr id="15" name=""/>
                      <wp:cNvGraphicFramePr/>
                      <a:graphic xmlns:a="http://schemas.openxmlformats.org/drawingml/2006/main">
                        <a:graphicData uri="http://schemas.openxmlformats.org/drawingml/2006/picture">
                          <pic:pic xmlns:pic="http://schemas.openxmlformats.org/drawingml/2006/picture">
                            <pic:nvPicPr>
                              <pic:cNvPr id="698588428" name="" descr=""/>
                              <pic:cNvPicPr/>
                              <pic:nvPr/>
                            </pic:nvPicPr>
                            <pic:blipFill rotWithShape="1">
                              <a:blip r:embed="rId27"/>
                              <a:stretch/>
                            </pic:blipFill>
                            <pic:spPr bwMode="auto">
                              <a:xfrm rot="0" flipH="0" flipV="0">
                                <a:off x="0" y="0"/>
                                <a:ext cx="4040709" cy="23856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8.17pt;height:187.85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50773" cy="72538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54946" name=""/>
                              <pic:cNvPicPr>
                                <a:picLocks noChangeAspect="1"/>
                              </pic:cNvPicPr>
                              <pic:nvPr/>
                            </pic:nvPicPr>
                            <pic:blipFill rotWithShape="1">
                              <a:blip r:embed="rId26"/>
                              <a:stretch/>
                            </pic:blipFill>
                            <pic:spPr bwMode="auto">
                              <a:xfrm rot="0" flipH="0" flipV="0">
                                <a:off x="0" y="0"/>
                                <a:ext cx="1450773" cy="7253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4.23pt;height:57.12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https://www.facebook.com/groups/2394197994225465/posts/4287776364867609/</w:t>
            </w:r>
            <w:r>
              <w:rPr>
                <w:color w:val="000000" w:themeColor="text1"/>
                <w:sz w:val="22"/>
                <w:szCs w:val="22"/>
              </w:rPr>
              <w:br/>
            </w:r>
            <w:r>
              <w:rPr>
                <w:sz w:val="22"/>
                <w:szCs w:val="22"/>
              </w:rPr>
              <w:t xml:space="preserve">SĐT: </w:t>
            </w:r>
            <w:r>
              <w:rPr>
                <w:color w:val="000000" w:themeColor="text1"/>
                <w:sz w:val="22"/>
                <w:szCs w:val="22"/>
              </w:rPr>
              <w:t xml:space="preserve">0792.104.333</w:t>
            </w:r>
            <w:r>
              <w:rPr>
                <w:sz w:val="22"/>
                <w:szCs w:val="22"/>
              </w:rPr>
              <w:t xml:space="preserve"> </w:t>
            </w:r>
            <w:r>
              <w:rPr>
                <w:sz w:val="22"/>
                <w:szCs w:val="22"/>
              </w:rPr>
              <w:br/>
              <w:t xml:space="preserve">(Trường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4.488.000.000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4.039.200.000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(204.04m²)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Măng Lin, Phường 7, Thành phố Đà Lạt, Tỉnh Lâm Đồng.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204,04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10,38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369140" cy="206001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77066086" name="" descr=""/>
                              <pic:cNvPicPr/>
                              <pic:nvPr/>
                            </pic:nvPicPr>
                            <pic:blipFill rotWithShape="1">
                              <a:blip r:embed="rId28"/>
                              <a:stretch/>
                            </pic:blipFill>
                            <pic:spPr bwMode="auto">
                              <a:xfrm flipH="0" flipV="0">
                                <a:off x="0" y="0"/>
                                <a:ext cx="4369140" cy="20600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4.03pt;height:162.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50774" cy="72538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8633" name=""/>
                              <pic:cNvPicPr>
                                <a:picLocks noChangeAspect="1"/>
                              </pic:cNvPicPr>
                              <pic:nvPr/>
                            </pic:nvPicPr>
                            <pic:blipFill rotWithShape="1">
                              <a:blip r:embed="rId26"/>
                              <a:stretch/>
                            </pic:blipFill>
                            <pic:spPr bwMode="auto">
                              <a:xfrm rot="0" flipH="0" flipV="0">
                                <a:off x="0" y="0"/>
                                <a:ext cx="1450773" cy="725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4.23pt;height:57.12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rPr>
      </w:r>
      <w:r>
        <w:rPr>
          <w:b/>
          <w:bCs/>
          <w:iCs/>
          <w:highlight w:val="none"/>
        </w:rPr>
      </w:r>
    </w:p>
    <w:p>
      <w:pPr>
        <w:pBdr/>
        <w:shd w:val="nil" w:color="auto"/>
        <w:spacing/>
        <w:ind/>
        <w:jc w:val="center"/>
        <w:rPr/>
      </w:pPr>
      <w:r>
        <w:rPr>
          <w:lang w:val="pt-BR"/>
        </w:rPr>
      </w:r>
      <w:r>
        <mc:AlternateContent>
          <mc:Choice Requires="wpg">
            <w:drawing>
              <wp:inline xmlns:wp="http://schemas.openxmlformats.org/drawingml/2006/wordprocessingDrawing" distT="0" distB="0" distL="0" distR="0">
                <wp:extent cx="4934290" cy="370071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91187" name=""/>
                        <pic:cNvPicPr>
                          <a:picLocks noChangeAspect="1"/>
                        </pic:cNvPicPr>
                        <pic:nvPr/>
                      </pic:nvPicPr>
                      <pic:blipFill rotWithShape="1">
                        <a:blip r:embed="rId29"/>
                        <a:stretch/>
                      </pic:blipFill>
                      <pic:spPr bwMode="auto">
                        <a:xfrm flipH="0" flipV="0">
                          <a:off x="0" y="0"/>
                          <a:ext cx="4934289" cy="3700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8.53pt;height:291.40pt;mso-wrap-distance-left:0.00pt;mso-wrap-distance-top:0.00pt;mso-wrap-distance-right:0.00pt;mso-wrap-distance-bottom:0.00pt;z-index:1;" stroked="false">
                <v:imagedata r:id="rId29" o:title=""/>
                <o:lock v:ext="edit" rotation="t"/>
              </v:shape>
            </w:pict>
          </mc:Fallback>
        </mc:AlternateContent>
      </w:r>
      <w:r>
        <w:rPr>
          <w:lang w:val="pt-BR"/>
        </w:rPr>
      </w:r>
      <w:r/>
    </w:p>
    <w:p>
      <w:pPr>
        <w:pBdr/>
        <w:shd w:val="nil" w:color="000000"/>
        <w:spacing/>
        <w:ind/>
        <w:jc w:val="center"/>
        <w:rPr>
          <w:lang w:val="pt-BR"/>
        </w:rPr>
      </w:pPr>
      <w:r>
        <mc:AlternateContent>
          <mc:Choice Requires="wpg">
            <w:drawing>
              <wp:inline xmlns:wp="http://schemas.openxmlformats.org/drawingml/2006/wordprocessingDrawing" distT="0" distB="0" distL="0" distR="0">
                <wp:extent cx="4934290" cy="370071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416" name=""/>
                        <pic:cNvPicPr>
                          <a:picLocks noChangeAspect="1"/>
                        </pic:cNvPicPr>
                        <pic:nvPr/>
                      </pic:nvPicPr>
                      <pic:blipFill rotWithShape="1">
                        <a:blip r:embed="rId30"/>
                        <a:stretch/>
                      </pic:blipFill>
                      <pic:spPr bwMode="auto">
                        <a:xfrm flipH="0" flipV="0">
                          <a:off x="0" y="0"/>
                          <a:ext cx="4934289" cy="3700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8.53pt;height:291.40pt;mso-wrap-distance-left:0.00pt;mso-wrap-distance-top:0.00pt;mso-wrap-distance-right:0.00pt;mso-wrap-distance-bottom:0.00pt;z-index:1;" stroked="false">
                <v:imagedata r:id="rId30" o:title=""/>
                <o:lock v:ext="edit" rotation="t"/>
              </v:shape>
            </w:pict>
          </mc:Fallback>
        </mc:AlternateContent>
      </w:r>
      <w:r>
        <w:rPr>
          <w:lang w:val="pt-BR"/>
        </w:rPr>
        <w:br w:type="page" w:clear="all"/>
      </w:r>
      <w:r>
        <w:rPr>
          <w:lang w:val="pt-BR"/>
        </w:rPr>
      </w:r>
      <w:r>
        <w:rPr>
          <w:lang w:val="pt-BR"/>
        </w:rPr>
      </w:r>
    </w:p>
    <w:p>
      <w:pPr>
        <w:pBdr/>
        <w:spacing w:after="200" w:line="276" w:lineRule="auto"/>
        <w:ind/>
        <w:jc w:val="center"/>
        <w:rPr>
          <w:b/>
          <w:bCs/>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sát </w:t>
        <mc:AlternateContent>
          <mc:Choice Requires="wpg">
            <w:drawing>
              <wp:inline xmlns:wp="http://schemas.openxmlformats.org/drawingml/2006/wordprocessingDrawing" distT="0" distB="0" distL="0" distR="0">
                <wp:extent cx="6048375" cy="85672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2485" name=""/>
                        <pic:cNvPicPr>
                          <a:picLocks noChangeAspect="1"/>
                        </pic:cNvPicPr>
                        <pic:nvPr/>
                      </pic:nvPicPr>
                      <pic:blipFill rotWithShape="1">
                        <a:blip r:embed="rId31"/>
                        <a:stretch/>
                      </pic:blipFill>
                      <pic:spPr bwMode="auto">
                        <a:xfrm>
                          <a:off x="0" y="0"/>
                          <a:ext cx="6048374" cy="8567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4.59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5-28T14:54:20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2" w:author="Nguyễn Thị Thùy Dương" w:date="2026-05-28T14:54:11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 w:id="1" w:author="Nguyễn Thị Thùy Dương" w:date="2026-05-28T14:41:49Z" w:initials="NTTD">
    <w:p w14:paraId="00000003" w14:textId="00000003">
      <w:pPr>
        <w:spacing w:line="240" w:after="0" w:lineRule="auto" w:before="0"/>
        <w:ind w:firstLine="0" w:left="0" w:right="0"/>
        <w:jc w:val="left"/>
      </w:pPr>
      <w:r>
        <w:rPr>
          <w:rFonts w:eastAsia="Arial" w:ascii="Arial" w:hAnsi="Arial" w:cs="Arial"/>
          <w:sz w:val="22"/>
        </w:rPr>
        <w:t xml:space="preserve">BC</w:t>
      </w:r>
    </w:p>
  </w:comment>
  <w:comment w:id="0" w:author="Nguyễn Thị Thùy Dương" w:date="2026-05-28T14:40:56Z" w:initials="NTTD">
    <w:p w14:paraId="00000004" w14:textId="00000004">
      <w:pPr>
        <w:spacing w:line="240" w:after="0" w:lineRule="auto" w:before="0"/>
        <w:ind w:firstLine="0" w:left="0" w:right="0"/>
        <w:jc w:val="left"/>
      </w:pPr>
      <w:r>
        <w:rPr>
          <w:rFonts w:eastAsia="Arial" w:ascii="Arial" w:hAnsi="Arial" w:cs="Arial"/>
          <w:sz w:val="22"/>
        </w:rPr>
        <w:t xml:space="preserve">Đánh lại số trang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0"/>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876FF35" w16cex:dateUtc="2026-05-28T07:54:20Z"/>
  <w16cex:commentExtensible w16cex:durableId="45F1398C" w16cex:dateUtc="2026-05-28T07:54:11Z"/>
  <w16cex:commentExtensible w16cex:durableId="1697091F" w16cex:dateUtc="2026-05-28T07:41:49Z"/>
  <w16cex:commentExtensible w16cex:durableId="2AC81F5B" w16cex:dateUtc="2026-05-28T07:40:5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876FF35"/>
  <w16cid:commentId w16cid:paraId="00000002" w16cid:durableId="45F1398C"/>
  <w16cid:commentId w16cid:paraId="00000003" w16cid:durableId="1697091F"/>
  <w16cid:commentId w16cid:paraId="00000004" w16cid:durableId="2AC81F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44B49C2"/>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63511B5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DE5E210"/>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282</cp:revision>
  <dcterms:created xsi:type="dcterms:W3CDTF">2025-09-15T09:58:00Z</dcterms:created>
  <dcterms:modified xsi:type="dcterms:W3CDTF">2026-05-28T08:28:56Z</dcterms:modified>
</cp:coreProperties>
</file>