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515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515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275/2026/0784/VFI-CT.44.A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Thế Cường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561, tờ bản đồ số: 93, có địa chỉ: Thôn Phương Chử Bắc, xã An Trường, thành p</w:t>
                            </w:r>
                            <w:r>
                              <w:rPr>
                                <w:color w:val="000000"/>
                              </w:rPr>
                              <w:t xml:space="preserve">hố Hải Phòng theo Giấy chứng nhận quyền sử dụng đất, quyền sở tài sản gắn liền với đất số: AA 04794106, Số vào sổ cấp GCN: CN 7719 do Chi nhánh Văn phòng đăng ký đất đai An Lão cấp ngày 10/10/2025; Chủ sử dụng đất là Ông Nguyễn Thế Cường và Bà Trần Thị Hậu</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8.1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275/2026/0784/VFI-CT.44.A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Thế Cường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561, tờ bản đồ số: 93, có địa chỉ: Thôn Phương Chử Bắc, xã An Trường, thành p</w:t>
                      </w:r>
                      <w:r>
                        <w:rPr>
                          <w:color w:val="000000"/>
                        </w:rPr>
                        <w:t xml:space="preserve">hố Hải Phòng theo Giấy chứng nhận quyền sử dụng đất, quyền sở tài sản gắn liền với đất số: AA 04794106, Số vào sổ cấp GCN: CN 7719 do Chi nhánh Văn phòng đăng ký đất đai An Lão cấp ngày 10/10/2025; Chủ sử dụng đất là Ông Nguyễn Thế Cường và Bà Trần Thị Hậu</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 lục 1: Thông tin hiện trạng +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21-24</w:t>
            </w:r>
            <w:r>
              <w:rPr>
                <w:b/>
                <w:bCs/>
              </w:rPr>
            </w:r>
            <w:r>
              <w:rPr>
                <w:b/>
                <w:bCs/>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25-31</w:t>
            </w:r>
            <w:r>
              <w:rPr>
                <w:b/>
                <w:bCs/>
              </w:rPr>
            </w:r>
            <w:r>
              <w:rPr>
                <w:b/>
                <w:bCs/>
              </w:rPr>
            </w:r>
          </w:p>
        </w:tc>
      </w:tr>
    </w:tbl>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853"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676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5914"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 </w:t>
            </w:r>
            <w:r>
              <w:rPr>
                <w:rStyle w:val="1037"/>
                <w:rFonts w:ascii="Times New Roman" w:hAnsi="Times New Roman"/>
                <w:color w:val="000000" w:themeColor="text1"/>
                <w:lang w:val="pt-BR"/>
              </w:rPr>
              <w:t xml:space="preserve">275/2026/0784/VFI-CT.44.A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Hà 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25 tháng 5 năm 2026</w:t>
            </w:r>
            <w:r>
              <w:rPr>
                <w:color w:val="000000" w:themeColor="text1"/>
                <w:sz w:val="24"/>
                <w:szCs w:val="24"/>
                <w:lang w:val="vi-VN"/>
              </w:rPr>
            </w:r>
            <w:r>
              <w:rPr>
                <w:color w:val="000000" w:themeColor="text1"/>
                <w:sz w:val="24"/>
                <w:szCs w:val="24"/>
                <w:lang w:val="vi-VN"/>
              </w:rPr>
            </w:r>
          </w:p>
        </w:tc>
      </w:tr>
    </w:tbl>
    <w:p>
      <w:pPr>
        <w:pStyle w:val="1038"/>
        <w:pBdr/>
        <w:spacing w:after="120" w:before="200" w:line="288" w:lineRule="auto"/>
        <w:ind/>
        <w:jc w:val="center"/>
        <w:rPr>
          <w:rStyle w:val="1037"/>
          <w:rFonts w:ascii="Times New Roman" w:hAnsi="Times New Roman"/>
          <w:b/>
          <w:bCs/>
          <w:color w:val="auto"/>
          <w:sz w:val="30"/>
          <w:szCs w:val="30"/>
          <w:lang w:val="vi-VN"/>
        </w:rPr>
      </w:pPr>
      <w:r>
        <w:rPr>
          <w:rStyle w:val="1037"/>
          <w:rFonts w:ascii="Times New Roman" w:hAnsi="Times New Roman"/>
          <w:b/>
          <w:bCs/>
          <w:color w:val="auto"/>
          <w:sz w:val="30"/>
          <w:szCs w:val="30"/>
          <w:lang w:val="vi-VN"/>
        </w:rPr>
        <w:t xml:space="preserve">CHỨNG THƯ THẨM ĐỊNH GIÁ</w:t>
      </w:r>
      <w:r>
        <w:rPr>
          <w:rStyle w:val="1037"/>
          <w:rFonts w:ascii="Times New Roman" w:hAnsi="Times New Roman"/>
          <w:b/>
          <w:bCs/>
          <w:color w:val="auto"/>
          <w:sz w:val="30"/>
          <w:szCs w:val="30"/>
          <w:lang w:val="vi-VN"/>
        </w:rPr>
      </w:r>
      <w:r>
        <w:rPr>
          <w:rStyle w:val="103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Thế Cường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275/2026/0784/VFI-HĐTĐ.44.A</w:t>
      </w:r>
      <w:r>
        <w:rPr>
          <w:spacing w:val="-4"/>
          <w:lang w:val="vi-VN"/>
        </w:rPr>
        <w:t xml:space="preserve"> ký ngày </w:t>
      </w:r>
      <w:r>
        <w:rPr>
          <w:color w:val="000000" w:themeColor="text1"/>
          <w:spacing w:val="-4"/>
        </w:rPr>
        <w:t xml:space="preserve">21 tháng 5 năm 2026</w:t>
      </w:r>
      <w:r>
        <w:rPr>
          <w:spacing w:val="-4"/>
          <w:lang w:val="vi-VN"/>
        </w:rPr>
        <w:t xml:space="preserve"> </w:t>
      </w:r>
      <w:r>
        <w:rPr>
          <w:spacing w:val="-4"/>
          <w:lang w:val="vi-VN"/>
        </w:rPr>
        <w:t xml:space="preserve">giữa </w:t>
      </w:r>
      <w:r>
        <w:rPr>
          <w:color w:val="000000" w:themeColor="text1"/>
          <w:spacing w:val="-4"/>
        </w:rPr>
        <w:t xml:space="preserve">Ông Nguyễn Thế Cường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275/2026/0784/VFI-BC.44.A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25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430"/>
        <w:gridCol w:w="462"/>
        <w:gridCol w:w="6633"/>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6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3" w:type="dxa"/>
            <w:vAlign w:val="center"/>
            <w:textDirection w:val="lrTb"/>
            <w:noWrap w:val="false"/>
          </w:tcPr>
          <w:p>
            <w:pPr>
              <w:pBdr/>
              <w:spacing/>
              <w:ind/>
              <w:rPr/>
            </w:pPr>
            <w:r>
              <w:rPr>
                <w:b/>
                <w:bCs/>
              </w:rPr>
              <w:t xml:space="preserve">Ông Nguyễn Thế Cường</w:t>
            </w: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46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3"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03108</w:t>
            </w:r>
            <w:r>
              <w:rPr>
                <w:color w:val="000000" w:themeColor="text1"/>
                <w:highlight w:val="yellow"/>
                <w:lang w:val="vi-VN"/>
              </w:rPr>
              <w:t xml:space="preserve">2</w:t>
            </w:r>
            <w:r>
              <w:rPr>
                <w:color w:val="000000" w:themeColor="text1"/>
                <w:highlight w:val="yellow"/>
                <w:lang w:val="vi-VN"/>
              </w:rPr>
              <w:t xml:space="preserve">0</w:t>
            </w:r>
            <w:r>
              <w:rPr>
                <w:color w:val="000000" w:themeColor="text1"/>
                <w:lang w:val="vi-VN"/>
              </w:rPr>
              <w:t xml:space="preserve">18320</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240"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561, tờ bản đồ số: 93, có địa chỉ: Thôn Phương Chử Bắc, xã An Trường, thành p</w:t>
      </w:r>
      <w:r>
        <w:rPr>
          <w:color w:val="000000" w:themeColor="text1"/>
        </w:rPr>
        <w:t xml:space="preserve">hố Hải Phòng theo Giấy chứng nhận quyền sử dụng đất, quyền sở tài sản gắn liền với đất số: AA 04794106, Số vào sổ cấp GCN: CN 7719 do Chi nhánh Văn phòng đăng ký đất đai An Lão cấp ngày 10/10/2025; Chủ sử dụng đất là Ông Nguyễn Thế Cường và Bà Trần Thị Hậu</w:t>
      </w:r>
      <w:r>
        <w:rPr>
          <w:i/>
          <w:iCs/>
        </w:rPr>
        <w:t xml:space="preserve">.</w:t>
      </w:r>
      <w:r>
        <w:rPr>
          <w:b/>
          <w:bCs/>
        </w:rPr>
      </w:r>
      <w:r>
        <w:rPr>
          <w:b/>
          <w:bCs/>
        </w:rPr>
      </w:r>
    </w:p>
    <w:p>
      <w:pPr>
        <w:pBdr/>
        <w:spacing w:after="120" w:before="120" w:line="240"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5/2026</w:t>
      </w:r>
      <w:r>
        <w:rPr>
          <w:bCs/>
          <w:lang w:val="nl-NL"/>
        </w:rPr>
        <w:t xml:space="preserve">.</w:t>
      </w:r>
      <w:r>
        <w:rPr>
          <w:b/>
          <w:bCs/>
        </w:rPr>
      </w:r>
      <w:r>
        <w:rPr>
          <w:b/>
          <w:bCs/>
        </w:rPr>
      </w:r>
    </w:p>
    <w:p>
      <w:pPr>
        <w:pBdr/>
        <w:tabs>
          <w:tab w:val="left" w:leader="none" w:pos="851"/>
        </w:tabs>
        <w:spacing w:after="120" w:before="120" w:line="240"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tham khảo giá trị tài sản phục vụ công tác xử lý nợ hoặc xử lý tài sản theo quy định của pháp luật</w:t>
      </w:r>
      <w:r>
        <w:rPr>
          <w:bCs/>
          <w:lang w:val="vi-VN"/>
        </w:rPr>
        <w:t xml:space="preserve">.</w:t>
      </w:r>
      <w:r>
        <w:rPr>
          <w:bCs/>
        </w:rPr>
      </w:r>
      <w:r>
        <w:rPr>
          <w:bCs/>
        </w:rPr>
      </w:r>
    </w:p>
    <w:p>
      <w:pPr>
        <w:pBdr/>
        <w:tabs>
          <w:tab w:val="left" w:leader="none" w:pos="851"/>
        </w:tabs>
        <w:spacing w:after="120" w:before="120" w:line="240"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40"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40"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40"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40"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40"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40"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40"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5/2026</w:t>
      </w:r>
      <w:r>
        <w:rPr>
          <w:lang w:val="vi-VN"/>
        </w:rPr>
        <w:t xml:space="preserve"> ước tính</w:t>
      </w:r>
      <w:r>
        <w:t xml:space="preserve"> </w:t>
      </w:r>
      <w:r>
        <w:rPr>
          <w:lang w:val="vi-VN"/>
        </w:rPr>
        <w:t xml:space="preserve">như sau:</w:t>
      </w:r>
      <w:r/>
    </w:p>
    <w:tbl>
      <w:tblPr>
        <w:tblW w:w="500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7"/>
        <w:gridCol w:w="2943"/>
        <w:gridCol w:w="1802"/>
        <w:gridCol w:w="2025"/>
        <w:gridCol w:w="1951"/>
      </w:tblGrid>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943"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951"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69"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561, tờ bản đồ số: 93, có địa chỉ: Thôn Phương Chử Bắc, xã An Trường, thành p</w:t>
            </w:r>
            <w:r>
              <w:rPr>
                <w:b/>
                <w:bCs/>
                <w:color w:val="000000"/>
              </w:rPr>
              <w:t xml:space="preserve">hố Hải Phòng theo Giấy chứng nhận quyền sử dụng đất, quyền sở tài sản gắn liền với đất số: AA 04794106, Số vào sổ cấp GCN: CN 7719 do Chi nhánh Văn phòng đăng ký đất đai An Lão cấp ngày 10/10/2025; Chủ sử dụng đất là Ông Nguyễn Thế Cường và Bà Trần Thị Hậu</w:t>
            </w:r>
            <w:r>
              <w:rPr>
                <w:b/>
                <w:bCs/>
              </w:rPr>
              <w:t xml:space="preserve">.</w:t>
            </w:r>
            <w:r>
              <w:rPr>
                <w:b/>
                <w:bCs/>
              </w:rPr>
            </w:r>
            <w:r>
              <w:rPr>
                <w:b/>
                <w:bCs/>
              </w:rPr>
            </w:r>
          </w:p>
        </w:tc>
        <w:tc>
          <w:tcPr>
            <w:shd w:val="clear" w:color="000000" w:fill="ffffff"/>
            <w:tcBorders/>
            <w:tcW w:w="1951"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943" w:type="dxa"/>
            <w:vAlign w:val="center"/>
            <w:textDirection w:val="lrTb"/>
            <w:noWrap w:val="false"/>
          </w:tcPr>
          <w:p>
            <w:pPr>
              <w:pBdr/>
              <w:spacing w:after="40" w:before="40" w:line="288" w:lineRule="auto"/>
              <w:ind/>
              <w:rPr>
                <w:b w:val="0"/>
                <w:bCs w:val="0"/>
              </w:rPr>
            </w:pPr>
            <w:r>
              <w:rPr>
                <w:b w:val="0"/>
                <w:bCs w:val="0"/>
              </w:rPr>
              <w:t xml:space="preserve">Đất ở nằm ngoài chỉ giới QHGT.</w:t>
            </w:r>
            <w:r>
              <w:rPr>
                <w:b w:val="0"/>
                <w:bCs w:val="0"/>
              </w:rPr>
            </w:r>
            <w:r>
              <w:rPr>
                <w:b w:val="0"/>
                <w:bCs w:val="0"/>
              </w:rPr>
            </w:r>
          </w:p>
        </w:tc>
        <w:tc>
          <w:tcPr>
            <w:tcBorders/>
            <w:tcW w:w="1802" w:type="dxa"/>
            <w:vAlign w:val="center"/>
            <w:textDirection w:val="lrTb"/>
            <w:noWrap/>
          </w:tcPr>
          <w:p>
            <w:pPr>
              <w:pBdr/>
              <w:tabs>
                <w:tab w:val="center" w:leader="none" w:pos="793"/>
              </w:tabs>
              <w:spacing w:after="40" w:before="40" w:line="288" w:lineRule="auto"/>
              <w:ind/>
              <w:jc w:val="center"/>
              <w:rPr>
                <w:color w:val="000000"/>
              </w:rPr>
            </w:pPr>
            <w:r>
              <w:rPr>
                <w:color w:val="000000" w:themeColor="text1"/>
              </w:rPr>
              <w:t xml:space="preserve">198,0</w:t>
            </w:r>
            <w:r>
              <w:rPr>
                <w:color w:val="000000"/>
              </w:rPr>
            </w:r>
            <w:r>
              <w:rPr>
                <w:color w:val="000000"/>
              </w:rPr>
            </w:r>
          </w:p>
        </w:tc>
        <w:tc>
          <w:tcPr>
            <w:shd w:val="clear" w:color="000000" w:fill="ffffff"/>
            <w:tcBorders/>
            <w:tcW w:w="2025" w:type="dxa"/>
            <w:vAlign w:val="center"/>
            <w:textDirection w:val="lrTb"/>
            <w:noWrap w:val="false"/>
          </w:tcPr>
          <w:p>
            <w:pPr>
              <w:pBdr/>
              <w:spacing w:after="40" w:before="40" w:line="288" w:lineRule="auto"/>
              <w:ind/>
              <w:jc w:val="center"/>
              <w:rPr/>
            </w:pPr>
            <w:r>
              <w:rPr>
                <w:color w:val="000000" w:themeColor="text1"/>
              </w:rPr>
              <w:t xml:space="preserve">22.700.000</w:t>
            </w:r>
            <w:r/>
          </w:p>
        </w:tc>
        <w:tc>
          <w:tcPr>
            <w:shd w:val="clear" w:color="000000" w:fill="ffffff"/>
            <w:tcBorders/>
            <w:tcW w:w="1951" w:type="dxa"/>
            <w:vAlign w:val="center"/>
            <w:textDirection w:val="lrTb"/>
            <w:noWrap w:val="false"/>
          </w:tcPr>
          <w:p>
            <w:pPr>
              <w:pBdr/>
              <w:spacing w:after="40" w:before="40" w:line="288" w:lineRule="auto"/>
              <w:ind/>
              <w:jc w:val="center"/>
              <w:rPr/>
            </w:pPr>
            <w:r>
              <w:rPr>
                <w:color w:val="000000" w:themeColor="text1"/>
              </w:rPr>
              <w:t xml:space="preserve">4.494.600.000</w:t>
            </w:r>
            <w:r/>
          </w:p>
        </w:tc>
      </w:tr>
      <w:tr>
        <w:trPr>
          <w:trHeight w:val="20"/>
        </w:trPr>
        <w:tc>
          <w:tcPr>
            <w:shd w:val="clear" w:color="000000" w:fill="ffffff"/>
            <w:tcBorders/>
            <w:tcW w:w="817"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943" w:type="dxa"/>
            <w:vAlign w:val="center"/>
            <w:vMerge w:val="restart"/>
            <w:textDirection w:val="lrTb"/>
            <w:noWrap w:val="false"/>
          </w:tcPr>
          <w:p>
            <w:pPr>
              <w:pBdr/>
              <w:spacing w:after="40" w:before="40" w:line="288" w:lineRule="auto"/>
              <w:ind/>
              <w:rPr>
                <w:b w:val="0"/>
                <w:bCs w:val="0"/>
              </w:rPr>
            </w:pPr>
            <w:r>
              <w:rPr>
                <w:b w:val="0"/>
                <w:bCs w:val="0"/>
              </w:rPr>
            </w:r>
            <w:r>
              <w:rPr>
                <w:b w:val="0"/>
                <w:bCs w:val="0"/>
              </w:rPr>
              <w:t xml:space="preserve">Đất ở nằm trong chỉ giới QHGT.</w:t>
            </w:r>
            <w:r>
              <w:rPr>
                <w:b w:val="0"/>
                <w:bCs w:val="0"/>
              </w:rPr>
            </w:r>
            <w:r>
              <w:rPr>
                <w:b w:val="0"/>
                <w:bCs w:val="0"/>
              </w:rPr>
            </w:r>
          </w:p>
        </w:tc>
        <w:tc>
          <w:tcPr>
            <w:tcBorders/>
            <w:tcW w:w="1802"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26,4</w:t>
            </w:r>
            <w:r>
              <w:rPr>
                <w:color w:val="000000" w:themeColor="text1"/>
              </w:rPr>
            </w:r>
            <w:r>
              <w:rPr>
                <w:color w:val="000000" w:themeColor="text1"/>
              </w:rPr>
            </w:r>
          </w:p>
        </w:tc>
        <w:tc>
          <w:tcPr>
            <w:shd w:val="clear" w:color="000000" w:fill="ffffff"/>
            <w:tcBorders/>
            <w:tcW w:w="2025"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7.000.000</w:t>
            </w:r>
            <w:r>
              <w:rPr>
                <w:color w:val="000000" w:themeColor="text1"/>
              </w:rPr>
            </w:r>
            <w:r>
              <w:rPr>
                <w:color w:val="000000" w:themeColor="text1"/>
              </w:rPr>
            </w:r>
          </w:p>
        </w:tc>
        <w:tc>
          <w:tcPr>
            <w:shd w:val="clear" w:color="000000" w:fill="ffffff"/>
            <w:tcBorders/>
            <w:tcW w:w="1951"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184.800.000</w:t>
            </w:r>
            <w:r>
              <w:rPr>
                <w:color w:val="000000" w:themeColor="text1"/>
              </w:rPr>
            </w:r>
            <w:r>
              <w:rPr>
                <w:color w:val="000000" w:themeColor="text1"/>
              </w:rPr>
            </w:r>
          </w:p>
        </w:tc>
      </w:tr>
      <w:tr>
        <w:trPr>
          <w:trHeight w:val="20"/>
        </w:trPr>
        <w:tc>
          <w:tcPr>
            <w:gridSpan w:val="4"/>
            <w:tcBorders/>
            <w:tcW w:w="758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51" w:type="dxa"/>
            <w:vAlign w:val="center"/>
            <w:textDirection w:val="lrTb"/>
            <w:noWrap/>
          </w:tcPr>
          <w:p>
            <w:pPr>
              <w:pBdr/>
              <w:spacing w:after="40" w:before="40" w:line="288" w:lineRule="auto"/>
              <w:ind/>
              <w:jc w:val="center"/>
              <w:rPr>
                <w:b/>
                <w:bCs/>
                <w:color w:val="000000"/>
              </w:rPr>
            </w:pPr>
            <w:r>
              <w:rPr>
                <w:b/>
                <w:bCs/>
              </w:rPr>
              <w:t xml:space="preserve">4.679.400.000</w:t>
            </w:r>
            <w:r>
              <w:rPr>
                <w:b/>
                <w:bCs/>
                <w:color w:val="000000"/>
              </w:rPr>
            </w:r>
            <w:r>
              <w:rPr>
                <w:b/>
                <w:bCs/>
                <w:color w:val="000000"/>
              </w:rPr>
            </w:r>
          </w:p>
        </w:tc>
      </w:tr>
      <w:tr>
        <w:trPr>
          <w:trHeight w:val="20"/>
        </w:trPr>
        <w:tc>
          <w:tcPr>
            <w:gridSpan w:val="4"/>
            <w:tcBorders/>
            <w:tcW w:w="758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51" w:type="dxa"/>
            <w:vAlign w:val="center"/>
            <w:textDirection w:val="lrTb"/>
            <w:noWrap/>
          </w:tcPr>
          <w:p>
            <w:pPr>
              <w:pBdr/>
              <w:spacing w:after="40" w:before="40" w:line="288" w:lineRule="auto"/>
              <w:ind/>
              <w:jc w:val="center"/>
              <w:rPr>
                <w:b/>
                <w:bCs/>
                <w:color w:val="000000"/>
              </w:rPr>
            </w:pPr>
            <w:r>
              <w:rPr>
                <w:b/>
                <w:bCs/>
                <w:color w:val="000000"/>
              </w:rPr>
              <w:t xml:space="preserve">4.679.000.000</w:t>
            </w:r>
            <w:r>
              <w:rPr>
                <w:b/>
                <w:bCs/>
                <w:color w:val="000000"/>
              </w:rPr>
            </w:r>
            <w:r>
              <w:rPr>
                <w:b/>
                <w:bCs/>
                <w:color w:val="000000"/>
              </w:rPr>
            </w:r>
          </w:p>
        </w:tc>
      </w:tr>
      <w:tr>
        <w:trPr>
          <w:trHeight w:val="20"/>
        </w:trPr>
        <w:tc>
          <w:tcPr>
            <w:gridSpan w:val="5"/>
            <w:tcBorders/>
            <w:tcW w:w="953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sáu trăm bảy mươi chín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995" w:type="dxa"/>
        <w:tblBorders/>
        <w:tblLayout w:type="fixed"/>
        <w:tblLook w:val="04A0" w:firstRow="1" w:lastRow="0" w:firstColumn="1" w:lastColumn="0" w:noHBand="0" w:noVBand="1"/>
      </w:tblPr>
      <w:tblGrid>
        <w:gridCol w:w="1134"/>
        <w:gridCol w:w="1134"/>
        <w:gridCol w:w="1134"/>
        <w:gridCol w:w="1134"/>
        <w:gridCol w:w="1134"/>
      </w:tblGrid>
      <w:tr>
        <w:trPr>
          <w:trHeight w:val="1843"/>
        </w:trPr>
        <w:tc>
          <w:tcPr>
            <w:gridSpan w:val="2"/>
            <w:tcBorders/>
            <w:tcW w:w="691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6056"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 </w:t>
            </w:r>
            <w:r>
              <w:rPr>
                <w:rStyle w:val="1037"/>
                <w:rFonts w:ascii="Times New Roman" w:hAnsi="Times New Roman"/>
                <w:color w:val="000000" w:themeColor="text1"/>
                <w:lang w:val="pt-BR"/>
              </w:rPr>
              <w:t xml:space="preserve">275/2026/0784/VFI-BC.44.A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38"/>
              <w:pBdr/>
              <w:spacing w:after="60"/>
              <w:ind w:right="-56"/>
              <w:jc w:val="right"/>
              <w:rPr>
                <w:color w:val="000000" w:themeColor="text1"/>
                <w:sz w:val="24"/>
                <w:szCs w:val="24"/>
                <w:lang w:val="vi-VN"/>
              </w:rPr>
            </w:pPr>
            <w:r>
              <w:rPr>
                <w:rStyle w:val="1037"/>
                <w:rFonts w:ascii="Times New Roman" w:hAnsi="Times New Roman"/>
                <w:i/>
                <w:color w:val="auto"/>
              </w:rPr>
              <w:t xml:space="preserve">TP. Hà 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25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6056" w:type="dxa"/>
            <w:textDirection w:val="lrTb"/>
            <w:noWrap w:val="false"/>
          </w:tcPr>
          <w:p>
            <w:pPr>
              <w:pStyle w:val="1038"/>
              <w:pBdr/>
              <w:spacing w:after="60"/>
              <w:ind/>
              <w:rPr>
                <w:rStyle w:val="1037"/>
                <w:rFonts w:ascii="Times New Roman" w:hAnsi="Times New Roman"/>
                <w:color w:val="000000" w:themeColor="text1"/>
                <w:lang w:val="pt-BR"/>
              </w:rPr>
            </w:pPr>
            <w:r>
              <w:rPr>
                <w:rStyle w:val="1037"/>
                <w:rFonts w:ascii="Times New Roman" w:hAnsi="Times New Roman"/>
                <w:color w:val="000000" w:themeColor="text1"/>
                <w:lang w:val="pt-BR"/>
              </w:rPr>
            </w:r>
            <w:r>
              <w:rPr>
                <w:rStyle w:val="1037"/>
                <w:rFonts w:ascii="Times New Roman" w:hAnsi="Times New Roman"/>
                <w:color w:val="000000" w:themeColor="text1"/>
                <w:lang w:val="pt-BR"/>
              </w:rPr>
            </w:r>
            <w:r>
              <w:rPr>
                <w:rStyle w:val="1037"/>
                <w:rFonts w:ascii="Times New Roman" w:hAnsi="Times New Roman"/>
                <w:color w:val="000000" w:themeColor="text1"/>
                <w:lang w:val="pt-BR"/>
              </w:rPr>
            </w:r>
          </w:p>
        </w:tc>
        <w:tc>
          <w:tcPr>
            <w:shd w:val="clear" w:color="auto" w:fill="auto"/>
            <w:tcBorders/>
            <w:tcMar>
              <w:left w:w="108" w:type="dxa"/>
              <w:top w:w="0" w:type="dxa"/>
              <w:right w:w="108" w:type="dxa"/>
              <w:bottom w:w="0" w:type="dxa"/>
            </w:tcMar>
            <w:tcW w:w="4084" w:type="dxa"/>
            <w:textDirection w:val="lrTb"/>
            <w:noWrap w:val="false"/>
          </w:tcPr>
          <w:p>
            <w:pPr>
              <w:pStyle w:val="1038"/>
              <w:pBdr/>
              <w:spacing w:after="60"/>
              <w:ind w:right="-56"/>
              <w:rPr>
                <w:rStyle w:val="1037"/>
                <w:rFonts w:ascii="Times New Roman" w:hAnsi="Times New Roman"/>
                <w:i/>
                <w:color w:val="auto"/>
              </w:rPr>
            </w:pPr>
            <w:r>
              <w:rPr>
                <w:rFonts w:ascii="Times New Roman" w:hAnsi="Times New Roman"/>
                <w:i/>
                <w:color w:val="auto"/>
              </w:rPr>
            </w:r>
            <w:r>
              <w:rPr>
                <w:rStyle w:val="1037"/>
                <w:rFonts w:ascii="Times New Roman" w:hAnsi="Times New Roman"/>
                <w:i/>
                <w:color w:val="auto"/>
              </w:rPr>
            </w:r>
            <w:r>
              <w:rPr>
                <w:rStyle w:val="1037"/>
                <w:rFonts w:ascii="Times New Roman" w:hAnsi="Times New Roman"/>
                <w:i/>
                <w:color w:val="auto"/>
              </w:rPr>
            </w:r>
          </w:p>
        </w:tc>
      </w:tr>
    </w:tbl>
    <w:p>
      <w:pPr>
        <w:pStyle w:val="103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275/2026/0784/VFI-CT.44.A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25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abs>
                <w:tab w:val="center" w:leader="none" w:pos="1151"/>
              </w:tabs>
              <w:spacing w:after="60" w:before="60" w:line="276" w:lineRule="auto"/>
              <w:ind/>
              <w:rPr>
                <w:bCs/>
                <w:lang w:val="pt-BR"/>
              </w:rPr>
            </w:pPr>
            <w:r>
              <w:rPr>
                <w:bCs/>
                <w:color w:val="000000" w:themeColor="text1"/>
                <w:lang w:val="pt-BR"/>
              </w:rPr>
              <w:t xml:space="preserve">Tên khách hàng</w:t>
            </w:r>
            <w:r>
              <w:rPr>
                <w:bCs/>
                <w:lang w:val="pt-BR"/>
              </w:rPr>
              <w:tab/>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Nguyễn Thế Cường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color w:val="000000" w:themeColor="text1"/>
                <w:lang w:val="vi-VN"/>
              </w:rPr>
              <w:t xml:space="preserve">03108</w:t>
            </w:r>
            <w:r>
              <w:rPr>
                <w:color w:val="000000" w:themeColor="text1"/>
                <w:highlight w:val="yellow"/>
                <w:lang w:val="vi-VN"/>
              </w:rPr>
              <w:t xml:space="preserve">2</w:t>
            </w:r>
            <w:r>
              <w:rPr>
                <w:color w:val="000000" w:themeColor="text1"/>
                <w:lang w:val="vi-VN"/>
              </w:rPr>
              <w:t xml:space="preserve">018320</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561, tờ bản đồ số: 93, có địa chỉ: Thôn Phương Chử Bắc, xã An Trường, thành p</w:t>
            </w:r>
            <w:r>
              <w:rPr>
                <w:bCs/>
                <w:color w:val="000000" w:themeColor="text1"/>
                <w:lang w:val="pt-BR"/>
              </w:rPr>
              <w:t xml:space="preserve">hố Hải Phòng theo Giấy chứng nhận quyền sử dụng đất, quyền sở tài sản gắn liền với đất số: AA 04794106, Số vào sổ cấp GCN: CN 7719 do Chi nhánh Văn phòng đăng ký đất đai An Lão cấp ngày 10/10/2025; Chủ sử dụng đất là Ông Nguyễn Thế Cường và Bà Trần Thị Hậu</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tham khảo giá trị tài sản phục vụ công tác xử lý nợ hoặc xử lý tài sản theo quy định của pháp luật</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An Trường, Thành phố Hải Phòng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20.845833333333, 106.55619444444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9"/>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tài sản gắn liền với đất số: AA 04794106, Số vào sổ cấp GCN: CN 7719 do Chi nhánh Văn phòng đăng ký đất đai An Lão cấp ngày 10/10/2025; Chủ sử dụng đất là Ông Nguyễn Thế Cường và Bà Trần Thị Hậu</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275/2026/0784/VFI-HĐTĐ.44.A ngày 25/5/2026 giữa Ông Nguyễn Thế Cường với Công ty Cổ phần Thẩm định và Đầu tư Tài chính Hoa Sen;</w:t>
      </w:r>
      <w:r>
        <w:rPr>
          <w:b/>
          <w:lang w:val="pt-BR"/>
        </w:rPr>
      </w:r>
      <w:r>
        <w:rPr>
          <w:b/>
          <w:lang w:val="pt-BR"/>
        </w:rPr>
      </w:r>
    </w:p>
    <w:p>
      <w:pPr>
        <w:pStyle w:val="103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line="360" w:lineRule="atLeast"/>
        <w:ind w:right="0" w:firstLine="283" w:left="0"/>
        <w:jc w:val="both"/>
        <w:rPr>
          <w:rFonts w:ascii="Times New Roman" w:hAnsi="Times New Roman" w:cs="Times New Roman"/>
        </w:rPr>
      </w:pPr>
      <w:r>
        <w:rPr>
          <w:rFonts w:ascii="Times New Roman" w:hAnsi="Times New Roman" w:eastAsia="Times New Roman" w:cs="Times New Roman"/>
          <w:color w:val="0a0a0a"/>
          <w:sz w:val="24"/>
        </w:rPr>
        <w:t xml:space="preserve">Thị trường </w:t>
      </w:r>
      <w:r>
        <w:rPr>
          <w:rFonts w:ascii="Times New Roman" w:hAnsi="Times New Roman" w:eastAsia="Times New Roman" w:cs="Times New Roman"/>
          <w:b/>
          <w:color w:val="0a0a0a"/>
          <w:sz w:val="24"/>
        </w:rPr>
        <w:t xml:space="preserve">bất động sản (BĐS) Hải Phòng</w:t>
      </w:r>
      <w:r>
        <w:rPr>
          <w:rFonts w:ascii="Times New Roman" w:hAnsi="Times New Roman" w:eastAsia="Times New Roman" w:cs="Times New Roman"/>
          <w:color w:val="0a0a0a"/>
          <w:sz w:val="24"/>
        </w:rPr>
        <w:t xml:space="preserve"> đang </w:t>
      </w:r>
      <w:r>
        <w:rPr>
          <w:rFonts w:ascii="Times New Roman" w:hAnsi="Times New Roman" w:eastAsia="Times New Roman" w:cs="Times New Roman"/>
          <w:b/>
          <w:color w:val="0a0a0a"/>
          <w:sz w:val="24"/>
        </w:rPr>
        <w:t xml:space="preserve">là điểm sáng năng động bậc nhất khu vực phía Bắc, dịch chuyển mạnh mẽ từ trạng thái đầu cơ sang tăng trưởng bền vững nhờ nền tảng kinh tế và hạ tầng bứt phá</w:t>
      </w:r>
      <w:r>
        <w:rPr>
          <w:rFonts w:ascii="Times New Roman" w:hAnsi="Times New Roman" w:eastAsia="Times New Roman" w:cs="Times New Roman"/>
          <w:color w:val="0a0a0a"/>
          <w:sz w:val="24"/>
        </w:rPr>
        <w:t xml:space="preserv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360" w:lineRule="atLeast"/>
        <w:ind w:right="0" w:firstLine="283" w:left="0"/>
        <w:jc w:val="both"/>
        <w:rPr>
          <w:rFonts w:ascii="Times New Roman" w:hAnsi="Times New Roman" w:cs="Times New Roman"/>
        </w:rPr>
      </w:pPr>
      <w:r>
        <w:rPr>
          <w:rFonts w:ascii="Times New Roman" w:hAnsi="Times New Roman" w:eastAsia="Times New Roman" w:cs="Times New Roman"/>
          <w:color w:val="0a0a0a"/>
          <w:sz w:val="24"/>
        </w:rPr>
        <w:t xml:space="preserve">Dưới đây là bức tranh tổng quan toàn diện về thị trường này:</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42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30"/>
        </w:rPr>
        <w:t xml:space="preserve">Động Lực Phát Triển Bản Lề</w:t>
      </w:r>
      <w:r>
        <w:rPr>
          <w:rFonts w:ascii="Times New Roman" w:hAnsi="Times New Roman" w:cs="Times New Roman"/>
        </w:rPr>
      </w:r>
      <w:r>
        <w:rPr>
          <w:rFonts w:ascii="Times New Roman" w:hAnsi="Times New Roman" w:cs="Times New Roman"/>
        </w:rPr>
      </w:r>
    </w:p>
    <w:p>
      <w:pPr>
        <w:pStyle w:val="1039"/>
        <w:numPr>
          <w:ilvl w:val="0"/>
          <w:numId w:val="39"/>
        </w:numPr>
        <w:pBdr>
          <w:top w:val="none" w:color="000000" w:sz="4" w:space="0"/>
          <w:left w:val="none" w:color="000000" w:sz="4" w:space="0"/>
          <w:bottom w:val="none" w:color="000000" w:sz="4" w:space="0"/>
          <w:right w:val="none" w:color="000000" w:sz="4" w:space="0"/>
        </w:pBdr>
        <w:spacing w:after="0" w:before="0"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Kinh tế dẫn đầu</w:t>
      </w:r>
      <w:r>
        <w:rPr>
          <w:rFonts w:ascii="Times New Roman" w:hAnsi="Times New Roman" w:eastAsia="Times New Roman" w:cs="Times New Roman"/>
          <w:color w:val="0a0a0a"/>
          <w:sz w:val="24"/>
        </w:rPr>
        <w:t xml:space="preserve">: Tốc độ tăng trưởng GRDP của Hải Phòng liên tục nằm trong top đầu cả nước (đạt mức tăng trưởng ấn tượng khoảng 11,8%), thúc đẩy nhu cầu nhà ở thực lớn.</w:t>
      </w:r>
      <w:r>
        <w:rPr>
          <w:rFonts w:ascii="Times New Roman" w:hAnsi="Times New Roman" w:cs="Times New Roman"/>
        </w:rPr>
      </w:r>
      <w:r>
        <w:rPr>
          <w:rFonts w:ascii="Times New Roman" w:hAnsi="Times New Roman" w:cs="Times New Roman"/>
        </w:rPr>
      </w:r>
    </w:p>
    <w:p>
      <w:pPr>
        <w:pStyle w:val="1039"/>
        <w:numPr>
          <w:ilvl w:val="0"/>
          <w:numId w:val="39"/>
        </w:numPr>
        <w:pBdr>
          <w:top w:val="none" w:color="000000" w:sz="4" w:space="0"/>
          <w:left w:val="none" w:color="000000" w:sz="4" w:space="0"/>
          <w:bottom w:val="none" w:color="000000" w:sz="4" w:space="0"/>
          <w:right w:val="none" w:color="000000" w:sz="4" w:space="0"/>
        </w:pBdr>
        <w:spacing w:after="0" w:before="0"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Hạ tầng kết nối</w:t>
      </w:r>
      <w:r>
        <w:rPr>
          <w:rFonts w:ascii="Times New Roman" w:hAnsi="Times New Roman" w:eastAsia="Times New Roman" w:cs="Times New Roman"/>
          <w:color w:val="0a0a0a"/>
          <w:sz w:val="24"/>
        </w:rPr>
        <w:t xml:space="preserve">: Thành phố tập trung dòng vốn đầu tư công khổng lồ vào các trục đường vành đai, hệ thống cầu vượt biển, mở rộng </w:t>
      </w:r>
      <w:hyperlink r:id="rId17" w:tooltip="https://senvangdata.com.vn/phan-tich-quy-hoach-va-tiem-nang-phat-trien-bat-dong-san-thanh-pho-hai-phong.html" w:history="1">
        <w:r>
          <w:rPr>
            <w:rStyle w:val="1029"/>
            <w:rFonts w:ascii="Times New Roman" w:hAnsi="Times New Roman" w:eastAsia="Times New Roman" w:cs="Times New Roman"/>
            <w:b/>
            <w:color w:val="1558d6"/>
            <w:sz w:val="24"/>
            <w:u w:val="single"/>
          </w:rPr>
          <w:t xml:space="preserve">Cảng hàng không quốc tế Cát Bi</w:t>
        </w:r>
      </w:hyperlink>
      <w:r>
        <w:rPr>
          <w:rFonts w:ascii="Times New Roman" w:hAnsi="Times New Roman" w:eastAsia="Times New Roman" w:cs="Times New Roman"/>
          <w:color w:val="0a0a0a"/>
          <w:sz w:val="24"/>
        </w:rPr>
        <w:t xml:space="preserve"> và cụm cảng nước sâu Lạch Huyện.</w:t>
      </w:r>
      <w:r>
        <w:rPr>
          <w:rFonts w:ascii="Times New Roman" w:hAnsi="Times New Roman" w:cs="Times New Roman"/>
        </w:rPr>
      </w:r>
      <w:r>
        <w:rPr>
          <w:rFonts w:ascii="Times New Roman" w:hAnsi="Times New Roman" w:cs="Times New Roman"/>
        </w:rPr>
      </w:r>
    </w:p>
    <w:p>
      <w:pPr>
        <w:pStyle w:val="1039"/>
        <w:numPr>
          <w:ilvl w:val="0"/>
          <w:numId w:val="39"/>
        </w:numPr>
        <w:pBdr>
          <w:top w:val="none" w:color="000000" w:sz="4" w:space="0"/>
          <w:left w:val="none" w:color="000000" w:sz="4" w:space="0"/>
          <w:bottom w:val="none" w:color="000000" w:sz="4" w:space="0"/>
          <w:right w:val="none" w:color="000000" w:sz="4" w:space="0"/>
        </w:pBdr>
        <w:spacing w:after="0" w:before="0"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Công nghiệp bùng nổ</w:t>
      </w:r>
      <w:r>
        <w:rPr>
          <w:rFonts w:ascii="Times New Roman" w:hAnsi="Times New Roman" w:eastAsia="Times New Roman" w:cs="Times New Roman"/>
          <w:color w:val="0a0a0a"/>
          <w:sz w:val="24"/>
        </w:rPr>
        <w:t xml:space="preserve">: Làn sóng FDI đổ vào các khu công nghiệp (KCN) lớn thu hút hàng vạn chuyên gia, kỹ sư và lao động dịch chuyển về đây sinh sống.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42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30"/>
        </w:rPr>
        <w:t xml:space="preserve">Tình Hình Các Phân Khúc Chủ Lực</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1. Đất nền và Thổ cư (Vùng ven &amp; Trong dân)</w:t>
      </w:r>
      <w:r>
        <w:rPr>
          <w:rFonts w:ascii="Times New Roman" w:hAnsi="Times New Roman" w:cs="Times New Roman"/>
        </w:rPr>
      </w:r>
      <w:r>
        <w:rPr>
          <w:rFonts w:ascii="Times New Roman" w:hAnsi="Times New Roman" w:cs="Times New Roman"/>
        </w:rPr>
      </w:r>
    </w:p>
    <w:p>
      <w:pPr>
        <w:pStyle w:val="1039"/>
        <w:numPr>
          <w:ilvl w:val="0"/>
          <w:numId w:val="40"/>
        </w:numPr>
        <w:pBdr>
          <w:top w:val="none" w:color="000000" w:sz="4" w:space="0"/>
          <w:left w:val="none" w:color="000000" w:sz="4" w:space="0"/>
          <w:bottom w:val="none" w:color="000000" w:sz="4" w:space="0"/>
          <w:right w:val="none" w:color="000000" w:sz="4" w:space="0"/>
        </w:pBdr>
        <w:spacing w:after="0" w:before="0"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Xu hướng</w:t>
      </w:r>
      <w:r>
        <w:rPr>
          <w:rFonts w:ascii="Times New Roman" w:hAnsi="Times New Roman" w:eastAsia="Times New Roman" w:cs="Times New Roman"/>
          <w:color w:val="0a0a0a"/>
          <w:sz w:val="24"/>
        </w:rPr>
        <w:t xml:space="preserve">: Giao dịch ổn định, thị trường ấm dần lên và giữ nhịp thanh khoản tốt.</w:t>
      </w:r>
      <w:r>
        <w:rPr>
          <w:rFonts w:ascii="Times New Roman" w:hAnsi="Times New Roman" w:cs="Times New Roman"/>
        </w:rPr>
      </w:r>
      <w:r>
        <w:rPr>
          <w:rFonts w:ascii="Times New Roman" w:hAnsi="Times New Roman" w:cs="Times New Roman"/>
        </w:rPr>
      </w:r>
    </w:p>
    <w:p>
      <w:pPr>
        <w:pStyle w:val="1039"/>
        <w:numPr>
          <w:ilvl w:val="0"/>
          <w:numId w:val="40"/>
        </w:numPr>
        <w:pBdr>
          <w:top w:val="none" w:color="000000" w:sz="4" w:space="0"/>
          <w:left w:val="none" w:color="000000" w:sz="4" w:space="0"/>
          <w:bottom w:val="none" w:color="000000" w:sz="4" w:space="0"/>
          <w:right w:val="none" w:color="000000" w:sz="4" w:space="0"/>
        </w:pBdr>
        <w:spacing w:after="0" w:before="0"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Biến động giá</w:t>
      </w:r>
      <w:r>
        <w:rPr>
          <w:rFonts w:ascii="Times New Roman" w:hAnsi="Times New Roman" w:eastAsia="Times New Roman" w:cs="Times New Roman"/>
          <w:color w:val="0a0a0a"/>
          <w:sz w:val="24"/>
        </w:rPr>
        <w:t xml:space="preserve">: Giá có xu hướng tăng nhẹ, điều chỉnh dịch chuyển về giá trị thực thay vì sốt ảo như các chu kỳ trước.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2. BĐS Đô thị và Nhà ở Cao cấp</w:t>
      </w:r>
      <w:r>
        <w:rPr>
          <w:rFonts w:ascii="Times New Roman" w:hAnsi="Times New Roman" w:cs="Times New Roman"/>
        </w:rPr>
      </w:r>
      <w:r>
        <w:rPr>
          <w:rFonts w:ascii="Times New Roman" w:hAnsi="Times New Roman" w:cs="Times New Roman"/>
        </w:rPr>
      </w:r>
    </w:p>
    <w:p>
      <w:pPr>
        <w:pStyle w:val="1039"/>
        <w:numPr>
          <w:ilvl w:val="0"/>
          <w:numId w:val="41"/>
        </w:numPr>
        <w:pBdr>
          <w:top w:val="none" w:color="000000" w:sz="4" w:space="0"/>
          <w:left w:val="none" w:color="000000" w:sz="4" w:space="0"/>
          <w:bottom w:val="none" w:color="000000" w:sz="4" w:space="0"/>
          <w:right w:val="none" w:color="000000" w:sz="4" w:space="0"/>
        </w:pBdr>
        <w:spacing w:after="0" w:before="0"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Xu hướng</w:t>
      </w:r>
      <w:r>
        <w:rPr>
          <w:rFonts w:ascii="Times New Roman" w:hAnsi="Times New Roman" w:eastAsia="Times New Roman" w:cs="Times New Roman"/>
          <w:color w:val="0a0a0a"/>
          <w:sz w:val="24"/>
        </w:rPr>
        <w:t xml:space="preserve">: Các "ông lớn" như Vinhomes liên tục triển khai và tung ra thị trường các đại dự án đồng bộ.</w:t>
      </w:r>
      <w:r>
        <w:rPr>
          <w:rFonts w:ascii="Times New Roman" w:hAnsi="Times New Roman" w:cs="Times New Roman"/>
        </w:rPr>
      </w:r>
      <w:r>
        <w:rPr>
          <w:rFonts w:ascii="Times New Roman" w:hAnsi="Times New Roman" w:cs="Times New Roman"/>
        </w:rPr>
      </w:r>
    </w:p>
    <w:p>
      <w:pPr>
        <w:pStyle w:val="1039"/>
        <w:numPr>
          <w:ilvl w:val="0"/>
          <w:numId w:val="41"/>
        </w:numPr>
        <w:pBdr>
          <w:top w:val="none" w:color="000000" w:sz="4" w:space="0"/>
          <w:left w:val="none" w:color="000000" w:sz="4" w:space="0"/>
          <w:bottom w:val="none" w:color="000000" w:sz="4" w:space="0"/>
          <w:right w:val="none" w:color="000000" w:sz="4" w:space="0"/>
        </w:pBdr>
        <w:spacing w:after="0" w:before="0"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Dòng sản phẩm</w:t>
      </w:r>
      <w:r>
        <w:rPr>
          <w:rFonts w:ascii="Times New Roman" w:hAnsi="Times New Roman" w:eastAsia="Times New Roman" w:cs="Times New Roman"/>
          <w:color w:val="0a0a0a"/>
          <w:sz w:val="24"/>
        </w:rPr>
        <w:t xml:space="preserve">: Các khu đô thị tích hợp đa tiện ích (All-in-one), biệt thự sinh thái và căn hộ cao cấp chiếm sóng, hướng tới tầng lớp trung lưu tại Hải Phòng và nhà đầu tư Hà Nội.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3. BĐS Công nghiệp &amp; Phụ trợ</w:t>
      </w:r>
      <w:r>
        <w:rPr>
          <w:rFonts w:ascii="Times New Roman" w:hAnsi="Times New Roman" w:cs="Times New Roman"/>
        </w:rPr>
      </w:r>
      <w:r>
        <w:rPr>
          <w:rFonts w:ascii="Times New Roman" w:hAnsi="Times New Roman" w:cs="Times New Roman"/>
        </w:rPr>
      </w:r>
    </w:p>
    <w:p>
      <w:pPr>
        <w:pStyle w:val="1039"/>
        <w:numPr>
          <w:ilvl w:val="0"/>
          <w:numId w:val="42"/>
        </w:numPr>
        <w:pBdr>
          <w:top w:val="none" w:color="000000" w:sz="4" w:space="0"/>
          <w:left w:val="none" w:color="000000" w:sz="4" w:space="0"/>
          <w:bottom w:val="none" w:color="000000" w:sz="4" w:space="0"/>
          <w:right w:val="none" w:color="000000" w:sz="4" w:space="0"/>
        </w:pBdr>
        <w:spacing w:after="0" w:before="0" w:line="360" w:lineRule="atLeast"/>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Xu hướng</w:t>
      </w:r>
      <w:r>
        <w:rPr>
          <w:rFonts w:ascii="Times New Roman" w:hAnsi="Times New Roman" w:eastAsia="Times New Roman" w:cs="Times New Roman"/>
          <w:color w:val="0a0a0a"/>
          <w:sz w:val="24"/>
        </w:rPr>
        <w:t xml:space="preserve">: Đây là phân khúc có dư địa tăng trưởng bền vững nhất nhờ quỹ đất phát triển KCN lớn.</w:t>
      </w:r>
      <w:r>
        <w:rPr>
          <w:rFonts w:ascii="Times New Roman" w:hAnsi="Times New Roman" w:cs="Times New Roman"/>
        </w:rPr>
      </w:r>
      <w:r>
        <w:rPr>
          <w:rFonts w:ascii="Times New Roman" w:hAnsi="Times New Roman" w:cs="Times New Roman"/>
        </w:rPr>
      </w:r>
    </w:p>
    <w:p>
      <w:pPr>
        <w:pBdr/>
        <w:tabs>
          <w:tab w:val="left" w:leader="none" w:pos="426"/>
        </w:tabs>
        <w:spacing w:after="120" w:before="120" w:line="276" w:lineRule="auto"/>
        <w:ind w:right="0" w:firstLine="283" w:left="0"/>
        <w:jc w:val="both"/>
        <w:rPr>
          <w:bCs/>
          <w:i/>
          <w:lang w:val="pt-BR"/>
        </w:rPr>
      </w:pPr>
      <w:r>
        <w:rPr>
          <w:rFonts w:ascii="Times New Roman" w:hAnsi="Times New Roman" w:eastAsia="Times New Roman" w:cs="Times New Roman"/>
          <w:b/>
          <w:color w:val="0a0a0a"/>
          <w:sz w:val="24"/>
        </w:rPr>
        <w:t xml:space="preserve">Nhu cầu phụ trợ</w:t>
      </w:r>
      <w:r>
        <w:rPr>
          <w:rFonts w:ascii="Times New Roman" w:hAnsi="Times New Roman" w:eastAsia="Times New Roman" w:cs="Times New Roman"/>
          <w:color w:val="0a0a0a"/>
          <w:sz w:val="24"/>
        </w:rPr>
        <w:t xml:space="preserve">: Kéo theo sự bùng nổ của mô hình nhà xưởng cho thuê, BĐS dòng tiền (căn hộ dịch vụ, nhà trọ cao cấp cho chuyên gia nước ngoài).</w:t>
      </w:r>
      <w:r>
        <w:rPr>
          <w:bCs/>
          <w:i/>
          <w:lang w:val="pt-BR"/>
        </w:rPr>
      </w:r>
      <w:r>
        <w:rPr>
          <w:bCs/>
          <w:i/>
          <w:lang w:val="pt-BR"/>
        </w:rPr>
      </w:r>
    </w:p>
    <w:p>
      <w:pPr>
        <w:pStyle w:val="103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9"/>
        <w:gridCol w:w="2222"/>
        <w:gridCol w:w="1953"/>
        <w:gridCol w:w="2259"/>
        <w:gridCol w:w="2694"/>
      </w:tblGrid>
      <w:tr>
        <w:trPr>
          <w:trHeight w:val="1448"/>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b/>
                <w:color w:val="000000"/>
                <w:sz w:val="24"/>
              </w:rPr>
              <w:t xml:space="preserve">Quyền sử dụng đất tại thửa đất số: 561, tờ bản đồ số: 93, có địa chỉ: Thôn Phương Chử Bắc, xã An Trường, thành phố Hải Phòng theo Giấy chứng nhận quyền sử dụng đất, quyền sở tài sản gắn liền với đất số: AA 04794106, Số vào sổ cấp GCN: CN 7719 do Chi nhánh</w:t>
            </w:r>
            <w:r>
              <w:rPr>
                <w:rFonts w:ascii="Times New Roman" w:hAnsi="Times New Roman" w:eastAsia="Times New Roman" w:cs="Times New Roman"/>
                <w:b/>
                <w:color w:val="000000"/>
                <w:sz w:val="24"/>
              </w:rPr>
              <w:t xml:space="preserve"> Văn phòng đăng ký đất đai An Lão cấp ngày 10/10/2025; Chủ sử dụng đất là Ông Nguyễn Thế Cường và Bà Trần Thị Hậu.</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Thửa đất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561</w:t>
            </w:r>
            <w:r/>
          </w:p>
        </w:tc>
        <w:tc>
          <w:tcPr>
            <w:shd w:val="clear" w:color="ffffff" w:fill="ffffff"/>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Tờ bản đồ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93</w:t>
            </w:r>
            <w:r/>
          </w:p>
        </w:tc>
      </w:tr>
      <w:tr>
        <w:trPr>
          <w:trHeight w:val="264"/>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6"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Thôn Phương Chử Bắc, xã An Trường, thành phố Hải Phòng</w:t>
            </w:r>
            <w:r/>
          </w:p>
        </w:tc>
      </w:tr>
      <w:tr>
        <w:trPr>
          <w:trHeight w:val="54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224,4</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Sử dụng chung cả vợ và chồng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sz w:val="24"/>
                <w:szCs w:val="24"/>
              </w:rPr>
            </w:pPr>
            <w:r>
              <w:rPr>
                <w:rFonts w:ascii="Times New Roman" w:hAnsi="Times New Roman" w:eastAsia="Times New Roman" w:cs="Times New Roman"/>
                <w:color w:val="000000"/>
                <w:sz w:val="24"/>
                <w:szCs w:val="24"/>
              </w:rPr>
              <w:t xml:space="preserve">Đất ở tại nông thôn</w:t>
            </w:r>
            <w:r>
              <w:rPr>
                <w:sz w:val="24"/>
                <w:szCs w:val="24"/>
              </w:rPr>
            </w:r>
            <w:r>
              <w:rPr>
                <w:sz w:val="24"/>
                <w:szCs w:val="24"/>
              </w:rP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sz w:val="24"/>
                <w:szCs w:val="24"/>
              </w:rPr>
            </w:pPr>
            <w:r>
              <w:rPr>
                <w:rFonts w:ascii="Times New Roman" w:hAnsi="Times New Roman" w:eastAsia="Times New Roman" w:cs="Times New Roman"/>
                <w:color w:val="000000"/>
                <w:sz w:val="24"/>
                <w:szCs w:val="24"/>
              </w:rPr>
              <w:t xml:space="preserve">Thời hạn sử dụng:</w:t>
            </w:r>
            <w:r>
              <w:rPr>
                <w:sz w:val="24"/>
                <w:szCs w:val="24"/>
              </w:rPr>
            </w:r>
            <w:r>
              <w:rPr>
                <w:sz w:val="24"/>
                <w:szCs w:val="24"/>
              </w:rPr>
            </w:r>
          </w:p>
        </w:tc>
        <w:tc>
          <w:tcPr>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Lâu dài</w:t>
            </w:r>
            <w:r/>
          </w:p>
        </w:tc>
      </w:tr>
      <w:tr>
        <w:trPr>
          <w:trHeight w:val="399"/>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Ghi chú:</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bCs/>
                <w:i/>
              </w:rPr>
            </w:pPr>
            <w:r>
              <w:rPr>
                <w:rFonts w:ascii="Times New Roman" w:hAnsi="Times New Roman" w:eastAsia="Times New Roman" w:cs="Times New Roman"/>
                <w:i/>
                <w:iCs/>
                <w:color w:val="000000"/>
                <w:sz w:val="24"/>
              </w:rPr>
              <w:t xml:space="preserve">Thửa đất này được chỉnh lý từ thửa đất số 145 và thửa đất số 147, tờ bản đồ số 171-B-4 (xã Trường Thành cũ).</w:t>
            </w:r>
            <w:r>
              <w:rPr>
                <w:i/>
                <w:iCs/>
              </w:rPr>
            </w:r>
            <w:r>
              <w:rPr>
                <w:bCs/>
                <w:i/>
              </w:rPr>
            </w:r>
          </w:p>
        </w:tc>
      </w:tr>
      <w:tr>
        <w:trPr>
          <w:trHeight w:val="41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bCs/>
                <w:i/>
              </w:rPr>
            </w:pPr>
            <w:r>
              <w:rPr>
                <w:rFonts w:ascii="Times New Roman" w:hAnsi="Times New Roman" w:eastAsia="Times New Roman" w:cs="Times New Roman"/>
                <w:i/>
                <w:iCs/>
                <w:color w:val="000000"/>
                <w:sz w:val="24"/>
              </w:rPr>
              <w:t xml:space="preserve">Thửa đất có 26,4m</w:t>
            </w:r>
            <w:r>
              <w:rPr>
                <w:rFonts w:ascii="Times New Roman" w:hAnsi="Times New Roman" w:eastAsia="Times New Roman" w:cs="Times New Roman"/>
                <w:i/>
                <w:iCs/>
                <w:color w:val="000000"/>
                <w:sz w:val="24"/>
                <w:vertAlign w:val="superscript"/>
              </w:rPr>
              <w:t xml:space="preserve">2</w:t>
            </w:r>
            <w:r>
              <w:rPr>
                <w:rFonts w:ascii="Times New Roman" w:hAnsi="Times New Roman" w:eastAsia="Times New Roman" w:cs="Times New Roman"/>
                <w:i/>
                <w:iCs/>
                <w:color w:val="000000"/>
                <w:sz w:val="24"/>
              </w:rPr>
              <w:t xml:space="preserve"> đất ở nằm trong chỉ giới quy hoạch giao thông.</w:t>
            </w:r>
            <w:r>
              <w:rPr>
                <w:i/>
                <w:iCs/>
              </w:rPr>
            </w:r>
            <w:r>
              <w:rPr>
                <w:bCs/>
                <w:i/>
              </w:rP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Tại thời điểm thẩm định giá, theo thông tin trên GCN QSDĐ số: AA 04794106, thửa đất có 26,4m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nằm trong chỉ giới quy hoạch giao thông.</w:t>
            </w:r>
            <w:r/>
          </w:p>
        </w:tc>
      </w:tr>
      <w:tr>
        <w:trPr>
          <w:trHeight w:val="4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Vị trí; Giao thông:</w:t>
            </w:r>
            <w:r/>
          </w:p>
        </w:tc>
      </w:tr>
      <w:tr>
        <w:trPr>
          <w:trHeight w:val="42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6"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Thôn Phương Chử Bắc, xã An Trường, thành phố Hải Phòng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Đường liên thôn</w:t>
            </w:r>
            <w:r/>
          </w:p>
        </w:tc>
        <w:tc>
          <w:tcPr>
            <w:tcBorders>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01 mặt tiền</w:t>
            </w:r>
            <w:r/>
          </w:p>
        </w:tc>
      </w:tr>
      <w:tr>
        <w:trPr>
          <w:trHeight w:val="992"/>
        </w:trPr>
        <w:tc>
          <w:tcPr>
            <w:tcBorders>
              <w:left w:val="single" w:color="000000" w:sz="6" w:space="0"/>
              <w:bottom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color w:val="ff0000"/>
                <w:highlight w:val="white"/>
              </w:rPr>
            </w:pPr>
            <w:r>
              <w:rPr>
                <w:rFonts w:ascii="Times New Roman" w:hAnsi="Times New Roman" w:eastAsia="Times New Roman" w:cs="Times New Roman"/>
                <w:color w:val="ff0000"/>
                <w:sz w:val="24"/>
                <w:highlight w:val="white"/>
              </w:rPr>
              <w:t xml:space="preserve">6</w:t>
            </w:r>
            <w:r>
              <w:rPr>
                <w:rFonts w:ascii="Times New Roman" w:hAnsi="Times New Roman" w:eastAsia="Times New Roman" w:cs="Times New Roman"/>
                <w:color w:val="ff0000"/>
                <w:sz w:val="24"/>
                <w:highlight w:val="white"/>
              </w:rPr>
              <w:t xml:space="preserve">m</w:t>
            </w:r>
            <w:r>
              <w:rPr>
                <w:color w:val="ff0000"/>
                <w:highlight w:val="white"/>
              </w:rPr>
            </w:r>
            <w:r>
              <w:rPr>
                <w:color w:val="ff0000"/>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jc w:val="both"/>
              <w:rPr>
                <w:highlight w:val="white"/>
              </w:rPr>
            </w:pPr>
            <w:r>
              <w:rPr>
                <w:rFonts w:ascii="Times New Roman" w:hAnsi="Times New Roman" w:eastAsia="Times New Roman" w:cs="Times New Roman"/>
                <w:color w:val="000000"/>
                <w:sz w:val="24"/>
                <w:highlight w:val="white"/>
              </w:rPr>
              <w:t xml:space="preserve">Mặt cắt đường/ngõ trước mặt tài sản thẩm định giá:</w:t>
            </w:r>
            <w:r>
              <w:rPr>
                <w:highlight w:val="white"/>
              </w:rPr>
            </w:r>
            <w:r>
              <w:rPr>
                <w:highlight w:val="white"/>
              </w:rPr>
            </w:r>
          </w:p>
        </w:tc>
        <w:tc>
          <w:tcPr>
            <w:tcBorders>
              <w:top w:val="single" w:color="000000" w:sz="6" w:space="0"/>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color w:val="ff0000"/>
                <w:highlight w:val="white"/>
              </w:rPr>
            </w:pPr>
            <w:r>
              <w:rPr>
                <w:rFonts w:ascii="Times New Roman" w:hAnsi="Times New Roman" w:eastAsia="Times New Roman" w:cs="Times New Roman"/>
                <w:color w:val="ff0000"/>
                <w:sz w:val="24"/>
                <w:highlight w:val="white"/>
              </w:rPr>
              <w:t xml:space="preserve">6</w:t>
            </w:r>
            <w:r>
              <w:rPr>
                <w:rFonts w:ascii="Times New Roman" w:hAnsi="Times New Roman" w:eastAsia="Times New Roman" w:cs="Times New Roman"/>
                <w:color w:val="ff0000"/>
                <w:sz w:val="24"/>
                <w:highlight w:val="white"/>
              </w:rPr>
              <w:t xml:space="preserve">m</w:t>
            </w:r>
            <w:r>
              <w:rPr>
                <w:color w:val="ff0000"/>
                <w:highlight w:val="white"/>
              </w:rPr>
            </w:r>
            <w:r>
              <w:rPr>
                <w:color w:val="ff0000"/>
                <w:highlight w:val="white"/>
              </w:rPr>
            </w:r>
          </w:p>
        </w:tc>
      </w:tr>
      <w:tr>
        <w:trPr>
          <w:trHeight w:val="58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6"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Tiếp giáp đường An Trường, cách QL10 khoảng 600m.</w:t>
            </w:r>
            <w:r/>
          </w:p>
        </w:tc>
      </w:tr>
      <w:tr>
        <w:trPr>
          <w:trHeight w:val="694"/>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906"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 Hướng Tây Nam: tiếp giáp đường giao thông;</w:t>
              <w:br/>
              <w:t xml:space="preserve">+ Các hường còn lại: tiếp giáp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Vị trí trên bản đồ vệ tinh: </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jc w:val="center"/>
              <w:rPr/>
            </w:pPr>
            <w:r>
              <mc:AlternateContent>
                <mc:Choice Requires="wpg">
                  <w:drawing>
                    <wp:inline xmlns:wp="http://schemas.openxmlformats.org/drawingml/2006/wordprocessingDrawing" distT="0" distB="0" distL="0" distR="0">
                      <wp:extent cx="5548312" cy="256321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015795" name=""/>
                              <pic:cNvPicPr>
                                <a:picLocks noChangeAspect="1"/>
                              </pic:cNvPicPr>
                              <pic:nvPr/>
                            </pic:nvPicPr>
                            <pic:blipFill rotWithShape="1">
                              <a:blip r:embed="rId18"/>
                              <a:stretch/>
                            </pic:blipFill>
                            <pic:spPr bwMode="auto">
                              <a:xfrm flipH="0" flipV="0">
                                <a:off x="0" y="0"/>
                                <a:ext cx="5548312" cy="25632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6.87pt;height:201.83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224,4</w:t>
            </w:r>
            <w:r/>
          </w:p>
        </w:tc>
        <w:tc>
          <w:tcPr>
            <w:shd w:val="clear" w:color="ffffff" w:fill="ffffff"/>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0</w:t>
            </w: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3,9</w:t>
            </w:r>
            <w:r/>
          </w:p>
        </w:tc>
        <w:tc>
          <w:tcPr>
            <w:shd w:val="clear" w:color="ffffff" w:fill="ffffff"/>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Chiều sâu PHQH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29,86</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Đa giác khác</w:t>
            </w:r>
            <w:r/>
          </w:p>
        </w:tc>
        <w:tc>
          <w:tcPr>
            <w:shd w:val="clear" w:color="ffffff" w:fill="ffffff"/>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Tây Nam</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Ổn định</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Tốt</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953"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259"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694" w:type="dxa"/>
            <w:vAlign w:val="center"/>
            <w:textDirection w:val="lrTb"/>
            <w:noWrap w:val="false"/>
          </w:tcPr>
          <w:p>
            <w:pPr>
              <w:pBdr/>
              <w:spacing w:after="0" w:before="0" w:line="240" w:lineRule="auto"/>
              <w:ind w:right="57" w:firstLine="0" w:left="142"/>
              <w:jc w:val="center"/>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rPr/>
            </w:pPr>
            <w:r>
              <w:rPr>
                <w:rFonts w:ascii="Times New Roman" w:hAnsi="Times New Roman" w:eastAsia="Times New Roman" w:cs="Times New Roman"/>
                <w:b/>
                <w:color w:val="000000"/>
                <w:sz w:val="24"/>
              </w:rPr>
              <w:t xml:space="preserve"> Tài sản gắn liền với đất: </w:t>
            </w:r>
            <w:r/>
          </w:p>
        </w:tc>
      </w:tr>
      <w:tr>
        <w:trPr>
          <w:trHeight w:val="992"/>
        </w:trPr>
        <w:tc>
          <w:tcPr>
            <w:tcBorders>
              <w:left w:val="single" w:color="000000" w:sz="6" w:space="0"/>
              <w:bottom w:val="single" w:color="000000" w:sz="6" w:space="0"/>
              <w:right w:val="single" w:color="000000" w:sz="6" w:space="0"/>
            </w:tcBorders>
            <w:tcMar>
              <w:left w:w="0" w:type="dxa"/>
              <w:top w:w="0" w:type="dxa"/>
              <w:right w:w="0" w:type="dxa"/>
              <w:bottom w:w="0" w:type="dxa"/>
            </w:tcMar>
            <w:tcW w:w="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27" w:type="dxa"/>
            <w:vAlign w:val="center"/>
            <w:textDirection w:val="lrTb"/>
            <w:noWrap w:val="false"/>
          </w:tcPr>
          <w:p>
            <w:pPr>
              <w:pBdr/>
              <w:spacing w:after="0" w:before="0" w:line="240" w:lineRule="auto"/>
              <w:ind w:right="57" w:firstLine="0" w:left="142"/>
              <w:jc w:val="both"/>
              <w:rPr/>
            </w:pPr>
            <w:r>
              <w:rPr>
                <w:rFonts w:ascii="Times New Roman" w:hAnsi="Times New Roman" w:eastAsia="Times New Roman" w:cs="Times New Roman"/>
                <w:color w:val="000000"/>
                <w:sz w:val="24"/>
              </w:rPr>
              <w:t xml:space="preserve">Tại thời điểm khảo sát, dưới sự hướng dẫn của chủ tài sản, trên đất có CTXD: Nhà ở 03 tầng, diện tích xây dựng khoảng 65m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tổng diện tích sàn khoảng 195m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có thang máy. Công trình hoàn thiện năm 2023 và chưa được công nhận trên GCN QSDĐ số: AA 04794106.</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9"/>
        <w:numPr>
          <w:ilvl w:val="0"/>
          <w:numId w:val="3"/>
        </w:numPr>
        <w:pBdr/>
        <w:tabs>
          <w:tab w:val="left" w:leader="none" w:pos="993"/>
        </w:tabs>
        <w:spacing w:after="120" w:before="120" w:line="264" w:lineRule="auto"/>
        <w:ind/>
        <w:jc w:val="both"/>
        <w:rPr>
          <w:spacing w:val="-2"/>
          <w:lang w:val="pt-BR"/>
          <w14:ligatures w14:val="none"/>
        </w:rPr>
      </w:pPr>
      <w:r>
        <w:rPr>
          <w:spacing w:val="-2"/>
          <w:lang w:val="pt-BR"/>
        </w:rPr>
        <w:t xml:space="preserve">Tại thời điểm khảo sát, dưới sự hướng dẫn của chủ tài sản, trên đất có CTXD: Nhà ở 03 tầng, diện tích xây dựng khoảng 65m</w:t>
      </w:r>
      <w:r>
        <w:rPr>
          <w:spacing w:val="-2"/>
          <w:vertAlign w:val="superscript"/>
          <w:lang w:val="pt-BR"/>
        </w:rPr>
        <w:t xml:space="preserve">2</w:t>
      </w:r>
      <w:r>
        <w:rPr>
          <w:spacing w:val="-2"/>
          <w:lang w:val="pt-BR"/>
        </w:rPr>
        <w:t xml:space="preserve">, tổng diện tích sàn khoảng 195m</w:t>
      </w:r>
      <w:r>
        <w:rPr>
          <w:spacing w:val="-2"/>
          <w:vertAlign w:val="superscript"/>
          <w:lang w:val="pt-BR"/>
        </w:rPr>
        <w:t xml:space="preserve">2</w:t>
      </w:r>
      <w:r>
        <w:rPr>
          <w:spacing w:val="-2"/>
          <w:lang w:val="pt-BR"/>
        </w:rPr>
        <w:t xml:space="preserve">, có thang máy. Công trình hoàn thiện năm 2023 và chưa được công nhận trên GCN QSDĐ số: AA 04794106</w:t>
      </w:r>
      <w:r>
        <w:rPr>
          <w:spacing w:val="-2"/>
          <w:lang w:val="pt-BR" w:bidi="pt-BR"/>
        </w:rPr>
        <w:t xml:space="preserve">. Đồng thời, Tổ thẩm định cũng không nhận được bất cứ hồ sơ pháp lý nào liên quan đến CTXD trên, do vậy, theo đề nghị của Khách hàng/Ngân hàng, Tổ thẩm định không xác định giá trị CTXD nhưng vẫn coi đó là phần không thể thiếu của tài sản thẩm định.</w:t>
      </w:r>
      <w:r>
        <w:rPr>
          <w:spacing w:val="-2"/>
          <w:lang w:val="pt-BR"/>
          <w14:ligatures w14:val="none"/>
        </w:rPr>
      </w:r>
      <w:r>
        <w:rPr>
          <w:spacing w:val="-2"/>
          <w:lang w:val="pt-BR"/>
          <w14:ligatures w14:val="none"/>
        </w:rPr>
      </w:r>
    </w:p>
    <w:p>
      <w:pPr>
        <w:pStyle w:val="103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nằm ngoài chỉ giới HLGT</w:t>
      </w:r>
      <w:r>
        <w:rPr>
          <w:b/>
          <w:lang w:val="pt-BR"/>
        </w:rPr>
        <w:t xml:space="preserve">:</w:t>
      </w:r>
      <w:r>
        <w:rPr>
          <w:b/>
          <w:lang w:val="pt-BR"/>
        </w:rPr>
      </w:r>
      <w:r>
        <w:rPr>
          <w:b/>
          <w:lang w:val="pt-BR"/>
        </w:rPr>
      </w:r>
    </w:p>
    <w:p>
      <w:pPr>
        <w:pStyle w:val="103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37"/>
        <w:gridCol w:w="1810"/>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43"/>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An Trường,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An Trường,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An Trường,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An Trường, Thành phố Hải Phòng</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https://guland.vn/post/ban-dat-125m2-ngang-5m-mat-duong-lien-xa-gia-648-ty-xa-an-truong-truong-thanh-lien-he-0362558882-1481335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https://guland.vn/post/ban-dat-81m2-ngang-5m-duong-rong-6m-gia-222-ty-xa-an-truong-truong-thanh-lien-he-0362558882-1527793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https://www.facebook.com/share/p/18kbTTLrkV/</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0362.558882</w:t>
            </w:r>
            <w:r>
              <w:rPr>
                <w:sz w:val="22"/>
                <w:szCs w:val="22"/>
              </w:rPr>
              <w:t xml:space="preserve"> </w:t>
            </w:r>
            <w:r>
              <w:rPr>
                <w:sz w:val="22"/>
                <w:szCs w:val="22"/>
              </w:rPr>
              <w:br/>
              <w:t xml:space="preserve">(A.</w:t>
            </w:r>
            <w:r>
              <w:rPr>
                <w:sz w:val="22"/>
                <w:szCs w:val="22"/>
              </w:rPr>
              <w:t xml:space="preserve">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0362.558882</w:t>
            </w:r>
            <w:r>
              <w:rPr>
                <w:sz w:val="22"/>
                <w:szCs w:val="22"/>
              </w:rPr>
              <w:br/>
            </w:r>
            <w:r>
              <w:rPr>
                <w:sz w:val="22"/>
                <w:szCs w:val="22"/>
              </w:rPr>
              <w:t xml:space="preserve">(A.</w:t>
            </w:r>
            <w:r>
              <w:rPr>
                <w:sz w:val="22"/>
                <w:szCs w:val="22"/>
              </w:rPr>
              <w:t xml:space="preserve">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0934.34 3338</w:t>
            </w:r>
            <w:r>
              <w:rPr>
                <w:sz w:val="22"/>
                <w:szCs w:val="22"/>
              </w:rPr>
              <w:br/>
            </w:r>
            <w:r>
              <w:rPr>
                <w:sz w:val="22"/>
                <w:szCs w:val="22"/>
              </w:rPr>
              <w:t xml:space="preserve">(A.</w:t>
            </w:r>
            <w:r>
              <w:rPr>
                <w:sz w:val="22"/>
                <w:szCs w:val="22"/>
              </w:rPr>
              <w:t xml:space="preserve">Tiến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48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đường An Trường cách đường QL10 khoảng 600m, Xã An Trường, Thành phố Hải Phòng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Tiếp giáp đường An Trường cách đường QL10 khoảng 100m, Xã An Trường, Thành phố Hải Phòng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giao thông khu dân cư</w:t>
            </w:r>
            <w:r>
              <w:rPr>
                <w:color w:val="000000" w:themeColor="text1"/>
                <w:sz w:val="22"/>
                <w:szCs w:val="22"/>
              </w:rPr>
              <w:t xml:space="preserve"> Xã An Trường, Thành phố Hải Phòng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Ngõ giao thông khu dân cư  Xã An Trường, Thành phố Hải Phòng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Diện tích đất PHQH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2.220.000.000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5.184.000.000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1.998.000.000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1.512.000.000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5.184.000.000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1.998.000.000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1.512.000.000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41.472.000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24.575.646</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17.280.000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w:t>
            </w:r>
            <w:r>
              <w:rPr>
                <w:color w:val="000000" w:themeColor="text1"/>
                <w:sz w:val="22"/>
                <w:szCs w:val="22"/>
              </w:rPr>
              <w:t xml:space="preserve">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5.184.000.000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1.998.000.000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1.512.000.000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41.472.000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24.575.646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17.280.000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46.656.000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24.575.646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16.971.429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đường An Trường cách đường QL10 khoảng 600m, Xã An Trường, Thành phố Hải Phòng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Tiếp giáp đường An Trường cách đường QL10 khoảng 100m, Xã An Trường, Thành phố Hải Phòng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Ngõ giao thông khu dân cư</w:t>
            </w:r>
            <w:r>
              <w:rPr>
                <w:color w:val="000000" w:themeColor="text1"/>
                <w:sz w:val="22"/>
                <w:szCs w:val="22"/>
              </w:rPr>
              <w:t xml:space="preserve"> Xã An Trường, Thành phố Hải Phòng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Ngõ giao thông khu dân cư  Xã An Trường, Thành phố Hải Phòng</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r>
            <w:r>
              <w:rPr>
                <w:color w:val="000000" w:themeColor="text1"/>
                <w:sz w:val="22"/>
                <w:szCs w:val="22"/>
              </w:rPr>
              <w:t xml:space="preserve">-2.332.800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2.457.565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1.697.143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r>
            <w:r>
              <w:rPr>
                <w:color w:val="000000" w:themeColor="text1"/>
                <w:sz w:val="22"/>
                <w:szCs w:val="22"/>
              </w:rPr>
              <w:t xml:space="preserve">44.323.200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27.033.211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18.668.572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9"/>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1.228.782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848.571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44.323.200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28.261.993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19.517.143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ff0000"/>
                <w:sz w:val="22"/>
                <w:szCs w:val="22"/>
                <w:highlight w:val="white"/>
              </w:rPr>
            </w:pPr>
            <w:r>
              <w:rPr>
                <w:color w:val="ff0000"/>
                <w:sz w:val="22"/>
                <w:szCs w:val="22"/>
                <w:highlight w:val="white"/>
              </w:rPr>
              <w:t xml:space="preserve">6,0</w:t>
            </w:r>
            <w:r>
              <w:rPr>
                <w:b/>
                <w:bCs/>
                <w:color w:val="ff0000"/>
                <w:sz w:val="22"/>
                <w:szCs w:val="22"/>
                <w:highlight w:val="white"/>
              </w:rPr>
            </w:r>
            <w:r>
              <w:rPr>
                <w:b/>
                <w:bCs/>
                <w:color w:val="ff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44.323.200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28.261.993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22.417.714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44.323.200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28.261.993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22.417.714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51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44.323.200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28.261.993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22.417.714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PHQH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87,5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-3.732.480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-2.457.565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-1.697.143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40.590.720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25.804.428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20.720.571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-1.866.240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-983.026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-678.857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38.724.480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24.821.402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20.041.714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-2.332.800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-1.720.295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-1.188.000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36.391.680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23.101.107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18.853.714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36.391.680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23.101.107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18.853.714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-6.220.800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-3.686.347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-2.545,714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24.986.880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19.414.760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16.308.000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3.686.347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24.986.880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23.101.107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24.986.880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23.101.107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20.109.600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22.732.529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9,92%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-11,54%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16.485.120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16.219.927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15.049.028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16.485.120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1.474.539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2.829.600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-11,54</w:t>
      </w:r>
      <w:r>
        <w:t xml:space="preserve">% đến</w:t>
      </w:r>
      <w:r>
        <w:t xml:space="preserve"> </w:t>
      </w:r>
      <w:r>
        <w:t xml:space="preserve"> </w:t>
      </w:r>
      <w:r>
        <w:t xml:space="preserve">9,92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24.986.880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8.330.626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23.101.107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7.699.599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20.109.600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6.702.530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22.732.755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22.700.000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22.700.000</w:t>
      </w:r>
      <w:r>
        <w:rPr>
          <w:b/>
          <w:bCs/>
          <w:color w:val="000000" w:themeColor="text1"/>
        </w:rPr>
        <w:t xml:space="preserve"> </w:t>
      </w:r>
      <w:r>
        <w:rPr>
          <w:b/>
          <w:bCs/>
        </w:rPr>
        <w:t xml:space="preserve">đồng/m².</w:t>
      </w:r>
      <w:r>
        <w:rPr>
          <w:b/>
          <w:bCs/>
        </w:rPr>
      </w:r>
      <w:r>
        <w:rPr>
          <w:b/>
          <w:bCs/>
        </w:rPr>
      </w:r>
    </w:p>
    <w:p>
      <w:pPr>
        <w:pStyle w:val="1039"/>
        <w:numPr>
          <w:ilvl w:val="0"/>
          <w:numId w:val="26"/>
        </w:numPr>
        <w:pBdr/>
        <w:spacing w:after="120" w:before="120" w:line="276" w:lineRule="auto"/>
        <w:ind w:hanging="357" w:left="357"/>
        <w:jc w:val="both"/>
        <w:rPr>
          <w:b/>
          <w:bCs/>
        </w:rPr>
      </w:pPr>
      <w:r>
        <w:rPr>
          <w:b/>
          <w:bCs/>
        </w:rPr>
        <w:t xml:space="preserve">Xác định đơn giá đất ở nằm trong HLGT:</w:t>
      </w:r>
      <w:r>
        <w:rPr>
          <w:b/>
          <w:bCs/>
        </w:rPr>
      </w:r>
      <w:r>
        <w:rPr>
          <w:b/>
          <w:bCs/>
        </w:rPr>
      </w:r>
    </w:p>
    <w:p>
      <w:pPr>
        <w:pStyle w:val="1039"/>
        <w:numPr>
          <w:ilvl w:val="0"/>
          <w:numId w:val="45"/>
        </w:numPr>
        <w:pBdr/>
        <w:spacing w:after="120" w:before="120" w:line="276" w:lineRule="auto"/>
        <w:ind w:right="0" w:hanging="283" w:left="0"/>
        <w:jc w:val="both"/>
        <w:rPr>
          <w:b w:val="0"/>
          <w:bCs w:val="0"/>
        </w:rPr>
      </w:pPr>
      <w:r>
        <w:rPr>
          <w:b w:val="0"/>
          <w:bCs w:val="0"/>
          <w:highlight w:val="none"/>
        </w:rPr>
        <w:t xml:space="preserve">Tại </w:t>
      </w:r>
      <w:r>
        <w:rPr>
          <w:b w:val="0"/>
          <w:bCs w:val="0"/>
          <w:highlight w:val="none"/>
        </w:rPr>
        <w:t xml:space="preserve">thời điểm thẩm định giá, theo thông tin trên GCN QSDĐ, tài sản thẩm định có 26,4m</w:t>
      </w:r>
      <w:r>
        <w:rPr>
          <w:b w:val="0"/>
          <w:bCs w:val="0"/>
          <w:highlight w:val="none"/>
          <w:vertAlign w:val="superscript"/>
        </w:rPr>
        <w:t xml:space="preserve">2</w:t>
      </w:r>
      <w:r>
        <w:rPr>
          <w:b w:val="0"/>
          <w:bCs w:val="0"/>
          <w:highlight w:val="none"/>
        </w:rPr>
        <w:t xml:space="preserve"> nằm trong chỉ giới quy hoạch giao thông. Theo thông tin khách hàng cung cấp, hiện chưa có thông báo thu hồi đất/quyết định thu hồi đất/phương án giải tỏa bồi thường đối với </w:t>
      </w:r>
      <w:r>
        <w:rPr>
          <w:b w:val="0"/>
          <w:bCs w:val="0"/>
          <w:highlight w:val="none"/>
        </w:rPr>
        <w:t xml:space="preserve">phần diện tí</w:t>
      </w:r>
      <w:r>
        <w:rPr>
          <w:b w:val="0"/>
          <w:bCs w:val="0"/>
          <w:highlight w:val="none"/>
        </w:rPr>
        <w:t xml:space="preserve">ch nằm trong chỉ giới quy hoạch giao thông này. Do vậy, Tổ thẩm địnhước tính giá trị tài sản theo đơn giá UBND</w:t>
      </w:r>
      <w:r>
        <w:rPr>
          <w:b w:val="0"/>
          <w:bCs w:val="0"/>
          <w:highlight w:val="none"/>
        </w:rPr>
        <w:t xml:space="preserve">.</w:t>
      </w:r>
      <w:r>
        <w:rPr>
          <w:b w:val="0"/>
          <w:bCs w:val="0"/>
        </w:rPr>
      </w:r>
      <w:r>
        <w:rPr>
          <w:b w:val="0"/>
          <w:bCs w:val="0"/>
        </w:rPr>
      </w:r>
    </w:p>
    <w:p>
      <w:pPr>
        <w:pStyle w:val="1039"/>
        <w:numPr>
          <w:ilvl w:val="0"/>
          <w:numId w:val="45"/>
        </w:numPr>
        <w:pBdr/>
        <w:spacing w:after="120" w:before="120" w:line="276" w:lineRule="auto"/>
        <w:ind w:right="0" w:hanging="283" w:left="0"/>
        <w:jc w:val="both"/>
        <w:rPr>
          <w:b/>
          <w:bCs/>
        </w:rPr>
      </w:pPr>
      <w:r>
        <w:rPr>
          <w:b w:val="0"/>
          <w:bCs w:val="0"/>
          <w:highlight w:val="none"/>
        </w:rPr>
        <w:t xml:space="preserve">Căn cứ theo Nghị quyết số: 85/NQ-HĐND của UBND Thành phố Hải Phòng ngày 11/12/2025 có hiệu lực từ ngày 1/1/2026, Tổ thẩm định xác định giá trị đất ở nằm trong HLGT là: </w:t>
      </w:r>
      <w:r>
        <w:rPr>
          <w:b/>
          <w:bCs/>
          <w:highlight w:val="none"/>
        </w:rPr>
        <w:t xml:space="preserve">7.000.000 đồng</w:t>
      </w:r>
      <w:r>
        <w:rPr>
          <w:b/>
          <w:bCs/>
        </w:rPr>
        <w:t xml:space="preserve">.</w:t>
      </w:r>
      <w:r>
        <w:rPr>
          <w:b/>
          <w:bCs/>
        </w:rPr>
      </w:r>
      <w:r>
        <w:rPr>
          <w:b/>
          <w:bCs/>
        </w:rPr>
      </w:r>
    </w:p>
    <w:p>
      <w:pPr>
        <w:pStyle w:val="103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9"/>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5/2026</w:t>
      </w:r>
      <w:r>
        <w:t xml:space="preserve"> </w:t>
      </w:r>
      <w:r>
        <w:t xml:space="preserve">ước tính </w:t>
      </w:r>
      <w:r>
        <w:t xml:space="preserve">như sau</w:t>
      </w:r>
      <w:r>
        <w:t xml:space="preserve">:</w:t>
      </w:r>
      <w:r>
        <w:rPr>
          <w:highlight w:val="none"/>
        </w:rPr>
      </w:r>
    </w:p>
    <w:tbl>
      <w:tblPr>
        <w:tblW w:w="5006"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17"/>
        <w:gridCol w:w="2943"/>
        <w:gridCol w:w="1802"/>
        <w:gridCol w:w="2025"/>
        <w:gridCol w:w="1951"/>
      </w:tblGrid>
      <w:tr>
        <w:trPr>
          <w:trHeight w:val="20"/>
        </w:trPr>
        <w:tc>
          <w:tcPr>
            <w:shd w:val="clear" w:color="000000" w:fill="ffffff"/>
            <w:tcBorders/>
            <w:tcW w:w="817" w:type="dxa"/>
            <w:vAlign w:val="center"/>
            <w:textDirection w:val="lrTb"/>
            <w:noWrap w:val="false"/>
          </w:tcPr>
          <w:p>
            <w:pPr>
              <w:pBdr/>
              <w:spacing w:after="40" w:before="40" w:line="264" w:lineRule="auto"/>
              <w:ind/>
              <w:jc w:val="center"/>
              <w:rPr>
                <w:b/>
                <w:bCs/>
              </w:rPr>
            </w:pPr>
            <w:r>
              <w:rPr>
                <w:b/>
                <w:bCs/>
              </w:rPr>
              <w:t xml:space="preserve">TT</w:t>
            </w:r>
            <w:r>
              <w:rPr>
                <w:b/>
                <w:bCs/>
              </w:rPr>
            </w:r>
            <w:r>
              <w:rPr>
                <w:b/>
                <w:bCs/>
              </w:rPr>
            </w:r>
          </w:p>
        </w:tc>
        <w:tc>
          <w:tcPr>
            <w:shd w:val="clear" w:color="000000" w:fill="ffffff"/>
            <w:tcBorders/>
            <w:tcW w:w="2943" w:type="dxa"/>
            <w:vAlign w:val="center"/>
            <w:textDirection w:val="lrTb"/>
            <w:noWrap w:val="false"/>
          </w:tcPr>
          <w:p>
            <w:pPr>
              <w:pBdr/>
              <w:spacing w:after="40" w:before="40" w:line="264"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64" w:lineRule="auto"/>
              <w:ind/>
              <w:jc w:val="center"/>
              <w:rPr>
                <w:b/>
                <w:bCs/>
              </w:rPr>
            </w:pPr>
            <w:r>
              <w:rPr>
                <w:b/>
                <w:bCs/>
              </w:rPr>
              <w:t xml:space="preserve">Diện tích (m²)</w:t>
            </w:r>
            <w:r>
              <w:rPr>
                <w:b/>
                <w:bCs/>
              </w:rPr>
            </w:r>
            <w:r>
              <w:rPr>
                <w:b/>
                <w:bCs/>
              </w:rPr>
            </w:r>
          </w:p>
        </w:tc>
        <w:tc>
          <w:tcPr>
            <w:shd w:val="clear" w:color="000000" w:fill="ffffff"/>
            <w:tcBorders/>
            <w:tcW w:w="2025" w:type="dxa"/>
            <w:vAlign w:val="center"/>
            <w:textDirection w:val="lrTb"/>
            <w:noWrap w:val="false"/>
          </w:tcPr>
          <w:p>
            <w:pPr>
              <w:pBdr/>
              <w:spacing w:after="40" w:before="40" w:line="264" w:lineRule="auto"/>
              <w:ind/>
              <w:jc w:val="center"/>
              <w:rPr>
                <w:b/>
                <w:bCs/>
              </w:rPr>
            </w:pPr>
            <w:r>
              <w:rPr>
                <w:b/>
                <w:bCs/>
              </w:rPr>
              <w:t xml:space="preserve">Đơn giá (đồng/m²)</w:t>
            </w:r>
            <w:r>
              <w:rPr>
                <w:b/>
                <w:bCs/>
              </w:rPr>
            </w:r>
            <w:r>
              <w:rPr>
                <w:b/>
                <w:bCs/>
              </w:rPr>
            </w:r>
          </w:p>
        </w:tc>
        <w:tc>
          <w:tcPr>
            <w:shd w:val="clear" w:color="000000" w:fill="ffffff"/>
            <w:tcBorders/>
            <w:tcW w:w="1951" w:type="dxa"/>
            <w:vAlign w:val="center"/>
            <w:textDirection w:val="lrTb"/>
            <w:noWrap w:val="false"/>
          </w:tcPr>
          <w:p>
            <w:pPr>
              <w:pBdr/>
              <w:spacing w:after="40" w:before="40" w:line="264"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64" w:lineRule="auto"/>
              <w:ind/>
              <w:jc w:val="center"/>
              <w:rPr>
                <w:b/>
                <w:bCs/>
              </w:rPr>
            </w:pPr>
            <w:r>
              <w:rPr>
                <w:b/>
                <w:bCs/>
              </w:rPr>
              <w:t xml:space="preserve"> </w:t>
            </w:r>
            <w:r>
              <w:rPr>
                <w:b/>
                <w:bCs/>
              </w:rPr>
            </w:r>
            <w:r>
              <w:rPr>
                <w:b/>
                <w:bCs/>
              </w:rPr>
            </w:r>
          </w:p>
        </w:tc>
        <w:tc>
          <w:tcPr>
            <w:gridSpan w:val="3"/>
            <w:shd w:val="clear" w:color="000000" w:fill="ffffff"/>
            <w:tcBorders/>
            <w:tcW w:w="6769" w:type="dxa"/>
            <w:vAlign w:val="center"/>
            <w:textDirection w:val="lrTb"/>
            <w:noWrap w:val="false"/>
          </w:tcPr>
          <w:p>
            <w:pPr>
              <w:pBdr/>
              <w:spacing w:after="40" w:before="40" w:line="264" w:lineRule="auto"/>
              <w:ind/>
              <w:jc w:val="both"/>
              <w:rPr>
                <w:b/>
                <w:bCs/>
              </w:rPr>
            </w:pPr>
            <w:r>
              <w:rPr>
                <w:b/>
                <w:bCs/>
                <w:color w:val="000000"/>
              </w:rPr>
              <w:t xml:space="preserve">Quyền sử dụng đất tại thửa đất số: 561, tờ bản đồ số: 93, có địa chỉ: Thôn Phương Chử Bắc, xã An Trường, thành p</w:t>
            </w:r>
            <w:r>
              <w:rPr>
                <w:b/>
                <w:bCs/>
                <w:color w:val="000000"/>
              </w:rPr>
              <w:t xml:space="preserve">hố Hải Phòng theo Giấy chứng nhận quyền sử dụng đất, quyền sở tài sản gắn liền với đất số: AA 04794106, Số vào sổ cấp GCN: CN 7719 do Chi nhánh Văn phòng đăng ký đất đai An Lão cấp ngày 10/10/2025; Chủ sử dụng đất là Ông Nguyễn Thế Cường và Bà Trần Thị Hậu</w:t>
            </w:r>
            <w:r>
              <w:rPr>
                <w:b/>
                <w:bCs/>
              </w:rPr>
              <w:t xml:space="preserve">.</w:t>
            </w:r>
            <w:r>
              <w:rPr>
                <w:b/>
                <w:bCs/>
              </w:rPr>
            </w:r>
            <w:r>
              <w:rPr>
                <w:b/>
                <w:bCs/>
              </w:rPr>
            </w:r>
          </w:p>
        </w:tc>
        <w:tc>
          <w:tcPr>
            <w:shd w:val="clear" w:color="000000" w:fill="ffffff"/>
            <w:tcBorders/>
            <w:tcW w:w="1951" w:type="dxa"/>
            <w:vAlign w:val="center"/>
            <w:textDirection w:val="lrTb"/>
            <w:noWrap w:val="false"/>
          </w:tcPr>
          <w:p>
            <w:pPr>
              <w:pBdr/>
              <w:spacing w:after="40" w:before="40" w:line="264" w:lineRule="auto"/>
              <w:ind/>
              <w:jc w:val="right"/>
              <w:rPr>
                <w:b/>
                <w:bCs/>
              </w:rPr>
            </w:pPr>
            <w:r>
              <w:rPr>
                <w:b/>
                <w:bCs/>
              </w:rPr>
              <w:t xml:space="preserve"> </w:t>
            </w:r>
            <w:r>
              <w:rPr>
                <w:b/>
                <w:bCs/>
              </w:rPr>
            </w:r>
            <w:r>
              <w:rPr>
                <w:b/>
                <w:bCs/>
              </w:rPr>
            </w:r>
          </w:p>
        </w:tc>
      </w:tr>
      <w:tr>
        <w:trPr>
          <w:trHeight w:val="20"/>
        </w:trPr>
        <w:tc>
          <w:tcPr>
            <w:shd w:val="clear" w:color="000000" w:fill="ffffff"/>
            <w:tcBorders/>
            <w:tcW w:w="817" w:type="dxa"/>
            <w:vAlign w:val="center"/>
            <w:textDirection w:val="lrTb"/>
            <w:noWrap w:val="false"/>
          </w:tcPr>
          <w:p>
            <w:pPr>
              <w:pBdr/>
              <w:spacing w:after="40" w:before="40" w:line="264" w:lineRule="auto"/>
              <w:ind/>
              <w:jc w:val="center"/>
              <w:rPr>
                <w:b w:val="0"/>
                <w:bCs w:val="0"/>
              </w:rPr>
            </w:pPr>
            <w:r>
              <w:rPr>
                <w:b w:val="0"/>
                <w:bCs w:val="0"/>
              </w:rPr>
              <w:t xml:space="preserve">01</w:t>
            </w:r>
            <w:r>
              <w:rPr>
                <w:b w:val="0"/>
                <w:bCs w:val="0"/>
              </w:rPr>
            </w:r>
            <w:r>
              <w:rPr>
                <w:b w:val="0"/>
                <w:bCs w:val="0"/>
              </w:rPr>
            </w:r>
          </w:p>
        </w:tc>
        <w:tc>
          <w:tcPr>
            <w:shd w:val="clear" w:color="000000" w:fill="ffffff"/>
            <w:tcBorders/>
            <w:tcW w:w="2943" w:type="dxa"/>
            <w:vAlign w:val="center"/>
            <w:textDirection w:val="lrTb"/>
            <w:noWrap w:val="false"/>
          </w:tcPr>
          <w:p>
            <w:pPr>
              <w:pBdr/>
              <w:spacing w:after="40" w:before="40" w:line="264" w:lineRule="auto"/>
              <w:ind/>
              <w:rPr>
                <w:b w:val="0"/>
                <w:bCs w:val="0"/>
              </w:rPr>
            </w:pPr>
            <w:r>
              <w:rPr>
                <w:b w:val="0"/>
                <w:bCs w:val="0"/>
              </w:rPr>
              <w:t xml:space="preserve">Đất ở nằm ngoài chỉ giới QHGT.</w:t>
            </w:r>
            <w:r>
              <w:rPr>
                <w:b w:val="0"/>
                <w:bCs w:val="0"/>
              </w:rPr>
            </w:r>
            <w:r>
              <w:rPr>
                <w:b w:val="0"/>
                <w:bCs w:val="0"/>
              </w:rPr>
            </w:r>
          </w:p>
        </w:tc>
        <w:tc>
          <w:tcPr>
            <w:tcBorders/>
            <w:tcW w:w="1802" w:type="dxa"/>
            <w:vAlign w:val="center"/>
            <w:textDirection w:val="lrTb"/>
            <w:noWrap/>
          </w:tcPr>
          <w:p>
            <w:pPr>
              <w:pBdr/>
              <w:tabs>
                <w:tab w:val="center" w:leader="none" w:pos="793"/>
              </w:tabs>
              <w:spacing w:after="40" w:before="40" w:line="264" w:lineRule="auto"/>
              <w:ind/>
              <w:jc w:val="center"/>
              <w:rPr>
                <w:color w:val="000000"/>
              </w:rPr>
            </w:pPr>
            <w:r>
              <w:rPr>
                <w:color w:val="000000" w:themeColor="text1"/>
              </w:rPr>
              <w:t xml:space="preserve">198,0</w:t>
            </w:r>
            <w:r>
              <w:rPr>
                <w:color w:val="000000"/>
              </w:rPr>
            </w:r>
            <w:r>
              <w:rPr>
                <w:color w:val="000000"/>
              </w:rPr>
            </w:r>
          </w:p>
        </w:tc>
        <w:tc>
          <w:tcPr>
            <w:shd w:val="clear" w:color="000000" w:fill="ffffff"/>
            <w:tcBorders/>
            <w:tcW w:w="2025" w:type="dxa"/>
            <w:vAlign w:val="center"/>
            <w:textDirection w:val="lrTb"/>
            <w:noWrap w:val="false"/>
          </w:tcPr>
          <w:p>
            <w:pPr>
              <w:pBdr/>
              <w:spacing w:after="40" w:before="40" w:line="264" w:lineRule="auto"/>
              <w:ind/>
              <w:jc w:val="center"/>
              <w:rPr/>
            </w:pPr>
            <w:r>
              <w:rPr>
                <w:color w:val="000000" w:themeColor="text1"/>
              </w:rPr>
              <w:t xml:space="preserve">22.700.000</w:t>
            </w:r>
            <w:r/>
          </w:p>
        </w:tc>
        <w:tc>
          <w:tcPr>
            <w:shd w:val="clear" w:color="000000" w:fill="ffffff"/>
            <w:tcBorders/>
            <w:tcW w:w="1951" w:type="dxa"/>
            <w:vAlign w:val="center"/>
            <w:textDirection w:val="lrTb"/>
            <w:noWrap w:val="false"/>
          </w:tcPr>
          <w:p>
            <w:pPr>
              <w:pBdr/>
              <w:spacing w:after="40" w:before="40" w:line="264" w:lineRule="auto"/>
              <w:ind/>
              <w:jc w:val="center"/>
              <w:rPr/>
            </w:pPr>
            <w:r>
              <w:rPr>
                <w:color w:val="000000" w:themeColor="text1"/>
              </w:rPr>
              <w:t xml:space="preserve">4.494.600.000</w:t>
            </w:r>
            <w:r/>
          </w:p>
        </w:tc>
      </w:tr>
      <w:tr>
        <w:trPr>
          <w:trHeight w:val="20"/>
        </w:trPr>
        <w:tc>
          <w:tcPr>
            <w:shd w:val="clear" w:color="000000" w:fill="ffffff"/>
            <w:tcBorders/>
            <w:tcW w:w="817" w:type="dxa"/>
            <w:vAlign w:val="center"/>
            <w:vMerge w:val="restart"/>
            <w:textDirection w:val="lrTb"/>
            <w:noWrap w:val="false"/>
          </w:tcPr>
          <w:p>
            <w:pPr>
              <w:pBdr/>
              <w:spacing w:after="40" w:before="40" w:line="264" w:lineRule="auto"/>
              <w:ind/>
              <w:jc w:val="center"/>
              <w:rPr>
                <w:b w:val="0"/>
                <w:bCs w:val="0"/>
              </w:rPr>
            </w:pPr>
            <w:r>
              <w:rPr>
                <w:b w:val="0"/>
                <w:bCs w:val="0"/>
              </w:rPr>
              <w:t xml:space="preserve">02</w:t>
            </w:r>
            <w:r>
              <w:rPr>
                <w:b w:val="0"/>
                <w:bCs w:val="0"/>
              </w:rPr>
            </w:r>
            <w:r>
              <w:rPr>
                <w:b w:val="0"/>
                <w:bCs w:val="0"/>
              </w:rPr>
            </w:r>
          </w:p>
        </w:tc>
        <w:tc>
          <w:tcPr>
            <w:shd w:val="clear" w:color="000000" w:fill="ffffff"/>
            <w:tcBorders/>
            <w:tcW w:w="2943" w:type="dxa"/>
            <w:vAlign w:val="center"/>
            <w:vMerge w:val="restart"/>
            <w:textDirection w:val="lrTb"/>
            <w:noWrap w:val="false"/>
          </w:tcPr>
          <w:p>
            <w:pPr>
              <w:pBdr/>
              <w:spacing w:after="40" w:before="40" w:line="264" w:lineRule="auto"/>
              <w:ind/>
              <w:rPr>
                <w:b w:val="0"/>
                <w:bCs w:val="0"/>
              </w:rPr>
            </w:pPr>
            <w:r>
              <w:rPr>
                <w:b w:val="0"/>
                <w:bCs w:val="0"/>
              </w:rPr>
            </w:r>
            <w:r>
              <w:rPr>
                <w:b w:val="0"/>
                <w:bCs w:val="0"/>
              </w:rPr>
              <w:t xml:space="preserve">Đất ở nằm trong chỉ giới QHGT.</w:t>
            </w:r>
            <w:r>
              <w:rPr>
                <w:b w:val="0"/>
                <w:bCs w:val="0"/>
              </w:rPr>
            </w:r>
            <w:r>
              <w:rPr>
                <w:b w:val="0"/>
                <w:bCs w:val="0"/>
              </w:rPr>
            </w:r>
          </w:p>
        </w:tc>
        <w:tc>
          <w:tcPr>
            <w:tcBorders/>
            <w:tcW w:w="1802" w:type="dxa"/>
            <w:vAlign w:val="center"/>
            <w:vMerge w:val="restart"/>
            <w:textDirection w:val="lrTb"/>
            <w:noWrap/>
          </w:tcPr>
          <w:p>
            <w:pPr>
              <w:pBdr/>
              <w:spacing w:after="40" w:before="40" w:line="264" w:lineRule="auto"/>
              <w:ind/>
              <w:jc w:val="center"/>
              <w:rPr>
                <w:color w:val="000000" w:themeColor="text1"/>
              </w:rPr>
            </w:pPr>
            <w:r>
              <w:rPr>
                <w:color w:val="000000" w:themeColor="text1"/>
              </w:rPr>
              <w:t xml:space="preserve">26,4</w:t>
            </w:r>
            <w:r>
              <w:rPr>
                <w:color w:val="000000" w:themeColor="text1"/>
              </w:rPr>
            </w:r>
            <w:r>
              <w:rPr>
                <w:color w:val="000000" w:themeColor="text1"/>
              </w:rPr>
            </w:r>
          </w:p>
        </w:tc>
        <w:tc>
          <w:tcPr>
            <w:shd w:val="clear" w:color="000000" w:fill="ffffff"/>
            <w:tcBorders/>
            <w:tcW w:w="2025" w:type="dxa"/>
            <w:vAlign w:val="center"/>
            <w:vMerge w:val="restart"/>
            <w:textDirection w:val="lrTb"/>
            <w:noWrap w:val="false"/>
          </w:tcPr>
          <w:p>
            <w:pPr>
              <w:pBdr/>
              <w:spacing w:after="40" w:before="40" w:line="264" w:lineRule="auto"/>
              <w:ind/>
              <w:jc w:val="center"/>
              <w:rPr>
                <w:color w:val="000000" w:themeColor="text1"/>
              </w:rPr>
            </w:pPr>
            <w:r>
              <w:rPr>
                <w:color w:val="000000" w:themeColor="text1"/>
              </w:rPr>
              <w:t xml:space="preserve">7.000.000</w:t>
            </w:r>
            <w:r>
              <w:rPr>
                <w:color w:val="000000" w:themeColor="text1"/>
              </w:rPr>
            </w:r>
            <w:r>
              <w:rPr>
                <w:color w:val="000000" w:themeColor="text1"/>
              </w:rPr>
            </w:r>
          </w:p>
        </w:tc>
        <w:tc>
          <w:tcPr>
            <w:shd w:val="clear" w:color="000000" w:fill="ffffff"/>
            <w:tcBorders/>
            <w:tcW w:w="1951" w:type="dxa"/>
            <w:vAlign w:val="center"/>
            <w:vMerge w:val="restart"/>
            <w:textDirection w:val="lrTb"/>
            <w:noWrap w:val="false"/>
          </w:tcPr>
          <w:p>
            <w:pPr>
              <w:pBdr/>
              <w:spacing w:after="40" w:before="40" w:line="264" w:lineRule="auto"/>
              <w:ind/>
              <w:jc w:val="center"/>
              <w:rPr>
                <w:color w:val="000000" w:themeColor="text1"/>
              </w:rPr>
            </w:pPr>
            <w:r>
              <w:rPr>
                <w:color w:val="000000" w:themeColor="text1"/>
              </w:rPr>
              <w:t xml:space="preserve">184.800.000</w:t>
            </w:r>
            <w:r>
              <w:rPr>
                <w:color w:val="000000" w:themeColor="text1"/>
              </w:rPr>
            </w:r>
            <w:r>
              <w:rPr>
                <w:color w:val="000000" w:themeColor="text1"/>
              </w:rPr>
            </w:r>
          </w:p>
        </w:tc>
      </w:tr>
      <w:tr>
        <w:trPr>
          <w:trHeight w:val="20"/>
        </w:trPr>
        <w:tc>
          <w:tcPr>
            <w:gridSpan w:val="4"/>
            <w:tcBorders/>
            <w:tcW w:w="7586" w:type="dxa"/>
            <w:vAlign w:val="center"/>
            <w:textDirection w:val="lrTb"/>
            <w:noWrap/>
          </w:tcPr>
          <w:p>
            <w:pPr>
              <w:pBdr/>
              <w:spacing w:after="40" w:before="40" w:line="264" w:lineRule="auto"/>
              <w:ind/>
              <w:jc w:val="center"/>
              <w:rPr>
                <w:b/>
                <w:bCs/>
                <w:color w:val="000000"/>
              </w:rPr>
            </w:pPr>
            <w:r>
              <w:rPr>
                <w:b/>
                <w:bCs/>
                <w:color w:val="000000"/>
              </w:rPr>
              <w:t xml:space="preserve">TỔNG CỘNG:</w:t>
            </w:r>
            <w:r>
              <w:rPr>
                <w:b/>
                <w:bCs/>
                <w:color w:val="000000"/>
              </w:rPr>
            </w:r>
            <w:r>
              <w:rPr>
                <w:b/>
                <w:bCs/>
                <w:color w:val="000000"/>
              </w:rPr>
            </w:r>
          </w:p>
        </w:tc>
        <w:tc>
          <w:tcPr>
            <w:tcBorders/>
            <w:tcW w:w="1951" w:type="dxa"/>
            <w:vAlign w:val="center"/>
            <w:textDirection w:val="lrTb"/>
            <w:noWrap/>
          </w:tcPr>
          <w:p>
            <w:pPr>
              <w:pBdr/>
              <w:spacing w:after="40" w:before="40" w:line="264" w:lineRule="auto"/>
              <w:ind/>
              <w:jc w:val="center"/>
              <w:rPr>
                <w:b/>
                <w:bCs/>
                <w:color w:val="000000"/>
              </w:rPr>
            </w:pPr>
            <w:r>
              <w:rPr>
                <w:b/>
                <w:bCs/>
              </w:rPr>
              <w:t xml:space="preserve">4.679.400.000</w:t>
            </w:r>
            <w:r>
              <w:rPr>
                <w:b/>
                <w:bCs/>
                <w:color w:val="000000"/>
              </w:rPr>
            </w:r>
            <w:r>
              <w:rPr>
                <w:b/>
                <w:bCs/>
                <w:color w:val="000000"/>
              </w:rPr>
            </w:r>
          </w:p>
        </w:tc>
      </w:tr>
      <w:tr>
        <w:trPr>
          <w:trHeight w:val="20"/>
        </w:trPr>
        <w:tc>
          <w:tcPr>
            <w:gridSpan w:val="4"/>
            <w:tcBorders/>
            <w:tcW w:w="7586" w:type="dxa"/>
            <w:vAlign w:val="center"/>
            <w:textDirection w:val="lrTb"/>
            <w:noWrap/>
          </w:tcPr>
          <w:p>
            <w:pPr>
              <w:pBdr/>
              <w:spacing w:after="40" w:before="40" w:line="264" w:lineRule="auto"/>
              <w:ind/>
              <w:jc w:val="center"/>
              <w:rPr>
                <w:b/>
                <w:bCs/>
                <w:color w:val="000000"/>
              </w:rPr>
            </w:pPr>
            <w:r>
              <w:rPr>
                <w:b/>
                <w:bCs/>
                <w:color w:val="000000"/>
              </w:rPr>
              <w:t xml:space="preserve">LÀM TRÒN:</w:t>
            </w:r>
            <w:r>
              <w:rPr>
                <w:b/>
                <w:bCs/>
                <w:color w:val="000000"/>
              </w:rPr>
            </w:r>
            <w:r>
              <w:rPr>
                <w:b/>
                <w:bCs/>
                <w:color w:val="000000"/>
              </w:rPr>
            </w:r>
          </w:p>
        </w:tc>
        <w:tc>
          <w:tcPr>
            <w:tcBorders/>
            <w:tcW w:w="1951" w:type="dxa"/>
            <w:vAlign w:val="center"/>
            <w:textDirection w:val="lrTb"/>
            <w:noWrap/>
          </w:tcPr>
          <w:p>
            <w:pPr>
              <w:pBdr/>
              <w:spacing w:after="40" w:before="40" w:line="264" w:lineRule="auto"/>
              <w:ind/>
              <w:jc w:val="center"/>
              <w:rPr>
                <w:b/>
                <w:bCs/>
                <w:color w:val="000000"/>
              </w:rPr>
            </w:pPr>
            <w:r>
              <w:rPr>
                <w:b/>
                <w:bCs/>
                <w:color w:val="000000"/>
              </w:rPr>
              <w:t xml:space="preserve">4.679.000.000</w:t>
            </w:r>
            <w:r>
              <w:rPr>
                <w:b/>
                <w:bCs/>
                <w:color w:val="000000"/>
              </w:rPr>
            </w:r>
            <w:r>
              <w:rPr>
                <w:b/>
                <w:bCs/>
                <w:color w:val="000000"/>
              </w:rPr>
            </w:r>
          </w:p>
        </w:tc>
      </w:tr>
      <w:tr>
        <w:trPr>
          <w:trHeight w:val="20"/>
        </w:trPr>
        <w:tc>
          <w:tcPr>
            <w:gridSpan w:val="5"/>
            <w:tcBorders/>
            <w:tcW w:w="9537" w:type="dxa"/>
            <w:vAlign w:val="center"/>
            <w:textDirection w:val="lrTb"/>
            <w:noWrap w:val="false"/>
          </w:tcPr>
          <w:p>
            <w:pPr>
              <w:pBdr/>
              <w:spacing w:after="40" w:before="40" w:line="264" w:lineRule="auto"/>
              <w:ind/>
              <w:jc w:val="center"/>
              <w:rPr>
                <w:b/>
                <w:bCs/>
                <w:i/>
                <w:iCs/>
                <w:color w:val="000000"/>
              </w:rPr>
            </w:pPr>
            <w:r>
              <w:rPr>
                <w:b/>
                <w:bCs/>
                <w:i/>
                <w:iCs/>
                <w:color w:val="000000"/>
              </w:rPr>
              <w:t xml:space="preserve">(Bằng chữ: </w:t>
            </w:r>
            <w:r>
              <w:rPr>
                <w:b/>
                <w:bCs/>
                <w:i/>
                <w:iCs/>
                <w:color w:val="000000"/>
              </w:rPr>
              <w:t xml:space="preserve">Bốn tỷ, sáu trăm bảy mươi chín triệu đồng</w:t>
            </w:r>
            <w:r>
              <w:rPr>
                <w:b/>
                <w:bCs/>
                <w:i/>
                <w:iCs/>
                <w:color w:val="000000"/>
              </w:rPr>
              <w:t xml:space="preserve">./.)</w:t>
            </w:r>
            <w:r>
              <w:rPr>
                <w:b/>
                <w:bCs/>
                <w:i/>
                <w:iCs/>
                <w:color w:val="000000"/>
              </w:rPr>
            </w:r>
            <w:r>
              <w:rPr>
                <w:b/>
                <w:bCs/>
                <w:i/>
                <w:iCs/>
                <w:color w:val="000000"/>
              </w:rPr>
            </w:r>
          </w:p>
        </w:tc>
      </w:tr>
    </w:tbl>
    <w:p>
      <w:pPr>
        <w:pStyle w:val="1039"/>
        <w:pBdr/>
        <w:tabs>
          <w:tab w:val="left" w:leader="none" w:pos="993"/>
        </w:tabs>
        <w:spacing w:after="120" w:before="120" w:line="269"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9"/>
        <w:numPr>
          <w:ilvl w:val="0"/>
          <w:numId w:val="4"/>
        </w:numPr>
        <w:pBdr/>
        <w:tabs>
          <w:tab w:val="left" w:leader="none" w:pos="993"/>
        </w:tabs>
        <w:spacing w:after="120" w:before="120" w:line="269"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9"/>
        <w:pBdr/>
        <w:tabs>
          <w:tab w:val="left" w:leader="none" w:pos="993"/>
        </w:tabs>
        <w:spacing w:after="120" w:before="120" w:line="269"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9"/>
        <w:numPr>
          <w:ilvl w:val="0"/>
          <w:numId w:val="5"/>
        </w:numPr>
        <w:pBdr/>
        <w:tabs>
          <w:tab w:val="left" w:leader="none" w:pos="993"/>
        </w:tabs>
        <w:spacing w:after="120" w:before="120" w:line="269"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9"/>
        <w:numPr>
          <w:ilvl w:val="0"/>
          <w:numId w:val="5"/>
        </w:numPr>
        <w:pBdr/>
        <w:tabs>
          <w:tab w:val="left" w:leader="none" w:pos="993"/>
        </w:tabs>
        <w:spacing w:after="120" w:before="120" w:line="269"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9"/>
        <w:numPr>
          <w:ilvl w:val="0"/>
          <w:numId w:val="5"/>
        </w:numPr>
        <w:pBdr/>
        <w:tabs>
          <w:tab w:val="left" w:leader="none" w:pos="993"/>
        </w:tabs>
        <w:spacing w:after="120" w:before="120" w:line="269"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9"/>
        <w:numPr>
          <w:ilvl w:val="0"/>
          <w:numId w:val="5"/>
        </w:numPr>
        <w:pBdr/>
        <w:tabs>
          <w:tab w:val="left" w:leader="none" w:pos="993"/>
        </w:tabs>
        <w:spacing w:after="120" w:before="120" w:line="269"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9"/>
        <w:numPr>
          <w:ilvl w:val="0"/>
          <w:numId w:val="10"/>
        </w:numPr>
        <w:pBdr/>
        <w:spacing w:after="120" w:before="120" w:line="269"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9"/>
        <w:numPr>
          <w:ilvl w:val="0"/>
          <w:numId w:val="10"/>
        </w:numPr>
        <w:pBdr/>
        <w:spacing w:after="120" w:before="120" w:line="269"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9"/>
        <w:numPr>
          <w:ilvl w:val="0"/>
          <w:numId w:val="10"/>
        </w:numPr>
        <w:pBdr/>
        <w:spacing w:after="120" w:before="120" w:line="269"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9"/>
        <w:pBdr/>
        <w:tabs>
          <w:tab w:val="left" w:leader="none" w:pos="993"/>
        </w:tabs>
        <w:spacing w:after="120" w:before="120" w:line="269"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9"/>
        <w:numPr>
          <w:ilvl w:val="0"/>
          <w:numId w:val="5"/>
        </w:numPr>
        <w:pBdr/>
        <w:tabs>
          <w:tab w:val="left" w:leader="none" w:pos="993"/>
        </w:tabs>
        <w:spacing w:after="120" w:before="120" w:line="269"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9"/>
        <w:numPr>
          <w:ilvl w:val="0"/>
          <w:numId w:val="5"/>
        </w:numPr>
        <w:pBdr/>
        <w:tabs>
          <w:tab w:val="left" w:leader="none" w:pos="993"/>
        </w:tabs>
        <w:spacing w:after="120" w:before="120" w:line="269"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9"/>
        <w:numPr>
          <w:ilvl w:val="0"/>
          <w:numId w:val="5"/>
        </w:numPr>
        <w:pBdr/>
        <w:tabs>
          <w:tab w:val="left" w:leader="none" w:pos="993"/>
        </w:tabs>
        <w:spacing w:after="120" w:before="120" w:line="269"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9"/>
        <w:numPr>
          <w:ilvl w:val="0"/>
          <w:numId w:val="5"/>
        </w:numPr>
        <w:pBdr/>
        <w:tabs>
          <w:tab w:val="left" w:leader="none" w:pos="993"/>
        </w:tabs>
        <w:spacing w:after="120" w:before="120" w:line="269"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9"/>
        <w:numPr>
          <w:ilvl w:val="0"/>
          <w:numId w:val="5"/>
        </w:numPr>
        <w:pBdr/>
        <w:tabs>
          <w:tab w:val="left" w:leader="none" w:pos="993"/>
        </w:tabs>
        <w:spacing w:after="120" w:before="120" w:line="269"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9"/>
        <w:numPr>
          <w:ilvl w:val="0"/>
          <w:numId w:val="5"/>
        </w:numPr>
        <w:pBdr/>
        <w:tabs>
          <w:tab w:val="left" w:leader="none" w:pos="993"/>
        </w:tabs>
        <w:spacing w:after="120" w:before="120" w:line="269"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9"/>
        <w:numPr>
          <w:ilvl w:val="0"/>
          <w:numId w:val="5"/>
        </w:numPr>
        <w:pBdr/>
        <w:spacing w:after="120" w:before="120" w:line="269"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9"/>
        <w:numPr>
          <w:ilvl w:val="0"/>
          <w:numId w:val="5"/>
        </w:numPr>
        <w:pBdr/>
        <w:tabs>
          <w:tab w:val="left" w:leader="none" w:pos="993"/>
        </w:tabs>
        <w:spacing w:after="120" w:before="120" w:line="269"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9"/>
        <w:numPr>
          <w:ilvl w:val="0"/>
          <w:numId w:val="5"/>
        </w:numPr>
        <w:pBdr/>
        <w:spacing w:after="120" w:before="120" w:line="269"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9"/>
        <w:numPr>
          <w:ilvl w:val="0"/>
          <w:numId w:val="43"/>
        </w:numPr>
        <w:pBdr/>
        <w:tabs>
          <w:tab w:val="left" w:leader="none" w:pos="993"/>
        </w:tabs>
        <w:spacing w:after="120" w:before="120" w:line="269" w:lineRule="auto"/>
        <w:ind/>
        <w:jc w:val="both"/>
        <w:rPr>
          <w:spacing w:val="-2"/>
          <w:lang w:val="pt-BR"/>
          <w14:ligatures w14:val="none"/>
        </w:rPr>
      </w:pPr>
      <w:r>
        <w:rPr>
          <w:spacing w:val="-2"/>
          <w:lang w:val="pt-BR"/>
        </w:rPr>
        <w:t xml:space="preserve">Tại thời điểm khảo sát, dưới sự hướng dẫn của chủ tài sản, trên đất có CTXD: Nhà ở 03 tầng, diện tích xây dựng khoảng 65m</w:t>
      </w:r>
      <w:r>
        <w:rPr>
          <w:spacing w:val="-2"/>
          <w:vertAlign w:val="superscript"/>
          <w:lang w:val="pt-BR"/>
        </w:rPr>
        <w:t xml:space="preserve">2</w:t>
      </w:r>
      <w:r>
        <w:rPr>
          <w:spacing w:val="-2"/>
          <w:lang w:val="pt-BR"/>
        </w:rPr>
        <w:t xml:space="preserve">, tổng diện tích sàn khoảng 195m</w:t>
      </w:r>
      <w:r>
        <w:rPr>
          <w:spacing w:val="-2"/>
          <w:vertAlign w:val="superscript"/>
          <w:lang w:val="pt-BR"/>
        </w:rPr>
        <w:t xml:space="preserve">2</w:t>
      </w:r>
      <w:r>
        <w:rPr>
          <w:spacing w:val="-2"/>
          <w:lang w:val="pt-BR"/>
        </w:rPr>
        <w:t xml:space="preserve">, có tháng máy. Công trình hoàn thiện năm 2023 và chưa được công nhận trên GCN QSDĐ số: AA 04794106</w:t>
      </w:r>
      <w:r>
        <w:rPr>
          <w:spacing w:val="-2"/>
          <w:lang w:val="pt-BR" w:bidi="pt-BR"/>
        </w:rPr>
        <w:t xml:space="preserve">. Đồng thời, Tổ thẩm định cũng không nhận được bất cứ hồ sơ pháp lý nào liên quan đến CTXD trên, do vậy, theo đề nghị của Khách hàng/Ngân hàng, Tổ thẩm định không xác định giá trị CTXD nhưng vẫn coi đó là phần không thể thiếu của tài sản thẩm định.</w:t>
      </w:r>
      <w:r>
        <w:rPr>
          <w:spacing w:val="-2"/>
          <w:lang w:val="pt-BR"/>
          <w14:ligatures w14:val="none"/>
        </w:rPr>
      </w:r>
      <w:r>
        <w:rPr>
          <w:spacing w:val="-2"/>
          <w:lang w:val="pt-BR"/>
          <w14:ligatures w14:val="none"/>
        </w:rPr>
      </w:r>
    </w:p>
    <w:p>
      <w:pPr>
        <w:pStyle w:val="1039"/>
        <w:numPr>
          <w:ilvl w:val="0"/>
          <w:numId w:val="3"/>
        </w:numPr>
        <w:pBdr/>
        <w:tabs>
          <w:tab w:val="left" w:leader="none" w:pos="993"/>
        </w:tabs>
        <w:spacing w:after="120" w:before="120" w:line="269"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9"/>
        <w:numPr>
          <w:ilvl w:val="0"/>
          <w:numId w:val="5"/>
        </w:numPr>
        <w:pBdr/>
        <w:tabs>
          <w:tab w:val="left" w:leader="none" w:pos="993"/>
        </w:tabs>
        <w:spacing w:after="120" w:before="120" w:line="269"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9"/>
        <w:numPr>
          <w:ilvl w:val="0"/>
          <w:numId w:val="5"/>
        </w:numPr>
        <w:pBdr/>
        <w:tabs>
          <w:tab w:val="left" w:leader="none" w:pos="993"/>
        </w:tabs>
        <w:spacing w:after="120" w:before="120" w:line="269"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69"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9"/>
        <w:pBdr/>
        <w:tabs>
          <w:tab w:val="left" w:leader="none" w:pos="993"/>
        </w:tabs>
        <w:spacing w:after="120" w:before="120" w:line="269"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9"/>
        <w:pBdr/>
        <w:tabs>
          <w:tab w:val="left" w:leader="none" w:pos="993"/>
        </w:tabs>
        <w:spacing w:after="120" w:before="120" w:line="269"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275/2026/0784/VFI-CT.44.A</w:t>
      </w:r>
      <w:r>
        <w:rPr>
          <w:color w:val="ff0000"/>
          <w:lang w:val="vi-VN"/>
        </w:rPr>
        <w:t xml:space="preserve"> </w:t>
      </w:r>
      <w:r>
        <w:rPr>
          <w:color w:val="000000" w:themeColor="text1"/>
        </w:rPr>
        <w:t xml:space="preserve">ngày 25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275/2026/0784/VFI-BC.44.A</w:t>
      </w:r>
      <w:r>
        <w:rPr>
          <w:i/>
          <w:lang w:val="pt-BR"/>
        </w:rPr>
        <w:t xml:space="preserve"> </w:t>
      </w:r>
      <w:r>
        <w:rPr>
          <w:i/>
          <w:lang w:val="pt-BR"/>
        </w:rPr>
        <w:t xml:space="preserve">ngày 25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1"/>
        <w:gridCol w:w="4994"/>
      </w:tblGrid>
      <w:tr>
        <w:trPr/>
        <w:tc>
          <w:tcPr>
            <w:tcBorders/>
            <w:tcW w:w="4531"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35290" cy="234901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854548" name=""/>
                              <pic:cNvPicPr>
                                <a:picLocks noChangeAspect="1"/>
                              </pic:cNvPicPr>
                              <pic:nvPr/>
                            </pic:nvPicPr>
                            <pic:blipFill rotWithShape="1">
                              <a:blip r:embed="rId19"/>
                              <a:stretch/>
                            </pic:blipFill>
                            <pic:spPr bwMode="auto">
                              <a:xfrm flipH="0" flipV="0">
                                <a:off x="0" y="0"/>
                                <a:ext cx="3135289" cy="23490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46.87pt;height:184.9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994"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88543" cy="238890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9179" name=""/>
                              <pic:cNvPicPr>
                                <a:picLocks noChangeAspect="1"/>
                              </pic:cNvPicPr>
                              <pic:nvPr/>
                            </pic:nvPicPr>
                            <pic:blipFill rotWithShape="1">
                              <a:blip r:embed="rId20"/>
                              <a:stretch/>
                            </pic:blipFill>
                            <pic:spPr bwMode="auto">
                              <a:xfrm flipH="0" flipV="0">
                                <a:off x="0" y="0"/>
                                <a:ext cx="3188542" cy="23889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51.07pt;height:188.1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531"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2230" cy="299659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650883" name=""/>
                              <pic:cNvPicPr>
                                <a:picLocks noChangeAspect="1"/>
                              </pic:cNvPicPr>
                              <pic:nvPr/>
                            </pic:nvPicPr>
                            <pic:blipFill rotWithShape="1">
                              <a:blip r:embed="rId21"/>
                              <a:stretch/>
                            </pic:blipFill>
                            <pic:spPr bwMode="auto">
                              <a:xfrm flipH="0" flipV="0">
                                <a:off x="0" y="0"/>
                                <a:ext cx="2802230" cy="29965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0.65pt;height:235.9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994"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68650" cy="288532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67831" name=""/>
                              <pic:cNvPicPr>
                                <a:picLocks noChangeAspect="1"/>
                              </pic:cNvPicPr>
                              <pic:nvPr/>
                            </pic:nvPicPr>
                            <pic:blipFill rotWithShape="1">
                              <a:blip r:embed="rId22"/>
                              <a:stretch/>
                            </pic:blipFill>
                            <pic:spPr bwMode="auto">
                              <a:xfrm flipH="0" flipV="0">
                                <a:off x="0" y="0"/>
                                <a:ext cx="2968650" cy="28853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3.75pt;height:227.1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531"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4164" cy="197564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858073" name=""/>
                              <pic:cNvPicPr>
                                <a:picLocks noChangeAspect="1"/>
                              </pic:cNvPicPr>
                              <pic:nvPr/>
                            </pic:nvPicPr>
                            <pic:blipFill rotWithShape="1">
                              <a:blip r:embed="rId23"/>
                              <a:stretch/>
                            </pic:blipFill>
                            <pic:spPr bwMode="auto">
                              <a:xfrm flipH="0" flipV="0">
                                <a:off x="0" y="0"/>
                                <a:ext cx="2784164" cy="19756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23pt;height:155.5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994"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68717" cy="202274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1810" name=""/>
                              <pic:cNvPicPr>
                                <a:picLocks noChangeAspect="1"/>
                              </pic:cNvPicPr>
                              <pic:nvPr/>
                            </pic:nvPicPr>
                            <pic:blipFill rotWithShape="1">
                              <a:blip r:embed="rId24"/>
                              <a:stretch/>
                            </pic:blipFill>
                            <pic:spPr bwMode="auto">
                              <a:xfrm flipH="0" flipV="0">
                                <a:off x="0" y="0"/>
                                <a:ext cx="2868716" cy="20227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5.88pt;height:159.27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mc:AlternateContent>
          <mc:Choice Requires="wpg">
            <w:drawing>
              <wp:inline xmlns:wp="http://schemas.openxmlformats.org/drawingml/2006/wordprocessingDrawing" distT="0" distB="0" distL="0" distR="0">
                <wp:extent cx="5211807" cy="925258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814740" name=""/>
                        <pic:cNvPicPr>
                          <a:picLocks noChangeAspect="1"/>
                        </pic:cNvPicPr>
                        <pic:nvPr/>
                      </pic:nvPicPr>
                      <pic:blipFill rotWithShape="1">
                        <a:blip r:embed="rId25"/>
                        <a:stretch/>
                      </pic:blipFill>
                      <pic:spPr bwMode="auto">
                        <a:xfrm>
                          <a:off x="0" y="0"/>
                          <a:ext cx="5211807" cy="925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10.38pt;height:728.55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5211807" cy="925258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752246" name=""/>
                        <pic:cNvPicPr>
                          <a:picLocks noChangeAspect="1"/>
                        </pic:cNvPicPr>
                        <pic:nvPr/>
                      </pic:nvPicPr>
                      <pic:blipFill rotWithShape="1">
                        <a:blip r:embed="rId26"/>
                        <a:stretch/>
                      </pic:blipFill>
                      <pic:spPr bwMode="auto">
                        <a:xfrm>
                          <a:off x="0" y="0"/>
                          <a:ext cx="5211807" cy="9252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10.38pt;height:728.55pt;mso-wrap-distance-left:0.00pt;mso-wrap-distance-top:0.00pt;mso-wrap-distance-right:0.00pt;mso-wrap-distance-bottom:0.00pt;z-index:1;" stroked="false">
                <v:imagedata r:id="rId26" o:title=""/>
                <o:lock v:ext="edit" rotation="t"/>
              </v:shape>
            </w:pict>
          </mc:Fallback>
        </mc:AlternateContent>
      </w:r>
      <w:r>
        <w:rPr>
          <w:highlight w:val="none"/>
        </w:rPr>
      </w:r>
      <w:r>
        <w:rPr>
          <w:highlight w:val="none"/>
        </w:rPr>
      </w:r>
    </w:p>
    <w:p>
      <w:pPr>
        <w:pBdr/>
        <w:spacing w:after="200" w:line="276" w:lineRule="auto"/>
        <w:ind/>
        <w:rPr/>
      </w:pPr>
      <w:r>
        <w:rPr>
          <w:highlight w:val="none"/>
        </w:rPr>
      </w: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81569" name=""/>
                        <pic:cNvPicPr>
                          <a:picLocks noChangeAspect="1"/>
                        </pic:cNvPicPr>
                        <pic:nvPr/>
                      </pic:nvPicPr>
                      <pic:blipFill rotWithShape="1">
                        <a:blip r:embed="rId2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7" o:title=""/>
                <o:lock v:ext="edit" rotation="t"/>
              </v:shape>
            </w:pict>
          </mc:Fallback>
        </mc:AlternateContent>
      </w:r>
      <w:r>
        <w:rPr>
          <w:highlight w:val="none"/>
        </w:rPr>
      </w:r>
      <w:r/>
    </w:p>
    <w:p>
      <w:pPr>
        <w:pBdr/>
        <w:shd w:val="nil" w:color="auto"/>
        <w:spacing/>
        <w:ind/>
        <w:rPr>
          <w:bCs/>
          <w:i/>
          <w:lang w:val="pt-BR"/>
        </w:rPr>
      </w:pPr>
      <w:r>
        <w:rPr>
          <w:b/>
          <w:highlight w:val="none"/>
        </w:rPr>
        <w:br w:type="page" w:clear="all"/>
      </w:r>
      <w:r>
        <w:rPr>
          <w:bCs/>
          <w:i/>
          <w:lang w:val="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275/2026/0784/VFI-BC.44.A</w:t>
      </w:r>
      <w:r>
        <w:rPr>
          <w:i/>
          <w:lang w:val="pt-BR"/>
        </w:rPr>
        <w:t xml:space="preserve"> ngày </w:t>
      </w:r>
      <w:r>
        <w:rPr>
          <w:i/>
          <w:lang w:val="pt-BR"/>
        </w:rPr>
        <w:t xml:space="preserve">25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https://guland.vn/post/ban-dat-125m2-ngang-5m-mat-duong-lien-xa-gia-648-ty-xa-an-truong-truong-thanh-lien-he-0362558882-1481335</w:t>
            </w:r>
            <w:r>
              <w:rPr>
                <w:color w:val="000000" w:themeColor="text1"/>
                <w:sz w:val="22"/>
                <w:szCs w:val="22"/>
              </w:rPr>
              <w:br/>
              <w:t xml:space="preserve">0362.558882</w:t>
            </w:r>
            <w:r>
              <w:rPr>
                <w:sz w:val="22"/>
                <w:szCs w:val="22"/>
              </w:rPr>
              <w:t xml:space="preserve"> </w:t>
            </w:r>
            <w:r>
              <w:rPr>
                <w:sz w:val="22"/>
                <w:szCs w:val="22"/>
              </w:rPr>
              <w:br/>
              <w:t xml:space="preserve">(A.Huy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5.184.000.000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Đã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Tiếp giáp trục chính xã An Trường, xã An Trường, Thành phố Hải Phòng, độ rộng đường trước mặt tài sản 6m, mặt tiền 5m, 20.84391323857132, 106.56032504648661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9858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49858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32.96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85547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8554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82.32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https://guland.vn/post/ban-dat-81m2-ngang-5m-duong-rong-6m-gia-222-ty-xa-an-truong-truong-thanh-lien-he-0362558882-1527793</w:t>
            </w:r>
            <w:r>
              <w:rPr>
                <w:color w:val="000000" w:themeColor="text1"/>
                <w:sz w:val="22"/>
                <w:szCs w:val="22"/>
              </w:rPr>
              <w:br/>
              <w:t xml:space="preserve">0362.558882</w:t>
            </w:r>
            <w:r>
              <w:rPr>
                <w:sz w:val="22"/>
                <w:szCs w:val="22"/>
              </w:rPr>
              <w:t xml:space="preserve"> </w:t>
            </w:r>
            <w:r>
              <w:rPr>
                <w:sz w:val="22"/>
                <w:szCs w:val="22"/>
              </w:rPr>
              <w:br/>
              <w:t xml:space="preserve">(A.Huy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1.998.000.000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(81,3m²)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Vị trí 2, trục chính An Trường, </w:t>
            </w:r>
            <w:r>
              <w:rPr>
                <w:color w:val="000000" w:themeColor="text1"/>
                <w:sz w:val="22"/>
                <w:szCs w:val="22"/>
              </w:rPr>
              <w:t xml:space="preserve">Xã An Trường, Thành phố Hải Phòng, khoảng cách ra đường chính 1m, độ rộng đường trước mặt tài sản 5,5m, mặt tiền 5m, 20.84566789562933, 106.55455829775943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81,3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12306"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41230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26.17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98827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9882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92.78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89425"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38942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45.62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https://www.facebook.com/share/p/18kbTTLrkV/</w:t>
            </w:r>
            <w:r>
              <w:rPr>
                <w:color w:val="000000" w:themeColor="text1"/>
                <w:sz w:val="22"/>
                <w:szCs w:val="22"/>
              </w:rPr>
              <w:br/>
            </w:r>
            <w:r>
              <w:rPr>
                <w:sz w:val="22"/>
                <w:szCs w:val="22"/>
              </w:rPr>
              <w:t xml:space="preserve">SĐT: </w:t>
            </w:r>
            <w:r>
              <w:rPr>
                <w:color w:val="000000" w:themeColor="text1"/>
                <w:sz w:val="22"/>
                <w:szCs w:val="22"/>
              </w:rPr>
              <w:t xml:space="preserve">0934.34 3338</w:t>
            </w:r>
            <w:r>
              <w:rPr>
                <w:sz w:val="22"/>
                <w:szCs w:val="22"/>
              </w:rPr>
              <w:t xml:space="preserve"> </w:t>
            </w:r>
            <w:r>
              <w:rPr>
                <w:sz w:val="22"/>
                <w:szCs w:val="22"/>
              </w:rPr>
              <w:br/>
              <w:t xml:space="preserve">(A.Tiến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1.512.000.000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(87,5m²)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Vị trí 2, trục chính An Trường</w:t>
            </w:r>
            <w:r>
              <w:rPr>
                <w:color w:val="000000" w:themeColor="text1"/>
                <w:sz w:val="22"/>
                <w:szCs w:val="22"/>
              </w:rPr>
              <w:t xml:space="preserve">, Xã An Trường, Thành phố Hải Phòng, độ rộng đường trước mặt tài sản 4m, mặt tiền 5m, 20.847743377486353, 106.55129136717929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vào thẳng tắp như mũi tên đâm thẳng cửa chính 'Thế tiễn khí'</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6868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516868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06.98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r/>
            <w:r>
              <w:rPr>
                <w:b/>
                <w:bCs/>
              </w:rPr>
            </w:r>
            <w:r>
              <w:rPr>
                <w:b/>
                <w:bCs/>
              </w:rPr>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A21E757"/>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40A37A23"/>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091B889A"/>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5B2BEDFB"/>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0FCFB549"/>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0B2630BF"/>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1">
    <w:name w:val="Table Grid Light"/>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1"/>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2"/>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3"/>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4"/>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5"/>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w:basedOn w:val="10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w:basedOn w:val="10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1"/>
    <w:basedOn w:val="10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2"/>
    <w:basedOn w:val="10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3"/>
    <w:basedOn w:val="10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4"/>
    <w:basedOn w:val="10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5"/>
    <w:basedOn w:val="10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6"/>
    <w:basedOn w:val="10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1"/>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2"/>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3"/>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4"/>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5"/>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6"/>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3">
    <w:name w:val="Grid Table 6 Colorful - Accent 1"/>
    <w:basedOn w:val="10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4">
    <w:name w:val="Grid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5">
    <w:name w:val="Grid Table 6 Colorful - Accent 3"/>
    <w:basedOn w:val="10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6">
    <w:name w:val="Grid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7">
    <w:name w:val="Grid Table 6 Colorful - Accent 5"/>
    <w:basedOn w:val="10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6 Colorful - Accent 6"/>
    <w:basedOn w:val="10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7 Colorful"/>
    <w:basedOn w:val="10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1"/>
    <w:basedOn w:val="10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5"/>
    <w:basedOn w:val="10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6"/>
    <w:basedOn w:val="10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1"/>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2"/>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3"/>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4"/>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5"/>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6"/>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w:basedOn w:val="10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1"/>
    <w:basedOn w:val="10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2"/>
    <w:basedOn w:val="10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3"/>
    <w:basedOn w:val="10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4"/>
    <w:basedOn w:val="10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5"/>
    <w:basedOn w:val="10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6"/>
    <w:basedOn w:val="10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1"/>
    <w:basedOn w:val="10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3"/>
    <w:basedOn w:val="10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5"/>
    <w:basedOn w:val="10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6"/>
    <w:basedOn w:val="10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1"/>
    <w:basedOn w:val="10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2"/>
    <w:basedOn w:val="10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3"/>
    <w:basedOn w:val="10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4"/>
    <w:basedOn w:val="10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5"/>
    <w:basedOn w:val="10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6"/>
    <w:basedOn w:val="10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5 Dark"/>
    <w:basedOn w:val="10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1"/>
    <w:basedOn w:val="10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2"/>
    <w:basedOn w:val="10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3"/>
    <w:basedOn w:val="10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4"/>
    <w:basedOn w:val="10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5"/>
    <w:basedOn w:val="10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6"/>
    <w:basedOn w:val="10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1"/>
    <w:basedOn w:val="10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3"/>
    <w:basedOn w:val="10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5"/>
    <w:basedOn w:val="10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6"/>
    <w:basedOn w:val="10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7 Colorful"/>
    <w:basedOn w:val="10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9">
    <w:name w:val="List Table 7 Colorful - Accent 1"/>
    <w:basedOn w:val="10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0">
    <w:name w:val="List Table 7 Colorful - Accent 2"/>
    <w:basedOn w:val="10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1">
    <w:name w:val="List Table 7 Colorful - Accent 3"/>
    <w:basedOn w:val="10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2">
    <w:name w:val="List Table 7 Colorful - Accent 4"/>
    <w:basedOn w:val="10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3">
    <w:name w:val="List Table 7 Colorful - Accent 5"/>
    <w:basedOn w:val="10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4">
    <w:name w:val="List Table 7 Colorful - Accent 6"/>
    <w:basedOn w:val="10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5">
    <w:name w:val="Lined - Accent"/>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1"/>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2"/>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3"/>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4"/>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5"/>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6"/>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w:basedOn w:val="10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1"/>
    <w:basedOn w:val="10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2"/>
    <w:basedOn w:val="10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3"/>
    <w:basedOn w:val="10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4"/>
    <w:basedOn w:val="10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5"/>
    <w:basedOn w:val="10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6"/>
    <w:basedOn w:val="10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w:basedOn w:val="10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Heading 5"/>
    <w:basedOn w:val="1017"/>
    <w:next w:val="1017"/>
    <w:link w:val="9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7">
    <w:name w:val="Heading 6"/>
    <w:basedOn w:val="1017"/>
    <w:next w:val="1017"/>
    <w:link w:val="9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8">
    <w:name w:val="Heading 7"/>
    <w:basedOn w:val="1017"/>
    <w:next w:val="1017"/>
    <w:link w:val="9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9">
    <w:name w:val="Heading 8"/>
    <w:basedOn w:val="1017"/>
    <w:next w:val="1017"/>
    <w:link w:val="9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0">
    <w:name w:val="Heading 9"/>
    <w:basedOn w:val="1017"/>
    <w:next w:val="1017"/>
    <w:link w:val="9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1">
    <w:name w:val="Heading 5 Char"/>
    <w:basedOn w:val="1022"/>
    <w:link w:val="976"/>
    <w:uiPriority w:val="9"/>
    <w:pPr>
      <w:pBdr/>
      <w:spacing/>
      <w:ind/>
    </w:pPr>
    <w:rPr>
      <w:rFonts w:ascii="Arial" w:hAnsi="Arial" w:eastAsia="Arial" w:cs="Arial"/>
      <w:color w:val="0f4761" w:themeColor="accent1" w:themeShade="BF"/>
    </w:rPr>
  </w:style>
  <w:style w:type="character" w:styleId="982">
    <w:name w:val="Heading 6 Char"/>
    <w:basedOn w:val="1022"/>
    <w:link w:val="977"/>
    <w:uiPriority w:val="9"/>
    <w:pPr>
      <w:pBdr/>
      <w:spacing/>
      <w:ind/>
    </w:pPr>
    <w:rPr>
      <w:rFonts w:ascii="Arial" w:hAnsi="Arial" w:eastAsia="Arial" w:cs="Arial"/>
      <w:i/>
      <w:iCs/>
      <w:color w:val="595959" w:themeColor="text1" w:themeTint="A6"/>
    </w:rPr>
  </w:style>
  <w:style w:type="character" w:styleId="983">
    <w:name w:val="Heading 7 Char"/>
    <w:basedOn w:val="1022"/>
    <w:link w:val="978"/>
    <w:uiPriority w:val="9"/>
    <w:pPr>
      <w:pBdr/>
      <w:spacing/>
      <w:ind/>
    </w:pPr>
    <w:rPr>
      <w:rFonts w:ascii="Arial" w:hAnsi="Arial" w:eastAsia="Arial" w:cs="Arial"/>
      <w:color w:val="595959" w:themeColor="text1" w:themeTint="A6"/>
    </w:rPr>
  </w:style>
  <w:style w:type="character" w:styleId="984">
    <w:name w:val="Heading 8 Char"/>
    <w:basedOn w:val="1022"/>
    <w:link w:val="979"/>
    <w:uiPriority w:val="9"/>
    <w:pPr>
      <w:pBdr/>
      <w:spacing/>
      <w:ind/>
    </w:pPr>
    <w:rPr>
      <w:rFonts w:ascii="Arial" w:hAnsi="Arial" w:eastAsia="Arial" w:cs="Arial"/>
      <w:i/>
      <w:iCs/>
      <w:color w:val="272727" w:themeColor="text1" w:themeTint="D8"/>
    </w:rPr>
  </w:style>
  <w:style w:type="character" w:styleId="985">
    <w:name w:val="Heading 9 Char"/>
    <w:basedOn w:val="1022"/>
    <w:link w:val="980"/>
    <w:uiPriority w:val="9"/>
    <w:pPr>
      <w:pBdr/>
      <w:spacing/>
      <w:ind/>
    </w:pPr>
    <w:rPr>
      <w:rFonts w:ascii="Arial" w:hAnsi="Arial" w:eastAsia="Arial" w:cs="Arial"/>
      <w:i/>
      <w:iCs/>
      <w:color w:val="272727" w:themeColor="text1" w:themeTint="D8"/>
    </w:rPr>
  </w:style>
  <w:style w:type="paragraph" w:styleId="986">
    <w:name w:val="Subtitle"/>
    <w:basedOn w:val="1017"/>
    <w:next w:val="1017"/>
    <w:link w:val="987"/>
    <w:uiPriority w:val="11"/>
    <w:qFormat/>
    <w:pPr>
      <w:numPr>
        <w:ilvl w:val="1"/>
      </w:numPr>
      <w:pBdr/>
      <w:spacing/>
      <w:ind/>
    </w:pPr>
    <w:rPr>
      <w:color w:val="595959" w:themeColor="text1" w:themeTint="A6"/>
      <w:spacing w:val="15"/>
      <w:sz w:val="28"/>
      <w:szCs w:val="28"/>
    </w:rPr>
  </w:style>
  <w:style w:type="character" w:styleId="987">
    <w:name w:val="Subtitle Char"/>
    <w:basedOn w:val="1022"/>
    <w:link w:val="986"/>
    <w:uiPriority w:val="11"/>
    <w:pPr>
      <w:pBdr/>
      <w:spacing/>
      <w:ind/>
    </w:pPr>
    <w:rPr>
      <w:color w:val="595959" w:themeColor="text1" w:themeTint="A6"/>
      <w:spacing w:val="15"/>
      <w:sz w:val="28"/>
      <w:szCs w:val="28"/>
    </w:rPr>
  </w:style>
  <w:style w:type="paragraph" w:styleId="988">
    <w:name w:val="Quote"/>
    <w:basedOn w:val="1017"/>
    <w:next w:val="1017"/>
    <w:link w:val="989"/>
    <w:uiPriority w:val="29"/>
    <w:qFormat/>
    <w:pPr>
      <w:pBdr/>
      <w:spacing w:before="160"/>
      <w:ind/>
      <w:jc w:val="center"/>
    </w:pPr>
    <w:rPr>
      <w:i/>
      <w:iCs/>
      <w:color w:val="404040" w:themeColor="text1" w:themeTint="BF"/>
    </w:rPr>
  </w:style>
  <w:style w:type="character" w:styleId="989">
    <w:name w:val="Quote Char"/>
    <w:basedOn w:val="1022"/>
    <w:link w:val="988"/>
    <w:uiPriority w:val="29"/>
    <w:pPr>
      <w:pBdr/>
      <w:spacing/>
      <w:ind/>
    </w:pPr>
    <w:rPr>
      <w:i/>
      <w:iCs/>
      <w:color w:val="404040" w:themeColor="text1" w:themeTint="BF"/>
    </w:rPr>
  </w:style>
  <w:style w:type="character" w:styleId="990">
    <w:name w:val="Intense Emphasis"/>
    <w:basedOn w:val="1022"/>
    <w:uiPriority w:val="21"/>
    <w:qFormat/>
    <w:pPr>
      <w:pBdr/>
      <w:spacing/>
      <w:ind/>
    </w:pPr>
    <w:rPr>
      <w:i/>
      <w:iCs/>
      <w:color w:val="0f4761" w:themeColor="accent1" w:themeShade="BF"/>
    </w:rPr>
  </w:style>
  <w:style w:type="paragraph" w:styleId="991">
    <w:name w:val="Intense Quote"/>
    <w:basedOn w:val="1017"/>
    <w:next w:val="1017"/>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22"/>
    <w:link w:val="991"/>
    <w:uiPriority w:val="30"/>
    <w:pPr>
      <w:pBdr/>
      <w:spacing/>
      <w:ind/>
    </w:pPr>
    <w:rPr>
      <w:i/>
      <w:iCs/>
      <w:color w:val="0f4761" w:themeColor="accent1" w:themeShade="BF"/>
    </w:rPr>
  </w:style>
  <w:style w:type="character" w:styleId="993">
    <w:name w:val="Intense Reference"/>
    <w:basedOn w:val="1022"/>
    <w:uiPriority w:val="32"/>
    <w:qFormat/>
    <w:pPr>
      <w:pBdr/>
      <w:spacing/>
      <w:ind/>
    </w:pPr>
    <w:rPr>
      <w:b/>
      <w:bCs/>
      <w:smallCaps/>
      <w:color w:val="0f4761" w:themeColor="accent1" w:themeShade="BF"/>
      <w:spacing w:val="5"/>
    </w:rPr>
  </w:style>
  <w:style w:type="paragraph" w:styleId="994">
    <w:name w:val="No Spacing"/>
    <w:basedOn w:val="1017"/>
    <w:uiPriority w:val="1"/>
    <w:qFormat/>
    <w:pPr>
      <w:pBdr/>
      <w:spacing w:after="0" w:line="240" w:lineRule="auto"/>
      <w:ind/>
    </w:pPr>
  </w:style>
  <w:style w:type="character" w:styleId="995">
    <w:name w:val="Subtle Emphasis"/>
    <w:basedOn w:val="1022"/>
    <w:uiPriority w:val="19"/>
    <w:qFormat/>
    <w:pPr>
      <w:pBdr/>
      <w:spacing/>
      <w:ind/>
    </w:pPr>
    <w:rPr>
      <w:i/>
      <w:iCs/>
      <w:color w:val="404040" w:themeColor="text1" w:themeTint="BF"/>
    </w:rPr>
  </w:style>
  <w:style w:type="character" w:styleId="996">
    <w:name w:val="Subtle Reference"/>
    <w:basedOn w:val="1022"/>
    <w:uiPriority w:val="31"/>
    <w:qFormat/>
    <w:pPr>
      <w:pBdr/>
      <w:spacing/>
      <w:ind/>
    </w:pPr>
    <w:rPr>
      <w:smallCaps/>
      <w:color w:val="5a5a5a" w:themeColor="text1" w:themeTint="A5"/>
    </w:rPr>
  </w:style>
  <w:style w:type="character" w:styleId="997">
    <w:name w:val="Book Title"/>
    <w:basedOn w:val="1022"/>
    <w:uiPriority w:val="33"/>
    <w:qFormat/>
    <w:pPr>
      <w:pBdr/>
      <w:spacing/>
      <w:ind/>
    </w:pPr>
    <w:rPr>
      <w:b/>
      <w:bCs/>
      <w:i/>
      <w:iCs/>
      <w:spacing w:val="5"/>
    </w:rPr>
  </w:style>
  <w:style w:type="paragraph" w:styleId="998">
    <w:name w:val="Caption"/>
    <w:basedOn w:val="1017"/>
    <w:next w:val="1017"/>
    <w:uiPriority w:val="35"/>
    <w:unhideWhenUsed/>
    <w:qFormat/>
    <w:pPr>
      <w:pBdr/>
      <w:spacing w:after="200" w:line="240" w:lineRule="auto"/>
      <w:ind/>
    </w:pPr>
    <w:rPr>
      <w:i/>
      <w:iCs/>
      <w:color w:val="0e2841" w:themeColor="text2"/>
      <w:sz w:val="18"/>
      <w:szCs w:val="18"/>
    </w:rPr>
  </w:style>
  <w:style w:type="paragraph" w:styleId="999">
    <w:name w:val="footnote text"/>
    <w:basedOn w:val="1017"/>
    <w:link w:val="1000"/>
    <w:uiPriority w:val="99"/>
    <w:semiHidden/>
    <w:unhideWhenUsed/>
    <w:pPr>
      <w:pBdr/>
      <w:spacing w:after="0" w:line="240" w:lineRule="auto"/>
      <w:ind/>
    </w:pPr>
    <w:rPr>
      <w:sz w:val="20"/>
      <w:szCs w:val="20"/>
    </w:rPr>
  </w:style>
  <w:style w:type="character" w:styleId="1000">
    <w:name w:val="Footnote Text Char"/>
    <w:basedOn w:val="1022"/>
    <w:link w:val="999"/>
    <w:uiPriority w:val="99"/>
    <w:semiHidden/>
    <w:pPr>
      <w:pBdr/>
      <w:spacing/>
      <w:ind/>
    </w:pPr>
    <w:rPr>
      <w:sz w:val="20"/>
      <w:szCs w:val="20"/>
    </w:rPr>
  </w:style>
  <w:style w:type="character" w:styleId="1001">
    <w:name w:val="footnote reference"/>
    <w:basedOn w:val="1022"/>
    <w:uiPriority w:val="99"/>
    <w:semiHidden/>
    <w:unhideWhenUsed/>
    <w:pPr>
      <w:pBdr/>
      <w:spacing/>
      <w:ind/>
    </w:pPr>
    <w:rPr>
      <w:vertAlign w:val="superscript"/>
    </w:rPr>
  </w:style>
  <w:style w:type="paragraph" w:styleId="1002">
    <w:name w:val="endnote text"/>
    <w:basedOn w:val="1017"/>
    <w:link w:val="1003"/>
    <w:uiPriority w:val="99"/>
    <w:semiHidden/>
    <w:unhideWhenUsed/>
    <w:pPr>
      <w:pBdr/>
      <w:spacing w:after="0" w:line="240" w:lineRule="auto"/>
      <w:ind/>
    </w:pPr>
    <w:rPr>
      <w:sz w:val="20"/>
      <w:szCs w:val="20"/>
    </w:rPr>
  </w:style>
  <w:style w:type="character" w:styleId="1003">
    <w:name w:val="Endnote Text Char"/>
    <w:basedOn w:val="1022"/>
    <w:link w:val="1002"/>
    <w:uiPriority w:val="99"/>
    <w:semiHidden/>
    <w:pPr>
      <w:pBdr/>
      <w:spacing/>
      <w:ind/>
    </w:pPr>
    <w:rPr>
      <w:sz w:val="20"/>
      <w:szCs w:val="20"/>
    </w:rPr>
  </w:style>
  <w:style w:type="character" w:styleId="1004">
    <w:name w:val="endnote reference"/>
    <w:basedOn w:val="1022"/>
    <w:uiPriority w:val="99"/>
    <w:semiHidden/>
    <w:unhideWhenUsed/>
    <w:pPr>
      <w:pBdr/>
      <w:spacing/>
      <w:ind/>
    </w:pPr>
    <w:rPr>
      <w:vertAlign w:val="superscript"/>
    </w:rPr>
  </w:style>
  <w:style w:type="paragraph" w:styleId="1005">
    <w:name w:val="toc 1"/>
    <w:basedOn w:val="1017"/>
    <w:next w:val="1017"/>
    <w:uiPriority w:val="39"/>
    <w:unhideWhenUsed/>
    <w:pPr>
      <w:pBdr/>
      <w:spacing w:after="100"/>
      <w:ind/>
    </w:pPr>
  </w:style>
  <w:style w:type="paragraph" w:styleId="1006">
    <w:name w:val="toc 2"/>
    <w:basedOn w:val="1017"/>
    <w:next w:val="1017"/>
    <w:uiPriority w:val="39"/>
    <w:unhideWhenUsed/>
    <w:pPr>
      <w:pBdr/>
      <w:spacing w:after="100"/>
      <w:ind w:left="220"/>
    </w:pPr>
  </w:style>
  <w:style w:type="paragraph" w:styleId="1007">
    <w:name w:val="toc 3"/>
    <w:basedOn w:val="1017"/>
    <w:next w:val="1017"/>
    <w:uiPriority w:val="39"/>
    <w:unhideWhenUsed/>
    <w:pPr>
      <w:pBdr/>
      <w:spacing w:after="100"/>
      <w:ind w:left="440"/>
    </w:pPr>
  </w:style>
  <w:style w:type="paragraph" w:styleId="1008">
    <w:name w:val="toc 4"/>
    <w:basedOn w:val="1017"/>
    <w:next w:val="1017"/>
    <w:uiPriority w:val="39"/>
    <w:unhideWhenUsed/>
    <w:pPr>
      <w:pBdr/>
      <w:spacing w:after="100"/>
      <w:ind w:left="660"/>
    </w:pPr>
  </w:style>
  <w:style w:type="paragraph" w:styleId="1009">
    <w:name w:val="toc 5"/>
    <w:basedOn w:val="1017"/>
    <w:next w:val="1017"/>
    <w:uiPriority w:val="39"/>
    <w:unhideWhenUsed/>
    <w:pPr>
      <w:pBdr/>
      <w:spacing w:after="100"/>
      <w:ind w:left="880"/>
    </w:pPr>
  </w:style>
  <w:style w:type="paragraph" w:styleId="1010">
    <w:name w:val="toc 6"/>
    <w:basedOn w:val="1017"/>
    <w:next w:val="1017"/>
    <w:uiPriority w:val="39"/>
    <w:unhideWhenUsed/>
    <w:pPr>
      <w:pBdr/>
      <w:spacing w:after="100"/>
      <w:ind w:left="1100"/>
    </w:pPr>
  </w:style>
  <w:style w:type="paragraph" w:styleId="1011">
    <w:name w:val="toc 7"/>
    <w:basedOn w:val="1017"/>
    <w:next w:val="1017"/>
    <w:uiPriority w:val="39"/>
    <w:unhideWhenUsed/>
    <w:pPr>
      <w:pBdr/>
      <w:spacing w:after="100"/>
      <w:ind w:left="1320"/>
    </w:pPr>
  </w:style>
  <w:style w:type="paragraph" w:styleId="1012">
    <w:name w:val="toc 8"/>
    <w:basedOn w:val="1017"/>
    <w:next w:val="1017"/>
    <w:uiPriority w:val="39"/>
    <w:unhideWhenUsed/>
    <w:pPr>
      <w:pBdr/>
      <w:spacing w:after="100"/>
      <w:ind w:left="1540"/>
    </w:pPr>
  </w:style>
  <w:style w:type="paragraph" w:styleId="1013">
    <w:name w:val="toc 9"/>
    <w:basedOn w:val="1017"/>
    <w:next w:val="1017"/>
    <w:uiPriority w:val="39"/>
    <w:unhideWhenUsed/>
    <w:pPr>
      <w:pBdr/>
      <w:spacing w:after="100"/>
      <w:ind w:left="1760"/>
    </w:pPr>
  </w:style>
  <w:style w:type="character" w:styleId="1014">
    <w:name w:val="Placeholder Text"/>
    <w:basedOn w:val="1022"/>
    <w:uiPriority w:val="99"/>
    <w:semiHidden/>
    <w:pPr>
      <w:pBdr/>
      <w:spacing/>
      <w:ind/>
    </w:pPr>
    <w:rPr>
      <w:color w:val="666666"/>
    </w:rPr>
  </w:style>
  <w:style w:type="paragraph" w:styleId="1015">
    <w:name w:val="TOC Heading"/>
    <w:uiPriority w:val="39"/>
    <w:unhideWhenUsed/>
    <w:pPr>
      <w:pBdr/>
      <w:spacing/>
      <w:ind/>
    </w:pPr>
  </w:style>
  <w:style w:type="paragraph" w:styleId="1016">
    <w:name w:val="table of figures"/>
    <w:basedOn w:val="1017"/>
    <w:next w:val="1017"/>
    <w:uiPriority w:val="99"/>
    <w:unhideWhenUsed/>
    <w:pPr>
      <w:pBdr/>
      <w:spacing w:after="0" w:afterAutospacing="0"/>
      <w:ind/>
    </w:pPr>
  </w:style>
  <w:style w:type="paragraph" w:styleId="1017" w:default="1">
    <w:name w:val="Normal"/>
    <w:qFormat/>
    <w:pPr>
      <w:pBdr/>
      <w:spacing w:after="0" w:line="240" w:lineRule="auto"/>
      <w:ind/>
    </w:pPr>
    <w:rPr>
      <w:rFonts w:ascii="Times New Roman" w:hAnsi="Times New Roman" w:eastAsia="Times New Roman" w:cs="Times New Roman"/>
      <w:sz w:val="24"/>
      <w:szCs w:val="24"/>
    </w:rPr>
  </w:style>
  <w:style w:type="paragraph" w:styleId="1018">
    <w:name w:val="Heading 1"/>
    <w:basedOn w:val="1017"/>
    <w:next w:val="1017"/>
    <w:link w:val="1025"/>
    <w:qFormat/>
    <w:pPr>
      <w:keepNext w:val="true"/>
      <w:pBdr/>
      <w:spacing w:after="120" w:before="120"/>
      <w:ind/>
      <w:jc w:val="center"/>
      <w:outlineLvl w:val="0"/>
    </w:pPr>
    <w:rPr>
      <w:b/>
      <w:bCs/>
      <w:sz w:val="27"/>
      <w:szCs w:val="27"/>
    </w:rPr>
  </w:style>
  <w:style w:type="paragraph" w:styleId="1019">
    <w:name w:val="Heading 2"/>
    <w:basedOn w:val="1017"/>
    <w:next w:val="1017"/>
    <w:link w:val="102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0">
    <w:name w:val="Heading 3"/>
    <w:basedOn w:val="1017"/>
    <w:next w:val="1017"/>
    <w:link w:val="1027"/>
    <w:qFormat/>
    <w:pPr>
      <w:keepNext w:val="true"/>
      <w:pBdr/>
      <w:spacing w:before="60"/>
      <w:ind/>
      <w:outlineLvl w:val="2"/>
    </w:pPr>
    <w:rPr>
      <w:sz w:val="28"/>
      <w:szCs w:val="28"/>
    </w:rPr>
  </w:style>
  <w:style w:type="paragraph" w:styleId="1021">
    <w:name w:val="Heading 4"/>
    <w:basedOn w:val="1017"/>
    <w:next w:val="1017"/>
    <w:link w:val="1028"/>
    <w:qFormat/>
    <w:pPr>
      <w:keepNext w:val="true"/>
      <w:pBdr/>
      <w:spacing/>
      <w:ind/>
      <w:jc w:val="center"/>
      <w:outlineLvl w:val="3"/>
    </w:pPr>
    <w:rPr>
      <w:b/>
      <w:bCs/>
    </w:rPr>
  </w:style>
  <w:style w:type="character" w:styleId="1022" w:default="1">
    <w:name w:val="Default Paragraph Font"/>
    <w:uiPriority w:val="1"/>
    <w:semiHidden/>
    <w:unhideWhenUsed/>
    <w:pPr>
      <w:pBdr/>
      <w:spacing/>
      <w:ind/>
    </w:pPr>
  </w:style>
  <w:style w:type="table" w:styleId="10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4" w:default="1">
    <w:name w:val="No List"/>
    <w:uiPriority w:val="99"/>
    <w:semiHidden/>
    <w:unhideWhenUsed/>
    <w:pPr>
      <w:pBdr/>
      <w:spacing/>
      <w:ind/>
    </w:pPr>
  </w:style>
  <w:style w:type="character" w:styleId="1025" w:customStyle="1">
    <w:name w:val="Heading 1 Char"/>
    <w:basedOn w:val="1022"/>
    <w:link w:val="1018"/>
    <w:pPr>
      <w:pBdr/>
      <w:spacing/>
      <w:ind/>
    </w:pPr>
    <w:rPr>
      <w:rFonts w:ascii="Times New Roman" w:hAnsi="Times New Roman" w:eastAsia="Times New Roman" w:cs="Times New Roman"/>
      <w:b/>
      <w:bCs/>
      <w:sz w:val="27"/>
      <w:szCs w:val="27"/>
    </w:rPr>
  </w:style>
  <w:style w:type="character" w:styleId="1026" w:customStyle="1">
    <w:name w:val="Heading 2 Char"/>
    <w:basedOn w:val="1022"/>
    <w:link w:val="1019"/>
    <w:uiPriority w:val="9"/>
    <w:pPr>
      <w:pBdr/>
      <w:spacing/>
      <w:ind/>
    </w:pPr>
    <w:rPr>
      <w:rFonts w:asciiTheme="majorHAnsi" w:hAnsiTheme="majorHAnsi" w:eastAsiaTheme="majorEastAsia" w:cstheme="majorBidi"/>
      <w:color w:val="365f91" w:themeColor="accent1" w:themeShade="BF"/>
      <w:sz w:val="26"/>
      <w:szCs w:val="26"/>
    </w:rPr>
  </w:style>
  <w:style w:type="character" w:styleId="1027" w:customStyle="1">
    <w:name w:val="Heading 3 Char"/>
    <w:basedOn w:val="1022"/>
    <w:link w:val="1020"/>
    <w:pPr>
      <w:pBdr/>
      <w:spacing/>
      <w:ind/>
    </w:pPr>
    <w:rPr>
      <w:rFonts w:ascii="Times New Roman" w:hAnsi="Times New Roman" w:eastAsia="Times New Roman" w:cs="Times New Roman"/>
      <w:sz w:val="28"/>
      <w:szCs w:val="28"/>
    </w:rPr>
  </w:style>
  <w:style w:type="character" w:styleId="1028" w:customStyle="1">
    <w:name w:val="Heading 4 Char"/>
    <w:basedOn w:val="1022"/>
    <w:link w:val="1021"/>
    <w:pPr>
      <w:pBdr/>
      <w:spacing/>
      <w:ind/>
    </w:pPr>
    <w:rPr>
      <w:rFonts w:ascii="Times New Roman" w:hAnsi="Times New Roman" w:eastAsia="Times New Roman" w:cs="Times New Roman"/>
      <w:b/>
      <w:bCs/>
      <w:sz w:val="24"/>
      <w:szCs w:val="24"/>
    </w:rPr>
  </w:style>
  <w:style w:type="character" w:styleId="1029">
    <w:name w:val="Hyperlink"/>
    <w:uiPriority w:val="99"/>
    <w:pPr>
      <w:pBdr/>
      <w:spacing/>
      <w:ind/>
    </w:pPr>
    <w:rPr>
      <w:color w:val="000000"/>
      <w:u w:val="single"/>
    </w:rPr>
  </w:style>
  <w:style w:type="character" w:styleId="1030">
    <w:name w:val="Strong"/>
    <w:uiPriority w:val="22"/>
    <w:qFormat/>
    <w:pPr>
      <w:pBdr/>
      <w:spacing/>
      <w:ind/>
    </w:pPr>
    <w:rPr>
      <w:b/>
      <w:bCs/>
    </w:rPr>
  </w:style>
  <w:style w:type="paragraph" w:styleId="1031">
    <w:name w:val="Balloon Text"/>
    <w:basedOn w:val="1017"/>
    <w:link w:val="1032"/>
    <w:uiPriority w:val="99"/>
    <w:semiHidden/>
    <w:unhideWhenUsed/>
    <w:pPr>
      <w:pBdr/>
      <w:spacing/>
      <w:ind/>
    </w:pPr>
    <w:rPr>
      <w:rFonts w:ascii="Tahoma" w:hAnsi="Tahoma" w:cs="Tahoma"/>
      <w:sz w:val="16"/>
      <w:szCs w:val="16"/>
    </w:rPr>
  </w:style>
  <w:style w:type="character" w:styleId="1032" w:customStyle="1">
    <w:name w:val="Balloon Text Char"/>
    <w:basedOn w:val="1022"/>
    <w:link w:val="1031"/>
    <w:uiPriority w:val="99"/>
    <w:semiHidden/>
    <w:pPr>
      <w:pBdr/>
      <w:spacing/>
      <w:ind/>
    </w:pPr>
    <w:rPr>
      <w:rFonts w:ascii="Tahoma" w:hAnsi="Tahoma" w:eastAsia="Times New Roman" w:cs="Tahoma"/>
      <w:sz w:val="16"/>
      <w:szCs w:val="16"/>
    </w:rPr>
  </w:style>
  <w:style w:type="paragraph" w:styleId="1033">
    <w:name w:val="Header"/>
    <w:basedOn w:val="1017"/>
    <w:link w:val="1034"/>
    <w:unhideWhenUsed/>
    <w:pPr>
      <w:pBdr/>
      <w:tabs>
        <w:tab w:val="center" w:leader="none" w:pos="4680"/>
        <w:tab w:val="right" w:leader="none" w:pos="9360"/>
      </w:tabs>
      <w:spacing/>
      <w:ind/>
    </w:pPr>
  </w:style>
  <w:style w:type="character" w:styleId="1034" w:customStyle="1">
    <w:name w:val="Header Char"/>
    <w:basedOn w:val="1022"/>
    <w:link w:val="1033"/>
    <w:pPr>
      <w:pBdr/>
      <w:spacing/>
      <w:ind/>
    </w:pPr>
    <w:rPr>
      <w:rFonts w:ascii="Times New Roman" w:hAnsi="Times New Roman" w:eastAsia="Times New Roman" w:cs="Times New Roman"/>
      <w:sz w:val="24"/>
      <w:szCs w:val="24"/>
    </w:rPr>
  </w:style>
  <w:style w:type="paragraph" w:styleId="1035">
    <w:name w:val="Footer"/>
    <w:basedOn w:val="1017"/>
    <w:link w:val="1036"/>
    <w:uiPriority w:val="99"/>
    <w:unhideWhenUsed/>
    <w:pPr>
      <w:pBdr/>
      <w:tabs>
        <w:tab w:val="center" w:leader="none" w:pos="4680"/>
        <w:tab w:val="right" w:leader="none" w:pos="9360"/>
      </w:tabs>
      <w:spacing/>
      <w:ind/>
    </w:pPr>
  </w:style>
  <w:style w:type="character" w:styleId="1036" w:customStyle="1">
    <w:name w:val="Footer Char"/>
    <w:basedOn w:val="1022"/>
    <w:link w:val="1035"/>
    <w:uiPriority w:val="99"/>
    <w:pPr>
      <w:pBdr/>
      <w:spacing/>
      <w:ind/>
    </w:pPr>
    <w:rPr>
      <w:rFonts w:ascii="Times New Roman" w:hAnsi="Times New Roman" w:eastAsia="Times New Roman" w:cs="Times New Roman"/>
      <w:sz w:val="24"/>
      <w:szCs w:val="24"/>
    </w:rPr>
  </w:style>
  <w:style w:type="character" w:styleId="1037" w:customStyle="1">
    <w:name w:val="normal-h1"/>
    <w:pPr>
      <w:pBdr/>
      <w:spacing/>
      <w:ind/>
    </w:pPr>
    <w:rPr>
      <w:rFonts w:hint="default" w:ascii=".VnTime" w:hAnsi=".VnTime"/>
      <w:color w:val="0000ff"/>
      <w:sz w:val="24"/>
      <w:szCs w:val="24"/>
    </w:rPr>
  </w:style>
  <w:style w:type="paragraph" w:styleId="1038" w:customStyle="1">
    <w:name w:val="normal-p"/>
    <w:basedOn w:val="1017"/>
    <w:pPr>
      <w:pBdr/>
      <w:spacing/>
      <w:ind/>
      <w:jc w:val="both"/>
    </w:pPr>
    <w:rPr>
      <w:sz w:val="20"/>
      <w:szCs w:val="20"/>
    </w:rPr>
  </w:style>
  <w:style w:type="paragraph" w:styleId="1039">
    <w:name w:val="List Paragraph"/>
    <w:basedOn w:val="1017"/>
    <w:link w:val="1126"/>
    <w:uiPriority w:val="34"/>
    <w:qFormat/>
    <w:pPr>
      <w:pBdr/>
      <w:spacing/>
      <w:ind w:left="720"/>
    </w:pPr>
  </w:style>
  <w:style w:type="paragraph" w:styleId="1040">
    <w:name w:val="Normal (Web)"/>
    <w:basedOn w:val="1017"/>
    <w:uiPriority w:val="99"/>
    <w:pPr>
      <w:pBdr/>
      <w:spacing w:after="100" w:afterAutospacing="1" w:before="100" w:beforeAutospacing="1"/>
      <w:ind/>
    </w:pPr>
  </w:style>
  <w:style w:type="paragraph" w:styleId="1041">
    <w:name w:val="Body Text"/>
    <w:basedOn w:val="1017"/>
    <w:link w:val="1042"/>
    <w:pPr>
      <w:pBdr/>
      <w:spacing w:after="120"/>
      <w:ind/>
      <w:jc w:val="both"/>
    </w:pPr>
  </w:style>
  <w:style w:type="character" w:styleId="1042" w:customStyle="1">
    <w:name w:val="Body Text Char"/>
    <w:basedOn w:val="1022"/>
    <w:link w:val="1041"/>
    <w:pPr>
      <w:pBdr/>
      <w:spacing/>
      <w:ind/>
    </w:pPr>
    <w:rPr>
      <w:rFonts w:ascii="Times New Roman" w:hAnsi="Times New Roman" w:eastAsia="Times New Roman" w:cs="Times New Roman"/>
      <w:sz w:val="24"/>
      <w:szCs w:val="24"/>
    </w:rPr>
  </w:style>
  <w:style w:type="table" w:styleId="1043">
    <w:name w:val="Table Grid"/>
    <w:basedOn w:val="102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5">
    <w:name w:val="annotation reference"/>
    <w:basedOn w:val="1022"/>
    <w:uiPriority w:val="99"/>
    <w:semiHidden/>
    <w:unhideWhenUsed/>
    <w:pPr>
      <w:pBdr/>
      <w:spacing/>
      <w:ind/>
    </w:pPr>
    <w:rPr>
      <w:sz w:val="16"/>
      <w:szCs w:val="16"/>
    </w:rPr>
  </w:style>
  <w:style w:type="paragraph" w:styleId="1046">
    <w:name w:val="annotation text"/>
    <w:basedOn w:val="1017"/>
    <w:link w:val="1047"/>
    <w:uiPriority w:val="99"/>
    <w:unhideWhenUsed/>
    <w:pPr>
      <w:pBdr/>
      <w:spacing/>
      <w:ind/>
    </w:pPr>
    <w:rPr>
      <w:sz w:val="20"/>
      <w:szCs w:val="20"/>
    </w:rPr>
  </w:style>
  <w:style w:type="character" w:styleId="1047" w:customStyle="1">
    <w:name w:val="Comment Text Char"/>
    <w:basedOn w:val="1022"/>
    <w:link w:val="1046"/>
    <w:uiPriority w:val="99"/>
    <w:pPr>
      <w:pBdr/>
      <w:spacing/>
      <w:ind/>
    </w:pPr>
    <w:rPr>
      <w:rFonts w:ascii="Times New Roman" w:hAnsi="Times New Roman" w:eastAsia="Times New Roman" w:cs="Times New Roman"/>
      <w:sz w:val="20"/>
      <w:szCs w:val="20"/>
    </w:rPr>
  </w:style>
  <w:style w:type="paragraph" w:styleId="1048">
    <w:name w:val="annotation subject"/>
    <w:basedOn w:val="1046"/>
    <w:next w:val="1046"/>
    <w:link w:val="1049"/>
    <w:uiPriority w:val="99"/>
    <w:semiHidden/>
    <w:unhideWhenUsed/>
    <w:pPr>
      <w:pBdr/>
      <w:spacing/>
      <w:ind/>
    </w:pPr>
    <w:rPr>
      <w:b/>
      <w:bCs/>
    </w:rPr>
  </w:style>
  <w:style w:type="character" w:styleId="1049" w:customStyle="1">
    <w:name w:val="Comment Subject Char"/>
    <w:basedOn w:val="1047"/>
    <w:link w:val="1048"/>
    <w:uiPriority w:val="99"/>
    <w:semiHidden/>
    <w:pPr>
      <w:pBdr/>
      <w:spacing/>
      <w:ind/>
    </w:pPr>
    <w:rPr>
      <w:rFonts w:ascii="Times New Roman" w:hAnsi="Times New Roman" w:eastAsia="Times New Roman" w:cs="Times New Roman"/>
      <w:b/>
      <w:bCs/>
      <w:sz w:val="20"/>
      <w:szCs w:val="20"/>
    </w:rPr>
  </w:style>
  <w:style w:type="paragraph" w:styleId="1050" w:customStyle="1">
    <w:name w:val="font5"/>
    <w:basedOn w:val="1017"/>
    <w:pPr>
      <w:pBdr/>
      <w:spacing w:after="100" w:afterAutospacing="1" w:before="100" w:beforeAutospacing="1"/>
      <w:ind/>
    </w:pPr>
    <w:rPr>
      <w:rFonts w:ascii="Tahoma" w:hAnsi="Tahoma" w:cs="Tahoma"/>
      <w:color w:val="000000"/>
      <w:sz w:val="18"/>
      <w:szCs w:val="18"/>
    </w:rPr>
  </w:style>
  <w:style w:type="paragraph" w:styleId="1051" w:customStyle="1">
    <w:name w:val="font6"/>
    <w:basedOn w:val="1017"/>
    <w:pPr>
      <w:pBdr/>
      <w:spacing w:after="100" w:afterAutospacing="1" w:before="100" w:beforeAutospacing="1"/>
      <w:ind/>
    </w:pPr>
    <w:rPr>
      <w:rFonts w:ascii="Tahoma" w:hAnsi="Tahoma" w:cs="Tahoma"/>
      <w:b/>
      <w:bCs/>
      <w:color w:val="000000"/>
      <w:sz w:val="18"/>
      <w:szCs w:val="18"/>
    </w:rPr>
  </w:style>
  <w:style w:type="paragraph" w:styleId="1052" w:customStyle="1">
    <w:name w:val="xl23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34"/>
    <w:basedOn w:val="1017"/>
    <w:pPr>
      <w:pBdr/>
      <w:spacing w:after="100" w:afterAutospacing="1" w:before="100" w:beforeAutospacing="1"/>
      <w:ind/>
      <w:jc w:val="center"/>
    </w:pPr>
  </w:style>
  <w:style w:type="paragraph" w:styleId="1054" w:customStyle="1">
    <w:name w:val="xl235"/>
    <w:basedOn w:val="1017"/>
    <w:pPr>
      <w:pBdr/>
      <w:spacing w:after="100" w:afterAutospacing="1" w:before="100" w:beforeAutospacing="1"/>
      <w:ind/>
      <w:jc w:val="center"/>
    </w:pPr>
    <w:rPr>
      <w:b/>
      <w:bCs/>
    </w:rPr>
  </w:style>
  <w:style w:type="paragraph" w:styleId="1055" w:customStyle="1">
    <w:name w:val="xl236"/>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3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38"/>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3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40"/>
    <w:basedOn w:val="1017"/>
    <w:pPr>
      <w:pBdr/>
      <w:spacing w:after="100" w:afterAutospacing="1" w:before="100" w:beforeAutospacing="1"/>
      <w:ind/>
    </w:pPr>
  </w:style>
  <w:style w:type="paragraph" w:styleId="1060" w:customStyle="1">
    <w:name w:val="xl241"/>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42"/>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3"/>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44"/>
    <w:basedOn w:val="1017"/>
    <w:pPr>
      <w:pBdr/>
      <w:spacing w:after="100" w:afterAutospacing="1" w:before="100" w:beforeAutospacing="1"/>
      <w:ind/>
    </w:pPr>
    <w:rPr>
      <w:b/>
      <w:bCs/>
    </w:rPr>
  </w:style>
  <w:style w:type="paragraph" w:styleId="1064" w:customStyle="1">
    <w:name w:val="xl245"/>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47"/>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4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4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5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5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3"/>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4"/>
    <w:basedOn w:val="101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5"/>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8"/>
    <w:basedOn w:val="101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0"/>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1"/>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2"/>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3"/>
    <w:basedOn w:val="1017"/>
    <w:pPr>
      <w:pBdr/>
      <w:shd w:val="clear" w:color="000000" w:fill="ffffff"/>
      <w:spacing w:after="100" w:afterAutospacing="1" w:before="100" w:beforeAutospacing="1"/>
      <w:ind/>
    </w:pPr>
  </w:style>
  <w:style w:type="paragraph" w:styleId="1083" w:customStyle="1">
    <w:name w:val="xl264"/>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5"/>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6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6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68"/>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9"/>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7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1"/>
    <w:basedOn w:val="101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1" w:customStyle="1">
    <w:name w:val="xl27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73"/>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74"/>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5"/>
    <w:basedOn w:val="1017"/>
    <w:pPr>
      <w:pBdr/>
      <w:spacing w:after="100" w:afterAutospacing="1" w:before="100" w:beforeAutospacing="1"/>
      <w:ind/>
    </w:pPr>
  </w:style>
  <w:style w:type="paragraph" w:styleId="1095" w:customStyle="1">
    <w:name w:val="xl27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77"/>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7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7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8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8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4"/>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5"/>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7"/>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8"/>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89"/>
    <w:basedOn w:val="1017"/>
    <w:pPr>
      <w:pBdr>
        <w:left w:val="single" w:color="000000" w:sz="4" w:space="0"/>
        <w:right w:val="single" w:color="000000" w:sz="4" w:space="0"/>
      </w:pBdr>
      <w:spacing w:after="100" w:afterAutospacing="1" w:before="100" w:beforeAutospacing="1"/>
      <w:ind/>
    </w:pPr>
    <w:rPr>
      <w:b/>
      <w:bCs/>
    </w:rPr>
  </w:style>
  <w:style w:type="paragraph" w:styleId="1109" w:customStyle="1">
    <w:name w:val="xl29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0" w:customStyle="1">
    <w:name w:val="xl291"/>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1" w:customStyle="1">
    <w:name w:val="xl292"/>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93"/>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94"/>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name w:val="Title"/>
    <w:basedOn w:val="1017"/>
    <w:link w:val="1115"/>
    <w:qFormat/>
    <w:pPr>
      <w:pBdr/>
      <w:spacing/>
      <w:ind/>
      <w:jc w:val="center"/>
    </w:pPr>
    <w:rPr>
      <w:b/>
      <w:bCs/>
      <w:sz w:val="32"/>
      <w:szCs w:val="26"/>
    </w:rPr>
  </w:style>
  <w:style w:type="character" w:styleId="1115" w:customStyle="1">
    <w:name w:val="Title Char"/>
    <w:basedOn w:val="1022"/>
    <w:link w:val="1114"/>
    <w:pPr>
      <w:pBdr/>
      <w:spacing/>
      <w:ind/>
    </w:pPr>
    <w:rPr>
      <w:rFonts w:ascii="Times New Roman" w:hAnsi="Times New Roman" w:eastAsia="Times New Roman" w:cs="Times New Roman"/>
      <w:b/>
      <w:bCs/>
      <w:sz w:val="32"/>
      <w:szCs w:val="26"/>
    </w:rPr>
  </w:style>
  <w:style w:type="character" w:styleId="1116" w:customStyle="1">
    <w:name w:val="Unresolved Mention1"/>
    <w:basedOn w:val="1022"/>
    <w:uiPriority w:val="99"/>
    <w:semiHidden/>
    <w:unhideWhenUsed/>
    <w:pPr>
      <w:pBdr/>
      <w:spacing/>
      <w:ind/>
    </w:pPr>
    <w:rPr>
      <w:color w:val="605e5c"/>
      <w:shd w:val="clear" w:color="auto" w:fill="e1dfdd"/>
    </w:rPr>
  </w:style>
  <w:style w:type="character" w:styleId="1117" w:customStyle="1">
    <w:name w:val="Body text (3)_"/>
    <w:link w:val="1118"/>
    <w:pPr>
      <w:pBdr/>
      <w:spacing/>
      <w:ind/>
    </w:pPr>
    <w:rPr>
      <w:rFonts w:ascii="Times New Roman" w:hAnsi="Times New Roman" w:cs="Times New Roman"/>
      <w:i/>
      <w:iCs/>
      <w:spacing w:val="4"/>
      <w:shd w:val="clear" w:color="auto" w:fill="ffffff"/>
    </w:rPr>
  </w:style>
  <w:style w:type="paragraph" w:styleId="1118" w:customStyle="1">
    <w:name w:val="Body text (3)1"/>
    <w:basedOn w:val="1017"/>
    <w:link w:val="111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9" w:customStyle="1">
    <w:name w:val="t-j"/>
    <w:basedOn w:val="1017"/>
    <w:pPr>
      <w:pBdr/>
      <w:spacing w:after="100" w:afterAutospacing="1" w:before="100" w:beforeAutospacing="1"/>
      <w:ind/>
    </w:pPr>
  </w:style>
  <w:style w:type="character" w:styleId="1120" w:customStyle="1">
    <w:name w:val="Unresolved Mention2"/>
    <w:basedOn w:val="1022"/>
    <w:uiPriority w:val="99"/>
    <w:semiHidden/>
    <w:unhideWhenUsed/>
    <w:pPr>
      <w:pBdr/>
      <w:spacing/>
      <w:ind/>
    </w:pPr>
    <w:rPr>
      <w:color w:val="605e5c"/>
      <w:shd w:val="clear" w:color="auto" w:fill="e1dfdd"/>
    </w:rPr>
  </w:style>
  <w:style w:type="character" w:styleId="1121">
    <w:name w:val="FollowedHyperlink"/>
    <w:basedOn w:val="1022"/>
    <w:uiPriority w:val="99"/>
    <w:semiHidden/>
    <w:unhideWhenUsed/>
    <w:pPr>
      <w:pBdr/>
      <w:spacing/>
      <w:ind/>
    </w:pPr>
    <w:rPr>
      <w:color w:val="800080" w:themeColor="followedHyperlink"/>
      <w:u w:val="single"/>
    </w:rPr>
  </w:style>
  <w:style w:type="character" w:styleId="1122" w:customStyle="1">
    <w:name w:val="text"/>
    <w:basedOn w:val="1022"/>
    <w:pPr>
      <w:pBdr/>
      <w:spacing/>
      <w:ind/>
    </w:pPr>
  </w:style>
  <w:style w:type="character" w:styleId="1123" w:customStyle="1">
    <w:name w:val="card-send-time__sendtime"/>
    <w:basedOn w:val="1022"/>
    <w:pPr>
      <w:pBdr/>
      <w:spacing/>
      <w:ind/>
    </w:pPr>
  </w:style>
  <w:style w:type="character" w:styleId="1124" w:customStyle="1">
    <w:name w:val="Đề cập Chưa giải quyết1"/>
    <w:basedOn w:val="1022"/>
    <w:uiPriority w:val="99"/>
    <w:semiHidden/>
    <w:unhideWhenUsed/>
    <w:pPr>
      <w:pBdr/>
      <w:spacing/>
      <w:ind/>
    </w:pPr>
    <w:rPr>
      <w:color w:val="605e5c"/>
      <w:shd w:val="clear" w:color="auto" w:fill="e1dfdd"/>
    </w:rPr>
  </w:style>
  <w:style w:type="paragraph" w:styleId="1125" w:customStyle="1">
    <w:name w:val="nqtitle"/>
    <w:basedOn w:val="1017"/>
    <w:pPr>
      <w:pBdr/>
      <w:spacing w:after="100" w:afterAutospacing="1" w:before="100" w:beforeAutospacing="1"/>
      <w:ind/>
    </w:pPr>
    <w:rPr>
      <w:lang w:val="vi-VN" w:eastAsia="vi-VN"/>
    </w:rPr>
  </w:style>
  <w:style w:type="character" w:styleId="1126" w:customStyle="1">
    <w:name w:val="List Paragraph Char"/>
    <w:link w:val="1039"/>
    <w:uiPriority w:val="34"/>
    <w:qFormat/>
    <w:pPr>
      <w:pBdr/>
      <w:spacing/>
      <w:ind/>
    </w:pPr>
    <w:rPr>
      <w:rFonts w:ascii="Times New Roman" w:hAnsi="Times New Roman" w:eastAsia="Times New Roman" w:cs="Times New Roman"/>
      <w:sz w:val="24"/>
      <w:szCs w:val="24"/>
    </w:rPr>
  </w:style>
  <w:style w:type="character" w:styleId="1127" w:customStyle="1">
    <w:name w:val="Đề cập Chưa giải quyết2"/>
    <w:basedOn w:val="1022"/>
    <w:uiPriority w:val="99"/>
    <w:semiHidden/>
    <w:unhideWhenUsed/>
    <w:pPr>
      <w:pBdr/>
      <w:spacing/>
      <w:ind/>
    </w:pPr>
    <w:rPr>
      <w:color w:val="605e5c"/>
      <w:shd w:val="clear" w:color="auto" w:fill="e1dfdd"/>
    </w:rPr>
  </w:style>
  <w:style w:type="character" w:styleId="1128" w:customStyle="1">
    <w:name w:val="Unresolved Mention3"/>
    <w:basedOn w:val="1022"/>
    <w:uiPriority w:val="99"/>
    <w:semiHidden/>
    <w:unhideWhenUsed/>
    <w:pPr>
      <w:pBdr/>
      <w:spacing/>
      <w:ind/>
    </w:pPr>
    <w:rPr>
      <w:color w:val="605e5c"/>
      <w:shd w:val="clear" w:color="auto" w:fill="e1dfdd"/>
    </w:rPr>
  </w:style>
  <w:style w:type="character" w:styleId="1129" w:customStyle="1">
    <w:name w:val="copy"/>
    <w:basedOn w:val="1022"/>
    <w:pPr>
      <w:pBdr/>
      <w:spacing/>
      <w:ind/>
    </w:pPr>
  </w:style>
  <w:style w:type="paragraph" w:styleId="1130" w:customStyle="1">
    <w:name w:val="align-justify"/>
    <w:basedOn w:val="1017"/>
    <w:pPr>
      <w:pBdr/>
      <w:spacing w:after="100" w:afterAutospacing="1" w:before="100" w:beforeAutospacing="1"/>
      <w:ind/>
    </w:pPr>
  </w:style>
  <w:style w:type="character" w:styleId="1131" w:customStyle="1">
    <w:name w:val="btn"/>
    <w:basedOn w:val="1022"/>
    <w:pPr>
      <w:pBdr/>
      <w:spacing/>
      <w:ind/>
    </w:pPr>
  </w:style>
  <w:style w:type="character" w:styleId="1132" w:customStyle="1">
    <w:name w:val="hide_mobile"/>
    <w:basedOn w:val="1022"/>
    <w:pPr>
      <w:pBdr/>
      <w:spacing/>
      <w:ind/>
    </w:pPr>
  </w:style>
  <w:style w:type="character" w:styleId="1133">
    <w:name w:val="Emphasis"/>
    <w:basedOn w:val="1022"/>
    <w:uiPriority w:val="20"/>
    <w:qFormat/>
    <w:pPr>
      <w:pBdr/>
      <w:spacing/>
      <w:ind/>
    </w:pPr>
    <w:rPr>
      <w:i/>
      <w:iCs/>
    </w:rPr>
  </w:style>
  <w:style w:type="character" w:styleId="1134" w:customStyle="1">
    <w:name w:val="t1"/>
    <w:basedOn w:val="1022"/>
    <w:pPr>
      <w:pBdr/>
      <w:spacing/>
      <w:ind/>
    </w:pPr>
  </w:style>
  <w:style w:type="character" w:styleId="1135" w:customStyle="1">
    <w:name w:val="Unresolved Mention4"/>
    <w:basedOn w:val="1022"/>
    <w:uiPriority w:val="99"/>
    <w:semiHidden/>
    <w:unhideWhenUsed/>
    <w:pPr>
      <w:pBdr/>
      <w:spacing/>
      <w:ind/>
    </w:pPr>
    <w:rPr>
      <w:color w:val="605e5c"/>
      <w:shd w:val="clear" w:color="auto" w:fill="e1dfdd"/>
    </w:rPr>
  </w:style>
  <w:style w:type="character" w:styleId="1136">
    <w:name w:val="Unresolved Mention"/>
    <w:basedOn w:val="10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senvangdata.com.vn/phan-tich-quy-hoach-va-tiem-nang-phat-trien-bat-dong-san-thanh-pho-hai-phong.html"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284</cp:revision>
  <dcterms:created xsi:type="dcterms:W3CDTF">2025-09-15T09:58:00Z</dcterms:created>
  <dcterms:modified xsi:type="dcterms:W3CDTF">2026-05-30T09:17:02Z</dcterms:modified>
</cp:coreProperties>
</file>