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275/2026/0815/VFI-CT.36.A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PHẠM MINH TỚI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w:t>
                            </w:r>
                            <w:r>
                              <w:rPr>
                                <w:color w:val="000000"/>
                              </w:rPr>
                              <w:t xml:space="preserve">) theo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275/2026/0815/VFI-CT.36.A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lang w:val="pt-BR"/>
                        </w:rPr>
                        <w:t xml:space="preserve">ÔNG PHẠM MINH TỚI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w:t>
                      </w:r>
                      <w:r>
                        <w:rPr>
                          <w:color w:val="000000"/>
                        </w:rPr>
                        <w:t xml:space="preserve">) theo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3708"/>
        <w:gridCol w:w="9850"/>
      </w:tblGrid>
      <w:tr>
        <w:trPr>
          <w:trHeight w:val="1152"/>
        </w:trPr>
        <w:tc>
          <w:tcPr>
            <w:gridSpan w:val="2"/>
            <w:tcBorders/>
            <w:tcW w:w="456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98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708"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275/2026/0815/VFI-CT.36.A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9850" w:type="dxa"/>
            <w:textDirection w:val="lrTb"/>
            <w:noWrap w:val="false"/>
          </w:tcPr>
          <w:p>
            <w:pPr>
              <w:pStyle w:val="1040"/>
              <w:pBdr/>
              <w:spacing w:after="60"/>
              <w:ind w:right="-56"/>
              <w:jc w:val="lef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Phạm Minh Tới</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275/2026/0815/VFI-HĐTĐ.36.A</w:t>
      </w:r>
      <w:r>
        <w:rPr>
          <w:spacing w:val="-4"/>
          <w:lang w:val="vi-VN"/>
        </w:rPr>
        <w:t xml:space="preserve"> ký ngày </w:t>
      </w:r>
      <w:r>
        <w:rPr>
          <w:color w:val="000000" w:themeColor="text1"/>
          <w:spacing w:val="-4"/>
        </w:rPr>
        <w:t xml:space="preserve">20 tháng 5 năm 2026</w:t>
      </w:r>
      <w:r>
        <w:rPr>
          <w:spacing w:val="-4"/>
          <w:lang w:val="vi-VN"/>
        </w:rPr>
        <w:t xml:space="preserve"> </w:t>
      </w:r>
      <w:r>
        <w:rPr>
          <w:spacing w:val="-4"/>
          <w:lang w:val="vi-VN"/>
        </w:rPr>
        <w:t xml:space="preserve">giữa ông </w:t>
      </w:r>
      <w:r>
        <w:rPr>
          <w:color w:val="000000" w:themeColor="text1"/>
          <w:spacing w:val="-4"/>
        </w:rPr>
        <w:t xml:space="preserve">Phạm Minh Tới</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275/2026/0815/VFI-BC.36.A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PHẠM MINH TỚI</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036081025656</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TDP số 6 Phú Mỹ, phường Mỹ Đình 2, quận Nam Từ Liêm, Thành phố Hà Nội </w:t>
            </w:r>
            <w:r>
              <w:rPr>
                <w:rFonts w:ascii="Times New Roman" w:hAnsi="Times New Roman" w:eastAsia="Times New Roman" w:cs="Times New Roman"/>
                <w:i/>
                <w:color w:val="000000"/>
                <w:sz w:val="24"/>
              </w:rPr>
              <w:t xml:space="preserve">(Nay là phường Từ Liêm,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w:t>
      </w:r>
      <w:r>
        <w:rPr>
          <w:color w:val="000000" w:themeColor="text1"/>
        </w:rPr>
        <w:t xml:space="preserve">) theo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48"/>
        <w:gridCol w:w="3228"/>
        <w:gridCol w:w="1697"/>
        <w:gridCol w:w="1966"/>
        <w:gridCol w:w="1504"/>
        <w:gridCol w:w="2031"/>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2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24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396"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 th</w:t>
            </w:r>
            <w:r>
              <w:rPr>
                <w:rFonts w:ascii="Times New Roman" w:hAnsi="Times New Roman" w:eastAsia="Times New Roman" w:cs="Times New Roman"/>
                <w:b/>
                <w:color w:val="000000"/>
                <w:sz w:val="24"/>
              </w:rPr>
              <w:t xml:space="preserve">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p>
        </w:tc>
        <w:tc>
          <w:tcPr>
            <w:shd w:val="clear" w:color="ffffff" w:fill="ffffff"/>
            <w:tcBorders>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2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w:t>
            </w:r>
            <w:r/>
          </w:p>
        </w:tc>
        <w:tc>
          <w:tcPr>
            <w:tcBorders>
              <w:bottom w:val="single" w:color="000000" w:sz="6" w:space="0"/>
              <w:right w:val="single" w:color="000000" w:sz="6" w:space="0"/>
            </w:tcBorders>
            <w:tcMar>
              <w:left w:w="0" w:type="dxa"/>
              <w:top w:w="0" w:type="dxa"/>
              <w:right w:w="0" w:type="dxa"/>
              <w:bottom w:w="0" w:type="dxa"/>
            </w:tcMar>
            <w:tcW w:w="1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330.000.000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33.000.000.000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2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4,5 tầng</w:t>
            </w:r>
            <w:r/>
          </w:p>
        </w:tc>
        <w:tc>
          <w:tcPr>
            <w:tcBorders>
              <w:bottom w:val="single" w:color="000000" w:sz="6" w:space="0"/>
              <w:right w:val="single" w:color="000000" w:sz="6" w:space="0"/>
            </w:tcBorders>
            <w:tcMar>
              <w:left w:w="0" w:type="dxa"/>
              <w:top w:w="0" w:type="dxa"/>
              <w:right w:w="0" w:type="dxa"/>
              <w:bottom w:w="0" w:type="dxa"/>
            </w:tcMar>
            <w:tcW w:w="1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305,7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6.757.469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1.755.894.556</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3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34.755.894.556</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3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34.756.000.000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Ba mươi bốn tỷ bảy trăm năm mươi sáu triệu đồng chẵn ./.)</w:t>
            </w:r>
            <w:r/>
          </w:p>
        </w:tc>
      </w:tr>
    </w:tbl>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275/2026/0815/VFI-</w:t>
            </w:r>
            <w:r>
              <w:rPr>
                <w:rStyle w:val="1039"/>
                <w:rFonts w:ascii="Times New Roman" w:hAnsi="Times New Roman"/>
                <w:color w:val="000000" w:themeColor="text1"/>
                <w:highlight w:val="none"/>
                <w:lang w:val="pt-BR"/>
              </w:rPr>
              <w:t xml:space="preserve">BC</w:t>
            </w:r>
            <w:r>
              <w:rPr>
                <w:rStyle w:val="1039"/>
                <w:rFonts w:ascii="Times New Roman" w:hAnsi="Times New Roman"/>
                <w:color w:val="000000" w:themeColor="text1"/>
                <w:lang w:val="pt-BR"/>
              </w:rPr>
              <w:t xml:space="preserve">.36.A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jc w:val="right"/>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40"/>
              <w:pBdr/>
              <w:spacing w:after="60"/>
              <w:ind/>
              <w:rPr>
                <w:rStyle w:val="1039"/>
                <w:rFonts w:ascii="Times New Roman" w:hAnsi="Times New Roman"/>
                <w:color w:val="000000" w:themeColor="text1"/>
                <w:lang w:val="pt-BR"/>
              </w:rPr>
            </w:pPr>
            <w:r>
              <w:rPr>
                <w:rStyle w:val="1039"/>
                <w:rFonts w:ascii="Times New Roman" w:hAnsi="Times New Roman"/>
                <w:color w:val="000000" w:themeColor="text1"/>
                <w:lang w:val="pt-BR"/>
              </w:rPr>
            </w:r>
            <w:r>
              <w:rPr>
                <w:rStyle w:val="1039"/>
                <w:rFonts w:ascii="Times New Roman" w:hAnsi="Times New Roman"/>
                <w:color w:val="000000" w:themeColor="text1"/>
                <w:lang w:val="pt-BR"/>
              </w:rPr>
            </w:r>
            <w:r>
              <w:rPr>
                <w:rStyle w:val="103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40"/>
              <w:pBdr/>
              <w:spacing w:after="60"/>
              <w:ind w:right="-56"/>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275/2026/0815/VFI-CT.36.A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PHẠM MINH TỚI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1981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 số</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036081025656</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TDP số 6 Phú Mỹ, phường Mỹ Đình 2, quận Nam Từ Liêm, Thành phố Hà Nội </w:t>
            </w:r>
            <w:r>
              <w:rPr>
                <w:rFonts w:ascii="Times New Roman" w:hAnsi="Times New Roman" w:eastAsia="Times New Roman" w:cs="Times New Roman"/>
                <w:i/>
                <w:color w:val="000000"/>
                <w:sz w:val="24"/>
              </w:rPr>
              <w:t xml:space="preserve">(Nay là phường Từ Liêm,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w:t>
            </w:r>
            <w:r>
              <w:rPr>
                <w:bCs/>
                <w:color w:val="000000" w:themeColor="text1"/>
                <w:lang w:val="pt-BR"/>
              </w:rPr>
              <w:t xml:space="preserve">) theo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Ô đất số 16-lô TTA, Khu văn phòng, nhà ở và dịch vụ công cộng Xuân Phương Garden, phường Phương Canh, quận Nam Từ Liêm,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(21.04052, 105.738783)</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highlight w:val="white"/>
              </w:rPr>
            </w:pPr>
            <w:r>
              <w:rPr>
                <w:bCs/>
                <w:highlight w:val="white"/>
                <w:lang w:val="pt-BR"/>
              </w:rPr>
              <w:t xml:space="preserve">:</w:t>
            </w:r>
            <w:r>
              <w:rPr>
                <w:bCs/>
                <w:highlight w:val="white"/>
              </w:rPr>
            </w:r>
            <w:r>
              <w:rPr>
                <w:bCs/>
                <w:highlight w:val="white"/>
              </w:rPr>
            </w:r>
          </w:p>
        </w:tc>
        <w:tc>
          <w:tcPr>
            <w:tcBorders/>
            <w:tcW w:w="6945" w:type="dxa"/>
            <w:vAlign w:val="center"/>
            <w:textDirection w:val="lrTb"/>
            <w:noWrap w:val="false"/>
          </w:tcPr>
          <w:p>
            <w:pPr>
              <w:pBdr/>
              <w:spacing w:after="60" w:before="60" w:line="276" w:lineRule="auto"/>
              <w:ind/>
              <w:jc w:val="both"/>
              <w:rPr>
                <w:highlight w:val="white"/>
              </w:rPr>
            </w:pPr>
            <w:r>
              <w:rPr>
                <w:highlight w:val="white"/>
                <w:lang w:val="pt-BR"/>
              </w:rPr>
              <w:t xml:space="preserve">20/5/2026</w:t>
            </w:r>
            <w:r>
              <w:rPr>
                <w:highlight w:val="white"/>
                <w:lang w:val="pt-BR"/>
              </w:rPr>
              <w:t xml:space="preserve">.</w:t>
            </w:r>
            <w:r>
              <w:rPr>
                <w:highlight w:val="white"/>
              </w:rPr>
            </w:r>
            <w:r>
              <w:rPr>
                <w:highlight w:val="white"/>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275/2026/0815/VFI-HĐTĐ.36.A ký ngày</w:t>
      </w:r>
      <w:r>
        <w:rPr>
          <w:color w:val="000000" w:themeColor="text1"/>
          <w:highlight w:val="white"/>
          <w:lang w:val="pt-BR"/>
        </w:rPr>
        <w:t xml:space="preserve"> 20/5/202</w:t>
      </w:r>
      <w:r>
        <w:rPr>
          <w:color w:val="000000" w:themeColor="text1"/>
          <w:highlight w:val="white"/>
          <w:lang w:val="pt-BR"/>
        </w:rPr>
        <w:t xml:space="preserve">6</w:t>
      </w:r>
      <w:r>
        <w:rPr>
          <w:color w:val="000000" w:themeColor="text1"/>
          <w:lang w:val="pt-BR"/>
        </w:rPr>
        <w:t xml:space="preserve"> giữa ông Phạm Minh Tới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Bức tranh thị trường bất động sản Hà </w:t>
      </w:r>
      <w:r>
        <w:rPr>
          <w:shd w:val="clear" w:color="auto" w:fill="ffffff"/>
        </w:rPr>
        <w:t xml:space="preserve">Nội năm 2026: Hạ tầng dẫn dắt, thị trường bước vào chu kỳ tăng trưởng mới.</w:t>
        <w:br/>
        <w:t xml:space="preserve">Bước sang năm 2026, thị trường bất động sản Hà Nội được kỳ vọng bước vào chu kỳ tăng trưởng mới với nền tảng hạ tầng, pháp lý và chính sách ngày càng rõ nét. Thay vì những cơn “sốt </w:t>
      </w:r>
      <w:r>
        <w:rPr>
          <w:shd w:val="clear" w:color="auto" w:fill="ffffff"/>
        </w:rPr>
        <w:t xml:space="preserve">nóng”,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w:t>
      </w:r>
      <w:r>
        <w:rPr>
          <w:shd w:val="clear" w:color="auto" w:fill="ffffff"/>
        </w:rPr>
        <w:t xml:space="preserve">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w:t>
      </w:r>
      <w:r>
        <w:rPr>
          <w:shd w:val="clear" w:color="auto" w:fill="ffffff"/>
        </w:rPr>
        <w:t xml:space="preserve">g,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w:t>
      </w:r>
      <w:r>
        <w:rPr>
          <w:shd w:val="clear" w:color="auto" w:fill="ffffff"/>
        </w:rPr>
        <w:t xml:space="preserve">n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w:t>
      </w:r>
      <w:r>
        <w:rPr>
          <w:shd w:val="clear" w:color="auto" w:fill="ffffff"/>
        </w:rPr>
        <w:t xml:space="preserve">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shd w:val="clear" w:color="auto" w:fill="ffffff"/>
        </w:rPr>
        <w:b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shd w:val="clear" w:color="auto" w:fill="ffffff"/>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shd w:val="clear" w:color="auto" w:fill="ffffff"/>
        </w:rPr>
        <w:t xml:space="preserve">g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w:t>
      </w:r>
      <w:r>
        <w:rPr>
          <w:shd w:val="clear" w:color="auto" w:fill="ffffff"/>
        </w:rPr>
        <w:t xml:space="preserve">ố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w:t>
      </w:r>
      <w:r>
        <w:rPr>
          <w:shd w:val="clear" w:color="auto" w:fill="ffffff"/>
        </w:rPr>
        <w:t xml:space="preserve">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r>
        <w:rPr>
          <w:i/>
          <w:iCs/>
          <w:lang w:val="pt-BR"/>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8"/>
        <w:gridCol w:w="2735"/>
        <w:gridCol w:w="2041"/>
        <w:gridCol w:w="2439"/>
        <w:gridCol w:w="2402"/>
      </w:tblGrid>
      <w:tr>
        <w:trPr>
          <w:trHeight w:val="2243"/>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60" w:before="60" w:line="276" w:lineRule="auto"/>
              <w:ind/>
              <w:jc w:val="both"/>
              <w:rPr>
                <w:b/>
                <w:bCs/>
                <w:spacing w:val="2"/>
              </w:rPr>
            </w:pPr>
            <w:r>
              <w:rPr>
                <w:b/>
                <w:bCs/>
                <w:color w:val="000000" w:themeColor="text1"/>
                <w:lang w:val="pt-BR"/>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w:t>
            </w:r>
            <w:r>
              <w:rPr>
                <w:b/>
                <w:bCs/>
                <w:color w:val="000000" w:themeColor="text1"/>
                <w:lang w:val="pt-BR"/>
              </w:rPr>
              <w:t xml:space="preserve">) theo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rPr>
                <w:b/>
                <w:bCs/>
                <w:spacing w:val="2"/>
              </w:rPr>
            </w:r>
            <w:r>
              <w:rPr>
                <w:b/>
                <w:bCs/>
                <w:spacing w:val="2"/>
              </w:rP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114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Ô đất số 16-lô TTA, Khu văn phòng, nhà ở và dịch vụ công cộng Xuân Phương Garden, phường Phương Canh, quận Nam Từ Liêm, Thành phố Hà Nội (Nay là: phường Xuân Phương, Thành phố Hà Nội)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59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Số tờ, số thửa và sơ đồ được điều chỉnh khi có bản đồ địa chính chính quy.</w:t>
            </w:r>
            <w:r/>
          </w:p>
        </w:tc>
      </w:tr>
      <w:tr>
        <w:trPr>
          <w:trHeight w:val="73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 (Hiện trạng thực tế khảo sát thửa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11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Ô đất số 16-lô TTA, Khu văn phòng, nhà ở và dịch vụ công cộng Xuân Phương Garden, phường Phương Canh, quận Nam Từ Liêm, Thành phố Hà Nội (Nay là: phường Xuân Phương, Thành phố Hà Nội)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02 mặt tiền</w:t>
            </w:r>
            <w:r>
              <w:rPr>
                <w:rFonts w:ascii="Times New Roman" w:hAnsi="Times New Roman" w:eastAsia="Times New Roman" w:cs="Times New Roman"/>
                <w:color w:val="000000"/>
                <w:sz w:val="24"/>
                <w:highlight w:val="white"/>
              </w:rPr>
              <w:t xml:space="preserve"> trước sau</w:t>
            </w:r>
            <w:r>
              <w:rPr>
                <w:highlight w:val="white"/>
              </w:rPr>
            </w:r>
            <w:r>
              <w:rPr>
                <w:highlight w:val="white"/>
              </w:rPr>
            </w:r>
          </w:p>
        </w:tc>
      </w:tr>
      <w:tr>
        <w:trPr>
          <w:trHeight w:val="930"/>
        </w:trPr>
        <w:tc>
          <w:tcPr>
            <w:tcBorders>
              <w:left w:val="single" w:color="000000" w:sz="6" w:space="0"/>
              <w:bottom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20m + vỉa hè 2 bên</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20m + vỉa hè 2 bên</w:t>
            </w:r>
            <w:r/>
          </w:p>
        </w:tc>
      </w:tr>
      <w:tr>
        <w:trPr>
          <w:trHeight w:val="104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mặt đường Trịnh Văn Bộ  kéo dài (đường Tây Nhạc), Khu văn phòng, nhà ở và dịch vụ công cộng Xuân Phương Garden, phường Xuân Phương, Thành phố Hà Nội.</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2"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Đông Bắc: Tiếp giáp đường đôi Trịnh Văn Bô khoảng 20m+vỉa hè.</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Hướng Tây Nam: Tiếp giáp đường nội bộ khoảng 6m+vỉa hè 2,5m.</w:t>
              <w:br/>
              <w:t xml:space="preserve">+ 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(21.040520, 105.738783)</w:t>
            </w:r>
            <w:r/>
          </w:p>
        </w:tc>
      </w:tr>
      <w:tr>
        <w:trPr>
          <w:trHeight w:val="2977"/>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660347" cy="28650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06316" name=""/>
                              <pic:cNvPicPr>
                                <a:picLocks noChangeAspect="1"/>
                              </pic:cNvPicPr>
                              <pic:nvPr/>
                            </pic:nvPicPr>
                            <pic:blipFill rotWithShape="1">
                              <a:blip r:embed="rId17"/>
                              <a:stretch/>
                            </pic:blipFill>
                            <pic:spPr bwMode="auto">
                              <a:xfrm flipH="0" flipV="0">
                                <a:off x="0" y="0"/>
                                <a:ext cx="5660346" cy="28650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5.70pt;height:225.59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Hình dáng: </w:t>
            </w:r>
            <w:r>
              <w:rPr>
                <w:highlight w:val="white"/>
              </w:rPr>
            </w:r>
            <w:r>
              <w:rPr>
                <w:highlight w:val="white"/>
              </w:rP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Vuông vức</w:t>
            </w:r>
            <w:r>
              <w:rPr>
                <w:highlight w:val="white"/>
              </w:rPr>
            </w:r>
            <w:r>
              <w:rPr>
                <w:highlight w:val="white"/>
              </w:rPr>
            </w:r>
          </w:p>
        </w:tc>
      </w:tr>
      <w:tr>
        <w:trPr>
          <w:trHeight w:val="272"/>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Kích thước mặt tiền (m):</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p>
            <w:pPr>
              <w:pBdr/>
              <w:spacing/>
              <w:ind/>
              <w:jc w:val="center"/>
              <w:rPr/>
            </w:pPr>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73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4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243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6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1240"/>
        </w:trPr>
        <w:tc>
          <w:tcPr>
            <w:tcBorders>
              <w:left w:val="single" w:color="000000" w:sz="6" w:space="0"/>
              <w:bottom w:val="single" w:color="000000" w:sz="6" w:space="0"/>
              <w:right w:val="single" w:color="000000" w:sz="6" w:space="0"/>
            </w:tcBorders>
            <w:tcMar>
              <w:left w:w="0" w:type="dxa"/>
              <w:top w:w="0" w:type="dxa"/>
              <w:right w:w="0" w:type="dxa"/>
              <w:bottom w:w="0" w:type="dxa"/>
            </w:tcMar>
            <w:tcW w:w="53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617"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4,5 tầng xây dựng năm 2018, diện tích xây dựng 72,5m2, diện tích sàn 305,7m2, hiện trạng đập thông sàn với thửa đất khác liền kề (cùng chủ tài sản) đang làm quán Karaok</w:t>
            </w:r>
            <w:r>
              <w:rPr>
                <w:rFonts w:ascii="Times New Roman" w:hAnsi="Times New Roman" w:eastAsia="Times New Roman" w:cs="Times New Roman"/>
                <w:color w:val="000000"/>
                <w:sz w:val="24"/>
              </w:rPr>
              <w:t xml:space="preserve">e.</w:t>
              <w:br/>
              <w:t xml:space="preserve">+ Công trình đã được chứng nhận trên GCN.</w:t>
            </w:r>
            <w:r/>
          </w:p>
        </w:tc>
      </w:tr>
    </w:tbl>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7"/>
        <w:gridCol w:w="1748"/>
        <w:gridCol w:w="1807"/>
        <w:gridCol w:w="1807"/>
        <w:gridCol w:w="1807"/>
        <w:gridCol w:w="1807"/>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4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4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48"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3118"/>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Ô đất số 16-lô TTA, Khu văn phòng, nhà ở và dịch vụ công cộng Xuân Phương Garden, phường Phương Canh, quận Nam Từ Liêm, Thành phố Hà Nội (Nay là: phường Xuân Phương, Thành phố Hà Nội)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Xuân Phương, Quận Nam Từ Liêm, Thành phố Hà Nội, đường Phố Tây Nhạc (Trịnh Văn Bô kéo dài)</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Xuân Phương, Quận Nam Từ Liêm, Thành phố Hà Nội, đường Phố Tây Nhạc (Trịnh Văn Bô kéo dài)</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Xuân Phương, Quận Nam Từ Liêm, Thành phố Hà Nội, đường Phố Tây Nhạc (Trịnh Văn Bô kéo dài)</w:t>
            </w:r>
            <w:r/>
          </w:p>
        </w:tc>
      </w:tr>
      <w:tr>
        <w:trPr>
          <w:trHeight w:val="250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hyperlink r:id="rId18" w:tooltip="https://batdongsan.com.vn/ban-nha-mat-pho-duong-trinh-van-bo-phuong-phuong-canh-14/ban-mp-165m2-x-8-tang-thang-may-gan-fpt-o-to-via-he-kd-dong-tien-pr44806740" w:history="1">
              <w:r>
                <w:rPr>
                  <w:rStyle w:val="1031"/>
                  <w:rFonts w:ascii="Arial" w:hAnsi="Arial" w:eastAsia="Arial" w:cs="Arial"/>
                  <w:color w:val="0000ff"/>
                  <w:sz w:val="22"/>
                  <w:u w:val="single"/>
                </w:rPr>
                <w:t xml:space="preserve">https://batdongsan.com.vn/ban-nha-mat-pho-duong-trinh-van-bo-phuong-phuong-canh-14/ban-mp-165m2-x-8-tang-thang-may-gan-fpt-o-to-via-he-kd-dong-tien-pr44806740</w:t>
              </w:r>
            </w:hyperlink>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ff"/>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ff"/>
                <w:sz w:val="22"/>
              </w:rPr>
              <w:t xml:space="preserve">Liên hệ trực tiếp</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0932228824</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0916331246</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0916331246</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05/2026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05/2026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05/2026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1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173"/>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02 mặt tiền trước sau</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02 mặt tiền trước sau</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02 mặt tiền trước sau</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4,5 tầng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4,5 tầng (Xây thô)</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4,5 tầng (Xây thô)</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305,7</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45.000.000.000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52.700.000.000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43.200.000.000</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36.000.000.000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2.728.862.564</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1.587.049.017</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1.208.468.606</w:t>
            </w:r>
            <w:r/>
          </w:p>
        </w:tc>
      </w:tr>
      <w:tr>
        <w:trPr>
          <w:trHeight w:val="14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6.603.418</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4.292.222</w:t>
            </w:r>
            <w:r>
              <w:rPr>
                <w:highlight w:val="yellow"/>
              </w:rPr>
            </w:r>
            <w:r>
              <w:rPr>
                <w:highlight w:val="yellow"/>
              </w:rP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5.405.975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95%</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highlight w:val="yellow"/>
              </w:rPr>
            </w:pPr>
            <w:r>
              <w:rPr>
                <w:rFonts w:ascii="Times New Roman" w:hAnsi="Times New Roman" w:eastAsia="Times New Roman" w:cs="Times New Roman"/>
                <w:color w:val="000000"/>
                <w:sz w:val="22"/>
                <w:highlight w:val="none"/>
              </w:rPr>
              <w:t xml:space="preserve">90%</w:t>
            </w:r>
            <w:r>
              <w:rPr>
                <w:highlight w:val="yellow"/>
              </w:rPr>
            </w:r>
            <w:r>
              <w:rPr>
                <w:highlight w:val="yellow"/>
              </w:rP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49.971.137.436</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41.612.950.983</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34.791.531.394</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333.140.916</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277.419.673</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54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7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8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3"/>
        <w:gridCol w:w="2219"/>
        <w:gridCol w:w="2219"/>
        <w:gridCol w:w="2220"/>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49.971.137.436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41.612.950.983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34.791.531.394</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333.140.916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277.419.673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347.915.314</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333.140.916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277.419.673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đô thị</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đô thị</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333.140.916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277.419.673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1529"/>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Trịnh Văn Bộ kéo dài (đường Tây Nhạc)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Trịnh Văn Bộ kéo dài (đường Tây Nhạc)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Trịnh Văn Bộ kéo dài (đường Tây Nhạc)</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mặt đường Trịnh Văn Bộ kéo dài (đường Tây Nhạc)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333.140.916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277.419.673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91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20m + vỉa hè 2 bên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20m + vỉa hè 2 bên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20m + vỉa hè 2 bên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20m + vỉa hè 2 bên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333.140.916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277.419.673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23.319.864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19.419.377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356.460.780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296.839.050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-9.994.227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-8.322.590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346.466.553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288.516.460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ind/>
              <w:jc w:val="center"/>
              <w:rPr/>
            </w:pPr>
            <w:r>
              <w:rPr>
                <w:rFonts w:ascii="Times New Roman" w:hAnsi="Times New Roman" w:eastAsia="Times New Roman" w:cs="Times New Roman"/>
                <w:b/>
                <w:color w:val="000000"/>
                <w:sz w:val="22"/>
              </w:rPr>
              <w:t xml:space="preserve">02 mặt tiền trước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ind/>
              <w:jc w:val="center"/>
              <w:rPr/>
            </w:pPr>
            <w:r>
              <w:rPr>
                <w:rFonts w:ascii="Times New Roman" w:hAnsi="Times New Roman" w:eastAsia="Times New Roman" w:cs="Times New Roman"/>
                <w:b/>
                <w:color w:val="000000"/>
                <w:sz w:val="22"/>
              </w:rPr>
              <w:t xml:space="preserve">02 mặt tiền trước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ind/>
              <w:jc w:val="center"/>
              <w:rPr/>
            </w:pPr>
            <w:r>
              <w:rPr>
                <w:rFonts w:ascii="Times New Roman" w:hAnsi="Times New Roman" w:eastAsia="Times New Roman" w:cs="Times New Roman"/>
                <w:b/>
                <w:color w:val="000000"/>
                <w:sz w:val="22"/>
              </w:rPr>
              <w:t xml:space="preserve">02 mặt tiền trước sau</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346.466.553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288.516.460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91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346.466.553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288.516.460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 kinh doanh</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346.466.553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288.516.460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346.466.553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288.516.460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347.915.314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346.466.553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288.516.460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347.915.314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327.633.000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5,75%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-11,94%</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6,19%</w:t>
            </w:r>
            <w:r/>
          </w:p>
        </w:tc>
      </w:tr>
      <w:tr>
        <w:trPr>
          <w:trHeight w:val="4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33.314.092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27.741.967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- 7%</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13.325.637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11.096.787 </w:t>
            </w:r>
            <w:r/>
          </w:p>
        </w:tc>
        <w:tc>
          <w:tcPr>
            <w:shd w:val="clear" w:color="ffffff" w:fill="ffffff"/>
            <w:tcBorders>
              <w:bottom w:val="single" w:color="000000" w:sz="6" w:space="0"/>
              <w:right w:val="single" w:color="000000" w:sz="6" w:space="0"/>
            </w:tcBorders>
            <w:tcMar>
              <w:left w:w="0" w:type="dxa"/>
              <w:top w:w="0" w:type="dxa"/>
              <w:right w:w="0" w:type="dxa"/>
              <w:bottom w:w="0" w:type="dxa"/>
            </w:tcMar>
            <w:tcW w:w="222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bl>
    <w:p>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highlight w:val="none"/>
        </w:rPr>
      </w:r>
      <w:r>
        <w:rPr>
          <w:b/>
          <w:bCs/>
          <w:i/>
          <w:iCs/>
          <w:highlight w:val="none"/>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-11,94</w:t>
      </w:r>
      <w:r>
        <w:t xml:space="preserve">% đến </w:t>
      </w:r>
      <w:r>
        <w:t xml:space="preserve">6,19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0"/>
        <w:gridCol w:w="2213"/>
        <w:gridCol w:w="2224"/>
        <w:gridCol w:w="2217"/>
        <w:gridCol w:w="2225"/>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346.466.553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103.939.966</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288.516.460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86.554.938</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347.915.314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139.166.126</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329.661.029</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330.000.000</w:t>
            </w: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330.000.000</w:t>
      </w:r>
      <w:r>
        <w:rPr>
          <w:b/>
          <w:bCs/>
          <w:color w:val="000000" w:themeColor="text1"/>
        </w:rPr>
        <w:t xml:space="preserve"> </w:t>
      </w:r>
      <w:r>
        <w:rPr>
          <w:b/>
          <w:bCs/>
        </w:rPr>
        <w:t xml:space="preserve">đồng/m².</w:t>
      </w:r>
      <w:r>
        <w:rPr>
          <w:b/>
          <w:bCs/>
          <w:highlight w:val="none"/>
        </w:rPr>
      </w:r>
      <w:r>
        <w:rPr>
          <w:b/>
          <w:bCs/>
          <w:highlight w:val="none"/>
        </w:rPr>
      </w:r>
    </w:p>
    <w:p>
      <w:pPr>
        <w:pStyle w:val="104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0"/>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w:t>
      </w:r>
      <w:r>
        <w:rPr>
          <w:rFonts w:ascii="Times New Roman" w:hAnsi="Times New Roman" w:eastAsia="Times New Roman" w:cs="Times New Roman"/>
          <w:color w:val="000000"/>
          <w:sz w:val="24"/>
        </w:rPr>
        <w:t xml:space="preserve">am khảo thị trường về đơn giá xây dựng mới đối với công trình nhà 4,5 tầng, cân nhắc và xem xét với mức độ hoàn thiện của công trình xây dựng hiện có, tổ thẩm định nhận thấy đơn giá vận dụng theo Quyết định 425/QĐ-BXD năm 2026 công bố suất vốn đầu tư xây d</w:t>
      </w:r>
      <w:r>
        <w:rPr>
          <w:rFonts w:ascii="Times New Roman" w:hAnsi="Times New Roman" w:eastAsia="Times New Roman" w:cs="Times New Roman"/>
          <w:color w:val="000000"/>
          <w:sz w:val="24"/>
        </w:rPr>
        <w:t xml:space="preserve">ựng và giá xây dựng tổng hợp bộ phận kết cấu công trình 2025 là khá phù hợp với thị trường, theo đó:</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“Suất vốn đầu Nhà từ 4 đến 5 tầng, kết cấu khung chịu lực BTCT; tường bao xây gạch; sàn, mái BTCT đổ tại chỗ không có tầng hầm, diện tích xây dựng từ 70 – dưới 90</w:t>
      </w:r>
      <w:r>
        <w:rPr>
          <w:rFonts w:ascii="Times New Roman" w:hAnsi="Times New Roman" w:eastAsia="Times New Roman" w:cs="Times New Roman"/>
          <w:i/>
          <w:color w:val="000000"/>
          <w:sz w:val="24"/>
        </w:rPr>
        <w:t xml:space="preserve">m²</w:t>
      </w:r>
      <w:r>
        <w:rPr>
          <w:rFonts w:ascii="Times New Roman" w:hAnsi="Times New Roman" w:eastAsia="Times New Roman" w:cs="Times New Roman"/>
          <w:i/>
          <w:color w:val="000000"/>
          <w:sz w:val="24"/>
        </w:rPr>
        <w:t xml:space="preserve"> có đơn giá là 7.808.000 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vốn đầu tư: Thành phố Hà Nội thuộc vùng 7 có hệ số điều chỉnh là 0,952.”</w:t>
        <w:tab/>
      </w: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Tổ thẩm định xác định đơn giá xây mới của công trình xây dựng chưa bao gồm VAT hoàn thiện cơ bản là: (suất vốn đầu tư) x (Hệ số vùng)/1,1 = 7.808.000 x 0,952/1,1= 6.757.469 đồng/m² sàn. </w:t>
      </w:r>
      <w:r/>
    </w:p>
    <w:p>
      <w:pPr>
        <w:numPr>
          <w:ilvl w:val="0"/>
          <w:numId w:val="41"/>
        </w:numPr>
        <w:pBdr>
          <w:top w:val="none" w:color="000000" w:sz="4" w:space="0"/>
          <w:left w:val="none" w:color="000000" w:sz="4" w:space="0"/>
          <w:bottom w:val="none" w:color="000000" w:sz="4" w:space="0"/>
          <w:right w:val="none" w:color="000000" w:sz="4" w:space="0"/>
        </w:pBdr>
        <w:spacing w:after="120" w:before="120" w:line="340" w:lineRule="atLeast"/>
        <w:ind/>
        <w:jc w:val="both"/>
        <w:rPr/>
      </w:pPr>
      <w:r>
        <w:rPr>
          <w:rFonts w:ascii="Times New Roman" w:hAnsi="Times New Roman" w:eastAsia="Times New Roman" w:cs="Times New Roman"/>
          <w:b/>
          <w:color w:val="000000"/>
          <w:sz w:val="24"/>
        </w:rPr>
        <w:t xml:space="preserve">Xác định chất lượng còn lại của công trình xây dựng trên đất:</w:t>
      </w:r>
      <w:r/>
    </w:p>
    <w:p>
      <w:pPr>
        <w:pBdr>
          <w:top w:val="none" w:color="000000" w:sz="4" w:space="0"/>
          <w:left w:val="none" w:color="000000" w:sz="4" w:space="0"/>
          <w:bottom w:val="none" w:color="000000" w:sz="4" w:space="0"/>
          <w:right w:val="none" w:color="000000" w:sz="4" w:space="0"/>
        </w:pBdr>
        <w:spacing w:after="120" w:before="120" w:line="264" w:lineRule="auto"/>
        <w:ind w:right="0" w:firstLine="502"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8/8/2011 về việc hướng dẫn kiểm k</w:t>
      </w:r>
      <w:r>
        <w:rPr>
          <w:rFonts w:ascii="Times New Roman" w:hAnsi="Times New Roman" w:eastAsia="Times New Roman" w:cs="Times New Roman"/>
          <w:color w:val="000000"/>
          <w:sz w:val="24"/>
        </w:rPr>
        <w:t xml:space="preserve">ê, đánh giá lại giá trị tài sản cố định là nhà, vật kiến trúc như sau:</w:t>
      </w:r>
      <w:r/>
    </w:p>
    <w:p>
      <w:pPr>
        <w:pBdr>
          <w:top w:val="none" w:color="000000" w:sz="4" w:space="0"/>
          <w:left w:val="none" w:color="000000" w:sz="4" w:space="0"/>
          <w:bottom w:val="none" w:color="000000" w:sz="4" w:space="0"/>
          <w:right w:val="none" w:color="000000" w:sz="4" w:space="0"/>
        </w:pBdr>
        <w:spacing w:after="120" w:before="120" w:line="264" w:lineRule="auto"/>
        <w:ind w:right="0" w:firstLine="502" w:left="0"/>
        <w:jc w:val="both"/>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64" w:lineRule="auto"/>
        <w:ind w:right="0" w:firstLine="502" w:left="0"/>
        <w:rPr/>
      </w:pPr>
      <w:r>
        <w:rPr>
          <w:rFonts w:ascii="Times New Roman" w:hAnsi="Times New Roman" w:eastAsia="Times New Roman" w:cs="Times New Roman"/>
          <w:color w:val="000000"/>
          <w:sz w:val="24"/>
        </w:rPr>
        <w:t xml:space="preserve">Công thức tính như sau:</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4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n: số các kết cấu chính.</w:t>
      </w:r>
      <w:r/>
    </w:p>
    <w:p>
      <w:pPr>
        <w:numPr>
          <w:ilvl w:val="0"/>
          <w:numId w:val="41"/>
        </w:numPr>
        <w:pBdr>
          <w:top w:val="none" w:color="000000" w:sz="4" w:space="0"/>
          <w:left w:val="none" w:color="000000" w:sz="4" w:space="0"/>
          <w:bottom w:val="none" w:color="000000" w:sz="4" w:space="0"/>
          <w:right w:val="none" w:color="000000" w:sz="4" w:space="0"/>
        </w:pBdr>
        <w:spacing w:line="360" w:lineRule="auto"/>
        <w:ind/>
        <w:jc w:val="both"/>
        <w:rPr/>
      </w:pPr>
      <w:r>
        <w:rPr>
          <w:rFonts w:ascii="Times New Roman" w:hAnsi="Times New Roman" w:eastAsia="Times New Roman" w:cs="Times New Roman"/>
          <w:color w:val="000000"/>
          <w:sz w:val="24"/>
        </w:rPr>
        <w:t xml:space="preserve">Tổ thẩm định xác định chất lượng còn lại của công trình theo phương pháp tổng cộng:</w:t>
      </w: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1865"/>
        <w:gridCol w:w="1865"/>
        <w:gridCol w:w="2080"/>
        <w:gridCol w:w="2080"/>
        <w:gridCol w:w="2081"/>
      </w:tblGrid>
      <w:tr>
        <w:trPr>
          <w:trHeight w:val="9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rPr/>
            </w:pPr>
            <w:r>
              <w:rPr>
                <w:rFonts w:ascii="Times New Roman" w:hAnsi="Times New Roman" w:eastAsia="Times New Roman" w:cs="Times New Roman"/>
                <w:i/>
                <w:color w:val="000000"/>
                <w:sz w:val="24"/>
              </w:rPr>
              <w:t xml:space="preserve">b</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8%</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11%</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13%</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15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Tổng cộng (g)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63%</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41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gridSpan w:val="2"/>
            <w:tcBorders>
              <w:top w:val="single" w:color="000000" w:sz="6" w:space="0"/>
              <w:bottom w:val="single" w:color="000000" w:sz="6" w:space="0"/>
              <w:right w:val="single" w:color="000000" w:sz="4" w:space="0"/>
            </w:tcBorders>
            <w:tcMar>
              <w:left w:w="0" w:type="dxa"/>
              <w:top w:w="0" w:type="dxa"/>
              <w:right w:w="0" w:type="dxa"/>
              <w:bottom w:w="0" w:type="dxa"/>
            </w:tcMar>
            <w:tcW w:w="373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Tỷ lệ chất lượng còn lại: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208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85%</w:t>
            </w: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Tổ thẩm định xác định Tỷ lệ chất lượng còn lại của công trình xây dựng là: 85%</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p>
      <w:pPr>
        <w:numPr>
          <w:ilvl w:val="0"/>
          <w:numId w:val="46"/>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45"/>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3"/>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126"/>
        <w:gridCol w:w="1134"/>
        <w:gridCol w:w="1276"/>
        <w:gridCol w:w="1559"/>
        <w:gridCol w:w="1134"/>
        <w:gridCol w:w="1843"/>
      </w:tblGrid>
      <w:tr>
        <w:trPr>
          <w:trHeight w:val="886"/>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sàn xây dựng(m²)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Chi phí thay thế</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CLCL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còn lại của CTXD (đồng)</w:t>
            </w:r>
            <w:r/>
          </w:p>
        </w:tc>
      </w:tr>
      <w:tr>
        <w:trPr>
          <w:trHeight w:val="31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spacing w:after="0" w:before="0" w:line="240" w:lineRule="auto"/>
              <w:ind/>
              <w:jc w:val="center"/>
              <w:rPr/>
            </w:pPr>
            <w:r>
              <w:rPr>
                <w:rFonts w:ascii="Times New Roman" w:hAnsi="Times New Roman" w:eastAsia="Times New Roman" w:cs="Times New Roman"/>
                <w:i/>
                <w:color w:val="000000"/>
                <w:sz w:val="24"/>
              </w:rPr>
              <w:t xml:space="preserve"> (a) </w:t>
            </w: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(b) </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 (c) = (a)*(b)  </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(d)*(c) </w:t>
            </w:r>
            <w:r/>
          </w:p>
        </w:tc>
      </w:tr>
      <w:tr>
        <w:trPr>
          <w:trHeight w:val="642"/>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w:t>
            </w:r>
            <w:r/>
          </w:p>
        </w:tc>
        <w:tc>
          <w:tcPr>
            <w:shd w:val="clear" w:color="ffffff" w:fill="ffffff"/>
            <w:tcBorders>
              <w:bottom w:val="single" w:color="000000" w:sz="8" w:space="0"/>
              <w:right w:val="single" w:color="000000" w:sz="8" w:space="0"/>
            </w:tcBorders>
            <w:tcMar>
              <w:left w:w="0" w:type="dxa"/>
              <w:top w:w="0" w:type="dxa"/>
              <w:right w:w="0" w:type="dxa"/>
              <w:bottom w:w="0" w:type="dxa"/>
            </w:tcMar>
            <w:tcW w:w="2126" w:type="dxa"/>
            <w:vAlign w:val="center"/>
            <w:textDirection w:val="lrTb"/>
            <w:noWrap w:val="false"/>
          </w:tcPr>
          <w:p>
            <w:pPr>
              <w:pBdr/>
              <w:spacing w:after="0" w:before="0" w:line="240" w:lineRule="auto"/>
              <w:ind w:right="146" w:firstLine="0" w:left="90"/>
              <w:rPr/>
            </w:pPr>
            <w:r>
              <w:rPr>
                <w:rFonts w:ascii="Times New Roman" w:hAnsi="Times New Roman" w:eastAsia="Times New Roman" w:cs="Times New Roman"/>
                <w:color w:val="000000"/>
                <w:sz w:val="24"/>
              </w:rPr>
              <w:t xml:space="preserve">Giá trị công trình xây dựng</w:t>
            </w: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305,7</w:t>
            </w:r>
            <w:r/>
          </w:p>
        </w:tc>
        <w:tc>
          <w:tcPr>
            <w:shd w:val="clear" w:color="ffffff" w:fill="ffffff"/>
            <w:tcBorders>
              <w:bottom w:val="single" w:color="000000" w:sz="8" w:space="0"/>
              <w:right w:val="single" w:color="000000" w:sz="8"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6.757.469</w:t>
            </w: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2.065.758.301</w:t>
            </w:r>
            <w:r/>
          </w:p>
        </w:tc>
        <w:tc>
          <w:tcPr>
            <w:shd w:val="clear" w:color="ffffff" w:fill="ffffff"/>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1.755.894.556</w:t>
            </w:r>
            <w:r/>
          </w:p>
        </w:tc>
      </w:tr>
      <w:tr>
        <w:trPr>
          <w:trHeight w:val="660"/>
        </w:trPr>
        <w:tc>
          <w:tcPr>
            <w:gridSpan w:val="6"/>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965"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Tổng cộng</w:t>
            </w:r>
            <w:r>
              <w:rPr>
                <w:b/>
                <w:bCs/>
              </w:rPr>
            </w:r>
            <w:r>
              <w:rPr>
                <w:b/>
                <w:bCs/>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4"/>
              </w:rPr>
              <w:t xml:space="preserve">1.755.894.556</w:t>
            </w:r>
            <w:r>
              <w:rPr>
                <w:b/>
                <w:bCs/>
              </w:rPr>
            </w:r>
            <w:r>
              <w:rPr>
                <w:b/>
                <w:bCs/>
              </w:rPr>
            </w:r>
          </w:p>
        </w:tc>
      </w:tr>
    </w:tbl>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05/2026</w:t>
      </w:r>
      <w:r>
        <w:t xml:space="preserve"> </w:t>
      </w:r>
      <w:r>
        <w:t xml:space="preserve">ước tính </w:t>
      </w:r>
      <w:r>
        <w:t xml:space="preserve">như sau</w:t>
      </w:r>
      <w:r>
        <w:t xml:space="preserve">:</w:t>
      </w:r>
      <w:r>
        <w:rPr>
          <w:highlight w:val="none"/>
        </w:rPr>
      </w:r>
      <w:r>
        <w:rPr>
          <w:highlight w:val="none"/>
        </w:rPr>
      </w:r>
    </w:p>
    <w:tbl>
      <w:tblPr>
        <w:tblStyle w:val="104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48"/>
        <w:gridCol w:w="3228"/>
        <w:gridCol w:w="1697"/>
        <w:gridCol w:w="1966"/>
        <w:gridCol w:w="1504"/>
        <w:gridCol w:w="2031"/>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22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9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0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Hệ số/</w:t>
              <w:br/>
              <w:t xml:space="preserve">CLCL (%)</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397"/>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8396"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có địa chỉ: Ô đất số 16-lô TTA, Khu văn phòng, nhà ở và dịch vụ công cộng Xuân Phương Garden, phường Phương Canh, quận Nam Từ Liêm, Thành phố Hà Nội (Nay là phường Xuân Phương, Thành phố Hà Nội) th</w:t>
            </w:r>
            <w:r>
              <w:rPr>
                <w:rFonts w:ascii="Times New Roman" w:hAnsi="Times New Roman" w:eastAsia="Times New Roman" w:cs="Times New Roman"/>
                <w:b/>
                <w:color w:val="000000"/>
                <w:sz w:val="24"/>
              </w:rPr>
              <w:t xml:space="preserve">eo Giấy chứng nhận quyền sử dụng đất quyền sở hữu nhà ở và tài sản khác gắn liền với đất số: CS 686111, số vào sổ cấp GCN: CS 30694 do Sở Tài nguyên và Môi trường Thành phố Hà Nội cấp ngày 19/7/2019; Chủ tài sản là Ông Phạm Minh Tới và Bà Cao Thị Hạnh.</w:t>
            </w:r>
            <w:r/>
          </w:p>
        </w:tc>
        <w:tc>
          <w:tcPr>
            <w:shd w:val="clear" w:color="ffffff" w:fill="ffffff"/>
            <w:tcBorders>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2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Đất ở đô thị</w:t>
            </w:r>
            <w:r/>
          </w:p>
        </w:tc>
        <w:tc>
          <w:tcPr>
            <w:tcBorders>
              <w:bottom w:val="single" w:color="000000" w:sz="6" w:space="0"/>
              <w:right w:val="single" w:color="000000" w:sz="6" w:space="0"/>
            </w:tcBorders>
            <w:tcMar>
              <w:left w:w="0" w:type="dxa"/>
              <w:top w:w="0" w:type="dxa"/>
              <w:right w:w="0" w:type="dxa"/>
              <w:bottom w:w="0" w:type="dxa"/>
            </w:tcMar>
            <w:tcW w:w="1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330.000.000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33.000.000.000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4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6" w:space="0"/>
              <w:right w:val="single" w:color="000000" w:sz="6" w:space="0"/>
            </w:tcBorders>
            <w:tcMar>
              <w:left w:w="0" w:type="dxa"/>
              <w:top w:w="0" w:type="dxa"/>
              <w:right w:w="0" w:type="dxa"/>
              <w:bottom w:w="0" w:type="dxa"/>
            </w:tcMar>
            <w:tcW w:w="32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4,5 tầng</w:t>
            </w:r>
            <w:r/>
          </w:p>
        </w:tc>
        <w:tc>
          <w:tcPr>
            <w:tcBorders>
              <w:bottom w:val="single" w:color="000000" w:sz="6" w:space="0"/>
              <w:right w:val="single" w:color="000000" w:sz="6" w:space="0"/>
            </w:tcBorders>
            <w:tcMar>
              <w:left w:w="0" w:type="dxa"/>
              <w:top w:w="0" w:type="dxa"/>
              <w:right w:w="0" w:type="dxa"/>
              <w:bottom w:w="0" w:type="dxa"/>
            </w:tcMar>
            <w:tcW w:w="169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305,7 </w:t>
            </w:r>
            <w:r/>
          </w:p>
        </w:tc>
        <w:tc>
          <w:tcPr>
            <w:shd w:val="clear" w:color="ffffff" w:fill="ffffff"/>
            <w:tcBorders>
              <w:bottom w:val="single" w:color="000000" w:sz="6" w:space="0"/>
              <w:right w:val="single" w:color="000000" w:sz="6" w:space="0"/>
            </w:tcBorders>
            <w:tcMar>
              <w:left w:w="0" w:type="dxa"/>
              <w:top w:w="0" w:type="dxa"/>
              <w:right w:w="0" w:type="dxa"/>
              <w:bottom w:w="0" w:type="dxa"/>
            </w:tcMar>
            <w:tcW w:w="196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6.757.469 </w:t>
            </w:r>
            <w:r/>
          </w:p>
        </w:tc>
        <w:tc>
          <w:tcPr>
            <w:shd w:val="clear" w:color="ffffff" w:fill="ffffff"/>
            <w:tcBorders>
              <w:bottom w:val="single" w:color="000000" w:sz="6" w:space="0"/>
              <w:right w:val="single" w:color="000000" w:sz="6" w:space="0"/>
            </w:tcBorders>
            <w:tcMar>
              <w:left w:w="0" w:type="dxa"/>
              <w:top w:w="0" w:type="dxa"/>
              <w:right w:w="0" w:type="dxa"/>
              <w:bottom w:w="0" w:type="dxa"/>
            </w:tcMar>
            <w:tcW w:w="15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85%</w:t>
            </w:r>
            <w:r/>
          </w:p>
        </w:tc>
        <w:tc>
          <w:tcPr>
            <w:shd w:val="clear" w:color="ffffff" w:fill="ffffff"/>
            <w:tcBorders>
              <w:bottom w:val="single" w:color="000000" w:sz="6" w:space="0"/>
              <w:right w:val="single" w:color="000000" w:sz="6" w:space="0"/>
            </w:tcBorders>
            <w:tcMar>
              <w:left w:w="0" w:type="dxa"/>
              <w:top w:w="0" w:type="dxa"/>
              <w:right w:w="0" w:type="dxa"/>
              <w:bottom w:w="0" w:type="dxa"/>
            </w:tcMar>
            <w:tcW w:w="2031"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1.755.894.556</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3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34.755.894.556</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4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31"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34.756.000.000</w:t>
            </w:r>
            <w:r/>
          </w:p>
        </w:tc>
      </w:tr>
      <w:tr>
        <w:trPr>
          <w:trHeight w:val="310"/>
        </w:trPr>
        <w:tc>
          <w:tcPr>
            <w:gridSpan w:val="6"/>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13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Ba mươi bốn tỷ bảy trăm năm mươi sáu triệu đồng chẵn ./.)</w:t>
            </w: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275/2026/0815/VFI-CT.36.A</w:t>
      </w:r>
      <w:r>
        <w:rPr>
          <w:color w:val="ff0000"/>
          <w:lang w:val="vi-VN"/>
        </w:rPr>
        <w:t xml:space="preserve"> </w:t>
      </w:r>
      <w:r>
        <w:rPr>
          <w:color w:val="000000" w:themeColor="text1"/>
        </w:rPr>
        <w:t xml:space="preserve">ngày 30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lang w:val="vi-VN"/>
        </w:rPr>
      </w:pPr>
      <w:r>
        <w:rPr>
          <w:lang w:val="vi-VN"/>
        </w:rPr>
        <w:br w:type="page" w:clear="all"/>
      </w:r>
      <w:r>
        <w:rPr>
          <w:lang w:val="vi-VN"/>
        </w:rPr>
      </w:r>
      <w:r>
        <w:rPr>
          <w:lang w:val="vi-VN"/>
        </w:rPr>
      </w:r>
    </w:p>
    <w:p>
      <w:pPr>
        <w:pBdr/>
        <w:shd w:val="nil" w:color="auto"/>
        <w:spacing/>
        <w:ind/>
        <w:jc w:val="center"/>
        <w:rPr>
          <w:b/>
          <w:bCs/>
          <w:highlight w:val="none"/>
          <w:u w:val="single"/>
          <w:lang w:val="vi-VN"/>
        </w:rPr>
      </w:pPr>
      <w:r>
        <w:rPr>
          <w:b/>
          <w:highlight w:val="none"/>
          <w:lang w:val="pt-BR"/>
        </w:rPr>
        <w:t xml:space="preserve">GIẤY CHỨNG NHẬN QUYỀN SỬ DỤNG ĐẤT</w:t>
      </w:r>
      <w:r>
        <w:rPr>
          <w:b/>
          <w:bCs/>
          <w:highlight w:val="none"/>
          <w:u w:val="single"/>
          <w:lang w:val="vi-VN"/>
        </w:rPr>
      </w:r>
      <w:r>
        <w:rPr>
          <w:b/>
          <w:bCs/>
          <w:highlight w:val="none"/>
          <w:u w:val="single"/>
          <w:lang w:val="vi-VN"/>
        </w:rPr>
      </w:r>
    </w:p>
    <w:p>
      <w:pPr>
        <w:pBdr/>
        <w:shd w:val="nil" w:color="000000"/>
        <w:spacing/>
        <w:ind/>
        <w:jc w:val="center"/>
        <w:rPr>
          <w:b/>
          <w:bCs/>
          <w:highlight w:val="none"/>
          <w:lang w:val="pt-BR"/>
        </w:rPr>
      </w:pPr>
      <w:r>
        <w:rPr>
          <w:b/>
          <w:bCs/>
          <w:highlight w:val="none"/>
          <w:u w:val="single"/>
          <w:lang w:val="pt-BR" w:bidi="pt-BR"/>
        </w:rPr>
      </w:r>
      <w:r>
        <w:rPr>
          <w:b/>
          <w:bCs/>
          <w:highlight w:val="none"/>
          <w:lang w:val="pt-BR"/>
        </w:rPr>
      </w:r>
      <w:r>
        <w:rPr>
          <w:b/>
          <w:bCs/>
          <w:highlight w:val="none"/>
          <w:lang w:val="pt-BR"/>
        </w:rPr>
      </w:r>
    </w:p>
    <w:p>
      <w:pPr>
        <w:pBdr/>
        <w:shd w:val="nil" w:color="000000"/>
        <w:spacing/>
        <w:ind/>
        <w:jc w:val="center"/>
        <w:rPr/>
      </w:pPr>
      <w:r>
        <w:rPr>
          <w:b/>
          <w:highlight w:val="none"/>
          <w:lang w:val="pt-BR"/>
        </w:rPr>
      </w:r>
      <w:r>
        <mc:AlternateContent>
          <mc:Choice Requires="wpg">
            <w:drawing>
              <wp:inline xmlns:wp="http://schemas.openxmlformats.org/drawingml/2006/wordprocessingDrawing" distT="0" distB="0" distL="0" distR="0">
                <wp:extent cx="8288145" cy="579594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314008" name=""/>
                        <pic:cNvPicPr>
                          <a:picLocks noChangeAspect="1"/>
                        </pic:cNvPicPr>
                        <pic:nvPr/>
                      </pic:nvPicPr>
                      <pic:blipFill rotWithShape="1">
                        <a:blip r:embed="rId19"/>
                        <a:stretch/>
                      </pic:blipFill>
                      <pic:spPr bwMode="auto">
                        <a:xfrm rot="16199969" flipH="0" flipV="0">
                          <a:off x="0" y="0"/>
                          <a:ext cx="8288144" cy="57959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652.61pt;height:456.37pt;mso-wrap-distance-left:0.00pt;mso-wrap-distance-top:0.00pt;mso-wrap-distance-right:0.00pt;mso-wrap-distance-bottom:0.00pt;rotation:269;z-index:1;" stroked="false">
                <v:imagedata r:id="rId19" o:title=""/>
                <o:lock v:ext="edit" rotation="t"/>
              </v:shape>
            </w:pict>
          </mc:Fallback>
        </mc:AlternateContent>
      </w:r>
      <w:r>
        <w:rPr>
          <w:b/>
          <w:bCs/>
          <w:u w:val="single"/>
          <w:lang w:val="vi-VN"/>
        </w:rPr>
      </w:r>
      <w:r/>
    </w:p>
    <w:p>
      <w:pPr>
        <w:pBdr/>
        <w:shd w:val="nil" w:color="000000"/>
        <w:spacing/>
        <w:ind/>
        <w:jc w:val="center"/>
        <w:rPr>
          <w:b/>
          <w:bCs/>
          <w:u w:val="single"/>
          <w:lang w:val="vi-VN"/>
        </w:rPr>
      </w:pPr>
      <w:r>
        <w:rPr>
          <w:b/>
          <w:highlight w:val="none"/>
          <w:lang w:val="pt-BR"/>
        </w:rPr>
      </w:r>
      <w:r>
        <w:rPr>
          <w:b/>
          <w:bCs/>
          <w:u w:val="single"/>
          <w:lang w:val="vi-VN"/>
        </w:rPr>
      </w:r>
      <w:r>
        <w:rPr>
          <w:b/>
          <w:bCs/>
          <w:u w:val="single"/>
          <w:lang w:val="vi-VN"/>
        </w:rPr>
      </w:r>
    </w:p>
    <w:p>
      <w:pPr>
        <w:pBdr/>
        <w:shd w:val="nil" w:color="000000"/>
        <w:spacing/>
        <w:ind/>
        <w:jc w:val="center"/>
        <w:rPr>
          <w:b/>
          <w:bCs/>
          <w:highlight w:val="none"/>
          <w:lang w:val="pt-BR"/>
        </w:rPr>
      </w:pPr>
      <w:r>
        <w:rPr>
          <w:b/>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rPr>
      </w:r>
      <w:r>
        <w:rPr>
          <w:b/>
          <w:bCs/>
          <w:highlight w:val="none"/>
          <w:lang w:val="pt-BR"/>
        </w:rPr>
      </w:r>
      <w:r>
        <w:rPr>
          <w:b/>
          <w:bCs/>
          <w:highlight w:val="none"/>
          <w:lang w:val="pt-BR"/>
        </w:rPr>
      </w:r>
    </w:p>
    <w:p>
      <w:pPr>
        <w:pBdr/>
        <w:shd w:val="nil" w:color="000000"/>
        <w:spacing/>
        <w:ind/>
        <w:jc w:val="center"/>
        <w:rPr/>
      </w:pPr>
      <w:r>
        <mc:AlternateContent>
          <mc:Choice Requires="wpg">
            <w:drawing>
              <wp:inline xmlns:wp="http://schemas.openxmlformats.org/drawingml/2006/wordprocessingDrawing" distT="0" distB="0" distL="0" distR="0">
                <wp:extent cx="7710915" cy="62868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53333" name=""/>
                        <pic:cNvPicPr>
                          <a:picLocks noChangeAspect="1"/>
                        </pic:cNvPicPr>
                        <pic:nvPr/>
                      </pic:nvPicPr>
                      <pic:blipFill rotWithShape="1">
                        <a:blip r:embed="rId20"/>
                        <a:stretch/>
                      </pic:blipFill>
                      <pic:spPr bwMode="auto">
                        <a:xfrm rot="16199969" flipH="0" flipV="0">
                          <a:off x="0" y="0"/>
                          <a:ext cx="7710914" cy="62868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607.16pt;height:495.03pt;mso-wrap-distance-left:0.00pt;mso-wrap-distance-top:0.00pt;mso-wrap-distance-right:0.00pt;mso-wrap-distance-bottom:0.00pt;rotation:269;z-index:1;" stroked="false">
                <v:imagedata r:id="rId20" o:title=""/>
                <o:lock v:ext="edit" rotation="t"/>
              </v:shape>
            </w:pict>
          </mc:Fallback>
        </mc:AlternateContent>
      </w:r>
      <w:r>
        <w:rPr>
          <w:b/>
          <w:bCs/>
          <w:highlight w:val="none"/>
          <w:lang w:val="pt-BR"/>
        </w:rPr>
      </w:r>
      <w:r/>
    </w:p>
    <w:p>
      <w:pPr>
        <w:pBdr/>
        <w:shd w:val="nil" w:color="auto"/>
        <w:spacing/>
        <w:ind/>
        <w:rPr>
          <w:b/>
          <w:bCs/>
          <w:highlight w:val="none"/>
          <w:lang w:val="pt-BR"/>
        </w:rPr>
      </w:pPr>
      <w:r>
        <w:rPr>
          <w:b/>
          <w:highlight w:val="none"/>
          <w:lang w:val="pt-BR"/>
        </w:rPr>
        <w:br w:type="page" w:clear="all"/>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rPr>
        <w:t xml:space="preserve">BIÊN BẢN KHẢO SÁT</w:t>
      </w:r>
      <w:r>
        <w:rPr>
          <w:b/>
          <w:bCs/>
          <w:highlight w:val="none"/>
          <w:lang w:val="pt-BR"/>
        </w:rPr>
      </w:r>
      <w:r>
        <w:rPr>
          <w:b/>
          <w:bCs/>
          <w:highlight w:val="none"/>
          <w:lang w:val="pt-BR"/>
        </w:rPr>
      </w:r>
    </w:p>
    <w:p>
      <w:pPr>
        <w:pBdr/>
        <w:shd w:val="nil" w:color="000000"/>
        <w:spacing/>
        <w:ind/>
        <w:jc w:val="center"/>
        <w:rPr>
          <w:b/>
          <w:bCs/>
          <w:highlight w:val="none"/>
          <w:lang w:val="pt-BR"/>
        </w:rPr>
      </w:pPr>
      <w:r>
        <w:rPr>
          <w:b/>
          <w:bCs/>
          <w:highlight w:val="none"/>
          <w:lang w:val="pt-BR"/>
        </w:rPr>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bidi="pt-BR"/>
        </w:rPr>
      </w:r>
      <w:r>
        <w:rPr>
          <w:b/>
          <w:bCs/>
          <w:highlight w:val="none"/>
          <w:lang w:val="pt-BR"/>
        </w:rPr>
      </w:r>
      <w:r>
        <w:rPr>
          <w:b/>
          <w:bCs/>
          <w:highlight w:val="none"/>
          <w:lang w:val="pt-BR"/>
        </w:rPr>
      </w:r>
    </w:p>
    <w:p>
      <w:pPr>
        <w:pBdr/>
        <w:shd w:val="nil" w:color="000000"/>
        <w:spacing/>
        <w:ind/>
        <w:jc w:val="center"/>
        <w:rPr>
          <w:b/>
          <w:bCs/>
          <w:highlight w:val="none"/>
          <w:lang w:val="pt-BR"/>
        </w:rPr>
      </w:pPr>
      <w:r>
        <w:rPr>
          <w:b/>
          <w:highlight w:val="none"/>
          <w:lang w:val="pt-BR"/>
        </w:rPr>
      </w:r>
      <w:r>
        <mc:AlternateContent>
          <mc:Choice Requires="wpg">
            <w:drawing>
              <wp:inline xmlns:wp="http://schemas.openxmlformats.org/drawingml/2006/wordprocessingDrawing" distT="0" distB="0" distL="0" distR="0">
                <wp:extent cx="5880347" cy="8192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3930" name=""/>
                        <pic:cNvPicPr>
                          <a:picLocks noChangeAspect="1"/>
                        </pic:cNvPicPr>
                        <pic:nvPr/>
                      </pic:nvPicPr>
                      <pic:blipFill rotWithShape="1">
                        <a:blip r:embed="rId21"/>
                        <a:stretch/>
                      </pic:blipFill>
                      <pic:spPr bwMode="auto">
                        <a:xfrm flipH="0" flipV="0">
                          <a:off x="0" y="0"/>
                          <a:ext cx="5880347" cy="8192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63.02pt;height:645.08pt;mso-wrap-distance-left:0.00pt;mso-wrap-distance-top:0.00pt;mso-wrap-distance-right:0.00pt;mso-wrap-distance-bottom:0.00pt;z-index:1;" stroked="false">
                <v:imagedata r:id="rId21" o:title=""/>
                <o:lock v:ext="edit" rotation="t"/>
              </v:shape>
            </w:pict>
          </mc:Fallback>
        </mc:AlternateContent>
      </w:r>
      <w:r>
        <w:rPr>
          <w:b/>
          <w:highlight w:val="none"/>
          <w:lang w:val="pt-BR"/>
        </w:rPr>
        <w:br w:type="page" w:clear="all"/>
      </w:r>
      <w:r>
        <w:rPr>
          <w:b/>
          <w:bCs/>
          <w:highlight w:val="none"/>
          <w:lang w:val="pt-BR"/>
        </w:rPr>
      </w:r>
      <w:r>
        <w:rPr>
          <w:b/>
          <w:bCs/>
          <w:highlight w:val="none"/>
          <w:lang w:val="pt-BR"/>
        </w:rPr>
      </w:r>
    </w:p>
    <w:p>
      <w:pPr>
        <w:pBdr/>
        <w:spacing w:after="200" w:line="276" w:lineRule="auto"/>
        <w:ind/>
        <w:jc w:val="center"/>
        <w:rPr>
          <w:b/>
          <w:bCs/>
          <w:highlight w:val="none"/>
          <w:lang w:val="pt-BR"/>
        </w:rPr>
      </w:pPr>
      <w:r>
        <w:rPr>
          <w:lang w:val="vi-VN"/>
        </w:rPr>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bCs/>
          <w:highlight w:val="none"/>
          <w:lang w:val="pt-BR"/>
        </w:rPr>
      </w:r>
      <w:r>
        <w:rPr>
          <w:b/>
          <w:bCs/>
          <w:highlight w:val="none"/>
          <w:lang w:val="pt-BR"/>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275/2026/0815/VFI-BC.36.A</w:t>
      </w:r>
      <w:r>
        <w:rPr>
          <w:i/>
        </w:rPr>
        <w:t xml:space="preserve"> ngày</w:t>
      </w:r>
      <w:r>
        <w:rPr>
          <w:i/>
          <w:lang w:val="pt-BR"/>
        </w:rPr>
        <w:t xml:space="preserve">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37817" cy="256733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57520" name=""/>
                              <pic:cNvPicPr>
                                <a:picLocks noChangeAspect="1"/>
                              </pic:cNvPicPr>
                              <pic:nvPr/>
                            </pic:nvPicPr>
                            <pic:blipFill rotWithShape="1">
                              <a:blip r:embed="rId22"/>
                              <a:stretch/>
                            </pic:blipFill>
                            <pic:spPr bwMode="auto">
                              <a:xfrm flipH="0" flipV="0">
                                <a:off x="0" y="0"/>
                                <a:ext cx="2637816" cy="25673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70pt;height:202.1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78943" cy="263877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05149" name=""/>
                              <pic:cNvPicPr>
                                <a:picLocks noChangeAspect="1"/>
                              </pic:cNvPicPr>
                              <pic:nvPr/>
                            </pic:nvPicPr>
                            <pic:blipFill rotWithShape="1">
                              <a:blip r:embed="rId23"/>
                              <a:stretch/>
                            </pic:blipFill>
                            <pic:spPr bwMode="auto">
                              <a:xfrm flipH="0" flipV="0">
                                <a:off x="0" y="0"/>
                                <a:ext cx="2678943" cy="26387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94pt;height:207.7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4884" cy="248223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89346" name=""/>
                              <pic:cNvPicPr>
                                <a:picLocks noChangeAspect="1"/>
                              </pic:cNvPicPr>
                              <pic:nvPr/>
                            </pic:nvPicPr>
                            <pic:blipFill rotWithShape="1">
                              <a:blip r:embed="rId24"/>
                              <a:stretch/>
                            </pic:blipFill>
                            <pic:spPr bwMode="auto">
                              <a:xfrm flipH="0" flipV="0">
                                <a:off x="0" y="0"/>
                                <a:ext cx="2794884" cy="24822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07pt;height:195.4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33251" cy="25514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7148" name=""/>
                              <pic:cNvPicPr>
                                <a:picLocks noChangeAspect="1"/>
                              </pic:cNvPicPr>
                              <pic:nvPr/>
                            </pic:nvPicPr>
                            <pic:blipFill rotWithShape="1">
                              <a:blip r:embed="rId25"/>
                              <a:stretch/>
                            </pic:blipFill>
                            <pic:spPr bwMode="auto">
                              <a:xfrm flipH="0" flipV="0">
                                <a:off x="0" y="0"/>
                                <a:ext cx="2733250" cy="25514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22pt;height:200.9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5607" cy="240271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49764" name=""/>
                              <pic:cNvPicPr>
                                <a:picLocks noChangeAspect="1"/>
                              </pic:cNvPicPr>
                              <pic:nvPr/>
                            </pic:nvPicPr>
                            <pic:blipFill rotWithShape="1">
                              <a:blip r:embed="rId26"/>
                              <a:stretch/>
                            </pic:blipFill>
                            <pic:spPr bwMode="auto">
                              <a:xfrm flipH="0" flipV="0">
                                <a:off x="0" y="0"/>
                                <a:ext cx="2795607" cy="2402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0.13pt;height:189.19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4495" cy="242794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604758" name=""/>
                              <pic:cNvPicPr>
                                <a:picLocks noChangeAspect="1"/>
                              </pic:cNvPicPr>
                              <pic:nvPr/>
                            </pic:nvPicPr>
                            <pic:blipFill rotWithShape="1">
                              <a:blip r:embed="rId27"/>
                              <a:stretch/>
                            </pic:blipFill>
                            <pic:spPr bwMode="auto">
                              <a:xfrm flipH="0" flipV="0">
                                <a:off x="0" y="0"/>
                                <a:ext cx="2744495" cy="24279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10pt;height:191.18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2658" cy="245344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616787" name=""/>
                              <pic:cNvPicPr>
                                <a:picLocks noChangeAspect="1"/>
                              </pic:cNvPicPr>
                              <pic:nvPr/>
                            </pic:nvPicPr>
                            <pic:blipFill rotWithShape="1">
                              <a:blip r:embed="rId28"/>
                              <a:stretch/>
                            </pic:blipFill>
                            <pic:spPr bwMode="auto">
                              <a:xfrm flipH="0" flipV="0">
                                <a:off x="0" y="0"/>
                                <a:ext cx="2832657" cy="24534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3.04pt;height:193.18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3045" cy="241772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50902" name=""/>
                              <pic:cNvPicPr>
                                <a:picLocks noChangeAspect="1"/>
                              </pic:cNvPicPr>
                              <pic:nvPr/>
                            </pic:nvPicPr>
                            <pic:blipFill rotWithShape="1">
                              <a:blip r:embed="rId29"/>
                              <a:stretch/>
                            </pic:blipFill>
                            <pic:spPr bwMode="auto">
                              <a:xfrm flipH="0" flipV="0">
                                <a:off x="0" y="0"/>
                                <a:ext cx="2863045" cy="2417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5.44pt;height:190.37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4949" cy="253580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32938" name=""/>
                              <pic:cNvPicPr>
                                <a:picLocks noChangeAspect="1"/>
                              </pic:cNvPicPr>
                              <pic:nvPr/>
                            </pic:nvPicPr>
                            <pic:blipFill rotWithShape="1">
                              <a:blip r:embed="rId30"/>
                              <a:stretch/>
                            </pic:blipFill>
                            <pic:spPr bwMode="auto">
                              <a:xfrm flipH="0" flipV="0">
                                <a:off x="0" y="0"/>
                                <a:ext cx="2864949" cy="25358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59pt;height:199.67pt;mso-wrap-distance-left:0.00pt;mso-wrap-distance-top:0.00pt;mso-wrap-distance-right:0.00pt;mso-wrap-distance-bottom:0.00pt;z-index:1;" stroked="false">
                      <v:imagedata r:id="rId30"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8356" cy="2444698"/>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3964" name=""/>
                              <pic:cNvPicPr>
                                <a:picLocks noChangeAspect="1"/>
                              </pic:cNvPicPr>
                              <pic:nvPr/>
                            </pic:nvPicPr>
                            <pic:blipFill rotWithShape="1">
                              <a:blip r:embed="rId31"/>
                              <a:stretch/>
                            </pic:blipFill>
                            <pic:spPr bwMode="auto">
                              <a:xfrm flipH="0" flipV="0">
                                <a:off x="0" y="0"/>
                                <a:ext cx="2788355" cy="24446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9.56pt;height:192.50pt;mso-wrap-distance-left:0.00pt;mso-wrap-distance-top:0.00pt;mso-wrap-distance-right:0.00pt;mso-wrap-distance-bottom:0.00pt;z-index:1;" stroked="false">
                      <v:imagedata r:id="rId31"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rHeight w:val="3017"/>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08579" cy="2708448"/>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293044" name=""/>
                              <pic:cNvPicPr>
                                <a:picLocks noChangeAspect="1"/>
                              </pic:cNvPicPr>
                              <pic:nvPr/>
                            </pic:nvPicPr>
                            <pic:blipFill rotWithShape="1">
                              <a:blip r:embed="rId32"/>
                              <a:stretch/>
                            </pic:blipFill>
                            <pic:spPr bwMode="auto">
                              <a:xfrm flipH="0" flipV="0">
                                <a:off x="0" y="0"/>
                                <a:ext cx="3008578" cy="2708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36.90pt;height:213.26pt;mso-wrap-distance-left:0.00pt;mso-wrap-distance-top:0.00pt;mso-wrap-distance-right:0.00pt;mso-wrap-distance-bottom:0.00pt;z-index:1;" stroked="false">
                      <v:imagedata r:id="rId32"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3273" cy="267273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08348" name=""/>
                              <pic:cNvPicPr>
                                <a:picLocks noChangeAspect="1"/>
                              </pic:cNvPicPr>
                              <pic:nvPr/>
                            </pic:nvPicPr>
                            <pic:blipFill rotWithShape="1">
                              <a:blip r:embed="rId33"/>
                              <a:stretch/>
                            </pic:blipFill>
                            <pic:spPr bwMode="auto">
                              <a:xfrm flipH="0" flipV="0">
                                <a:off x="0" y="0"/>
                                <a:ext cx="2893272" cy="26727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7.82pt;height:210.45pt;mso-wrap-distance-left:0.00pt;mso-wrap-distance-top:0.00pt;mso-wrap-distance-right:0.00pt;mso-wrap-distance-bottom:0.00pt;z-index:1;" stroked="false">
                      <v:imagedata r:id="rId33"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275/2026/0815/VFI-BC.36.A</w:t>
      </w:r>
      <w:r>
        <w:rPr>
          <w:i/>
        </w:rPr>
        <w:t xml:space="preserve"> ngày</w:t>
      </w:r>
      <w:r>
        <w:rPr>
          <w:i/>
          <w:lang w:val="pt-BR"/>
        </w:rPr>
        <w:t xml:space="preserve">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https://batdongsan.com.vn/ban-nha-mat-pho-duong-trinh-van-bo-phuong-phuong-canh-14/ban-mp-165m2-x-8-tang-thang-may-gan-fpt-o-to-via-he-kd-dong-tien-pr44806740 - SĐT: 0932228824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52.700.000.000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lỗi phong thủy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4,5 tầng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21615" cy="2669635"/>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5121614" cy="2669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03.28pt;height:210.21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13673" cy="2669635"/>
                      <wp:effectExtent l="0" t="0" r="0" b="0"/>
                      <wp:docPr id="22" name=""/>
                      <wp:cNvGraphicFramePr/>
                      <a:graphic xmlns:a="http://schemas.openxmlformats.org/drawingml/2006/main">
                        <a:graphicData uri="http://schemas.openxmlformats.org/drawingml/2006/picture">
                          <pic:pic xmlns:pic="http://schemas.openxmlformats.org/drawingml/2006/picture">
                            <pic:nvPicPr>
                              <pic:cNvPr id="2045023359" name="" descr=""/>
                              <pic:cNvPicPr/>
                              <pic:nvPr/>
                            </pic:nvPicPr>
                            <pic:blipFill rotWithShape="1">
                              <a:blip r:embed="rId35"/>
                              <a:stretch/>
                            </pic:blipFill>
                            <pic:spPr bwMode="auto">
                              <a:xfrm flipH="0" flipV="0">
                                <a:off x="0" y="0"/>
                                <a:ext cx="5013672" cy="2669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94.78pt;height:210.21pt;mso-wrap-distance-left:0.00pt;mso-wrap-distance-top:0.00pt;mso-wrap-distance-right:0.00pt;mso-wrap-distance-bottom:0.00pt;z-index:1;" stroked="false">
                      <v:imagedata r:id="rId35"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Tấn Sang</w:t>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0916331246</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43.200.000.000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lỗi phong thủy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30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4,5 tầng (Xây thô)</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966529"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1820664026" name="" descr=""/>
                              <pic:cNvPicPr/>
                              <pic:nvPr/>
                            </pic:nvPicPr>
                            <pic:blipFill rotWithShape="1">
                              <a:blip r:embed="rId36"/>
                              <a:stretch/>
                            </pic:blipFill>
                            <pic:spPr bwMode="auto">
                              <a:xfrm>
                                <a:off x="0" y="0"/>
                                <a:ext cx="496652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91.07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190" cy="2402935"/>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5531188" cy="2402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5.53pt;height:189.21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16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Tấn Sang</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0916331246</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05/2026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đô thị</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mặt đường Trịnh Văn Bộ kéo dài (đường Tây Nhạc)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20m + vỉa hè 2 bên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 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khác (Yếu tố phong thủy/Yếu tố tâm linh)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Không lỗi phong thủy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4,5 tầng (Xây thô)</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571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71503"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55715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38.7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78740" cy="2860135"/>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4978739" cy="28601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92.03pt;height:225.21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Tấn Sang</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1571A69"/>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5D5B5C0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4AD59501"/>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0">
    <w:nsid w:val="66B370C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3">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4">
    <w:nsid w:val="09464D1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batdongsan.com.vn/ban-nha-mat-pho-duong-trinh-van-bo-phuong-phuong-canh-14/ban-mp-165m2-x-8-tang-thang-may-gan-fpt-o-to-via-he-kd-dong-tien-pr44806740"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513</cp:revision>
  <dcterms:created xsi:type="dcterms:W3CDTF">2025-09-15T02:01:00Z</dcterms:created>
  <dcterms:modified xsi:type="dcterms:W3CDTF">2026-05-30T10:08:58Z</dcterms:modified>
</cp:coreProperties>
</file>