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322978</wp:posOffset>
                </wp:positionV>
                <wp:extent cx="5467350" cy="295306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53062"/>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275/2026/0820/VFI-CT.48.A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ĐÌNH HÙNG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430; 434, tờ bản đồ số: 62 có địa chỉ: Xã Nam Phù, thành phố Hà Nội </w:t>
                            </w:r>
                            <w:r>
                              <w:rPr>
                                <w:rFonts w:ascii="Times New Roman" w:hAnsi="Times New Roman" w:eastAsia="Times New Roman" w:cs="Times New Roman"/>
                                <w:color w:val="000000"/>
                                <w:sz w:val="24"/>
                              </w:rPr>
                              <w:t xml:space="preserve">theo Gi</w:t>
                            </w:r>
                            <w:r>
                              <w:rPr>
                                <w:rFonts w:ascii="Times New Roman" w:hAnsi="Times New Roman" w:eastAsia="Times New Roman" w:cs="Times New Roman"/>
                                <w:color w:val="000000"/>
                                <w:sz w:val="24"/>
                              </w:rPr>
                              <w:t xml:space="preserve">ấy chứng nhận quyền sử dụng đất, quyền sở hữu tài sản gắn liền với đất số: AA 04338517, số vào sổ cấp GCN: CN 3956 do Chi nhánh Văn phòng đăng ký đất đai Hà Nội - Huyện Thanh Trì cấp ngày 28/11/2025 cho Ông Nguyễn Đình Hùng và Bà Nguyễn Thị Hạnh</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25.43pt;mso-position-vertical:absolute;width:430.50pt;height:232.52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275/2026/0820/VFI-CT.48.A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ĐÌNH HÙNG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tại thửa đất số: 430; 434, tờ bản đồ số: 62 có địa chỉ: Xã Nam Phù, thành phố Hà Nội </w:t>
                      </w:r>
                      <w:r>
                        <w:rPr>
                          <w:rFonts w:ascii="Times New Roman" w:hAnsi="Times New Roman" w:eastAsia="Times New Roman" w:cs="Times New Roman"/>
                          <w:color w:val="000000"/>
                          <w:sz w:val="24"/>
                        </w:rPr>
                        <w:t xml:space="preserve">theo Gi</w:t>
                      </w:r>
                      <w:r>
                        <w:rPr>
                          <w:rFonts w:ascii="Times New Roman" w:hAnsi="Times New Roman" w:eastAsia="Times New Roman" w:cs="Times New Roman"/>
                          <w:color w:val="000000"/>
                          <w:sz w:val="24"/>
                        </w:rPr>
                        <w:t xml:space="preserve">ấy chứng nhận quyền sử dụng đất, quyền sở hữu tài sản gắn liền với đất số: AA 04338517, số vào sổ cấp GCN: CN 3956 do Chi nhánh Văn phòng đăng ký đất đai Hà Nội - Huyện Thanh Trì cấp ngày 28/11/2025 cho Ông Nguyễn Đình Hùng và Bà Nguyễn Thị Hạnh</w:t>
                      </w:r>
                      <w:r>
                        <w:rPr>
                          <w:bCs/>
                          <w:i/>
                          <w:iCs/>
                        </w:rPr>
                        <w:t xml:space="preserve">.</w:t>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4-18</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w:t>
            </w:r>
            <w:r>
              <w:rPr>
                <w:b/>
                <w:bCs/>
              </w:rPr>
            </w:r>
          </w:p>
        </w:tc>
      </w:tr>
      <w:tr>
        <w:trPr/>
        <w:tc>
          <w:tcPr>
            <w:tcBorders/>
            <w:tcMar>
              <w:left w:w="108" w:type="dxa"/>
              <w:right w:w="108" w:type="dxa"/>
            </w:tcMar>
            <w:tcW w:w="7280" w:type="dxa"/>
            <w:vAlign w:val="center"/>
            <w:textDirection w:val="lrTb"/>
            <w:noWrap w:val="false"/>
          </w:tcPr>
          <w:p>
            <w:pPr>
              <w:pStyle w:val="1024"/>
              <w:pBdr/>
              <w:tabs>
                <w:tab w:val="left" w:leader="none" w:pos="993"/>
              </w:tabs>
              <w:spacing w:after="120" w:before="120" w:line="288" w:lineRule="auto"/>
              <w:ind w:left="0"/>
              <w:jc w:val="both"/>
              <w:rPr>
                <w:bCs/>
                <w:lang w:val="pt-BR"/>
              </w:rPr>
            </w:pPr>
            <w:r>
              <w:rPr>
                <w:bCs/>
                <w:lang w:val="pt-BR"/>
              </w:rPr>
              <w:t xml:space="preserve">Phụ lục 2: Thông tin thu thập thị trường + BBKS +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20-25</w:t>
            </w:r>
            <w:r>
              <w:rPr>
                <w:b/>
                <w:bCs/>
              </w:rPr>
            </w:r>
            <w:r>
              <w:rPr>
                <w:b/>
                <w:bCs/>
              </w:rPr>
            </w:r>
          </w:p>
        </w:tc>
      </w:tr>
    </w:tbl>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03" w:type="dxa"/>
        <w:tblBorders/>
        <w:tblLayout w:type="fixed"/>
        <w:tblLook w:val="04A0" w:firstRow="1" w:lastRow="0" w:firstColumn="1" w:lastColumn="0" w:noHBand="0" w:noVBand="1"/>
      </w:tblPr>
      <w:tblGrid>
        <w:gridCol w:w="1446"/>
        <w:gridCol w:w="3541"/>
        <w:gridCol w:w="4987"/>
        <w:gridCol w:w="29"/>
      </w:tblGrid>
      <w:tr>
        <w:trPr>
          <w:trHeight w:val="1152"/>
        </w:trPr>
        <w:tc>
          <w:tcPr>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5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987"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275/2026/0820/VFI-CT.48.A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87"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01 tháng 6 năm 2026</w:t>
            </w:r>
            <w:r>
              <w:rPr>
                <w:color w:val="000000" w:themeColor="text1"/>
                <w:sz w:val="24"/>
                <w:szCs w:val="24"/>
                <w:lang w:val="vi-VN"/>
              </w:rPr>
            </w:r>
            <w:r>
              <w:rPr>
                <w:color w:val="000000" w:themeColor="text1"/>
                <w:sz w:val="24"/>
                <w:szCs w:val="24"/>
                <w:lang w:val="vi-VN"/>
              </w:rPr>
            </w:r>
          </w:p>
        </w:tc>
      </w:tr>
    </w:tbl>
    <w:p>
      <w:pPr>
        <w:pStyle w:val="1023"/>
        <w:pBdr/>
        <w:spacing w:after="120" w:before="200" w:line="288" w:lineRule="auto"/>
        <w:ind/>
        <w:jc w:val="center"/>
        <w:rPr>
          <w:rStyle w:val="1022"/>
          <w:rFonts w:ascii="Times New Roman" w:hAnsi="Times New Roman"/>
          <w:b/>
          <w:bCs/>
          <w:color w:val="auto"/>
          <w:sz w:val="30"/>
          <w:szCs w:val="30"/>
          <w:lang w:val="vi-VN"/>
        </w:rPr>
      </w:pPr>
      <w:r>
        <w:rPr>
          <w:rStyle w:val="1022"/>
          <w:rFonts w:ascii="Times New Roman" w:hAnsi="Times New Roman"/>
          <w:b/>
          <w:bCs/>
          <w:color w:val="auto"/>
          <w:sz w:val="30"/>
          <w:szCs w:val="30"/>
          <w:lang w:val="vi-VN"/>
        </w:rPr>
        <w:t xml:space="preserve">CHỨNG THƯ THẨM ĐỊNH GIÁ</w:t>
      </w:r>
      <w:r>
        <w:rPr>
          <w:rStyle w:val="1022"/>
          <w:rFonts w:ascii="Times New Roman" w:hAnsi="Times New Roman"/>
          <w:b/>
          <w:bCs/>
          <w:color w:val="auto"/>
          <w:sz w:val="30"/>
          <w:szCs w:val="30"/>
          <w:lang w:val="vi-VN"/>
        </w:rPr>
      </w:r>
      <w:r>
        <w:rPr>
          <w:rStyle w:val="102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ĐÌNH HÙNG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275/2026/0820/VFI-HĐTĐ.48.A</w:t>
      </w:r>
      <w:r>
        <w:rPr>
          <w:spacing w:val="-4"/>
          <w:lang w:val="vi-VN"/>
        </w:rPr>
        <w:t xml:space="preserve"> ký ngày </w:t>
      </w:r>
      <w:r>
        <w:rPr>
          <w:color w:val="000000" w:themeColor="text1"/>
          <w:spacing w:val="-4"/>
        </w:rPr>
        <w:t xml:space="preserve">20 tháng 5 năm 2026</w:t>
      </w:r>
      <w:r>
        <w:rPr>
          <w:spacing w:val="-4"/>
          <w:lang w:val="vi-VN"/>
        </w:rPr>
        <w:t xml:space="preserve"> </w:t>
      </w:r>
      <w:r>
        <w:rPr>
          <w:spacing w:val="-4"/>
          <w:lang w:val="vi-VN"/>
        </w:rPr>
        <w:t xml:space="preserve">giữa Ông Nguyễn Đình Hùng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w:t>
      </w:r>
      <w:r>
        <w:rPr>
          <w:color w:val="ff0000"/>
          <w:spacing w:val="-2"/>
          <w:lang w:val="pt-BR"/>
        </w:rPr>
        <w:t xml:space="preserve">75/2026/0820/VFI-BC.48.A</w:t>
      </w:r>
      <w:r>
        <w:rPr>
          <w:color w:val="ff0000"/>
          <w:spacing w:val="-2"/>
          <w:lang w:val="pt-BR"/>
        </w:rPr>
        <w:t xml:space="preserve"> </w:t>
      </w:r>
      <w:r>
        <w:rPr>
          <w:color w:val="ff0000"/>
          <w:spacing w:val="-2"/>
          <w:lang w:val="pt-BR"/>
        </w:rPr>
        <w:t xml:space="preserve">ngày</w:t>
      </w:r>
      <w:r>
        <w:rPr>
          <w:spacing w:val="-2"/>
          <w:lang w:val="vi-VN"/>
        </w:rPr>
        <w:t xml:space="preserve"> </w:t>
      </w:r>
      <w:r>
        <w:rPr>
          <w:color w:val="000000" w:themeColor="text1"/>
          <w:spacing w:val="-2"/>
        </w:rPr>
        <w:t xml:space="preserve">01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ĐÌNH HÙNG</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001085009185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430; 434, tờ bản đồ số: 62 có địa chỉ: Xã Nam Phù, thành phố Hà Nội </w:t>
      </w:r>
      <w:r>
        <w:rPr>
          <w:rFonts w:ascii="Times New Roman" w:hAnsi="Times New Roman" w:eastAsia="Times New Roman" w:cs="Times New Roman"/>
          <w:color w:val="000000"/>
          <w:sz w:val="24"/>
        </w:rPr>
        <w:t xml:space="preserve">theo Gi</w:t>
      </w:r>
      <w:r>
        <w:rPr>
          <w:rFonts w:ascii="Times New Roman" w:hAnsi="Times New Roman" w:eastAsia="Times New Roman" w:cs="Times New Roman"/>
          <w:color w:val="000000"/>
          <w:sz w:val="24"/>
        </w:rPr>
        <w:t xml:space="preserve">ấy chứng nhận quyền sử dụng đất, quyền sở hữu tài sản gắn liền với đất số: AA 04338517, số vào sổ cấp GCN: CN3956 do Chi nhánh Văn phòng đăng ký đất đai Hà Nội - Huyện Thanh Trì cấp ngày 28/11/2025 cho Ông Nguyễn Đình Hùng và Bà Nguyễn Thị Hạn</w:t>
      </w:r>
      <w:r>
        <w:rPr>
          <w:rFonts w:ascii="Times New Roman" w:hAnsi="Times New Roman" w:eastAsia="Times New Roman" w:cs="Times New Roman"/>
          <w:b w:val="0"/>
          <w:bCs w:val="0"/>
          <w:color w:val="000000"/>
          <w:sz w:val="24"/>
        </w:rPr>
        <w:t xml:space="preserve">h</w:t>
      </w:r>
      <w:r>
        <w:rPr>
          <w:b w:val="0"/>
          <w:bCs w:val="0"/>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W w:w="498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75"/>
        <w:gridCol w:w="2801"/>
        <w:gridCol w:w="1701"/>
        <w:gridCol w:w="2231"/>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23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33"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430; 434, tờ bản đồ số: 62 có địa chỉ: Xã Nam Phù, thành phố Hà Nội </w:t>
            </w:r>
            <w:r>
              <w:rPr>
                <w:rFonts w:ascii="Times New Roman" w:hAnsi="Times New Roman" w:eastAsia="Times New Roman" w:cs="Times New Roman"/>
                <w:b/>
                <w:bCs/>
                <w:color w:val="000000"/>
                <w:sz w:val="24"/>
              </w:rPr>
              <w:t xml:space="preserve">theo Gi</w:t>
            </w:r>
            <w:r>
              <w:rPr>
                <w:rFonts w:ascii="Times New Roman" w:hAnsi="Times New Roman" w:eastAsia="Times New Roman" w:cs="Times New Roman"/>
                <w:b/>
                <w:bCs/>
                <w:color w:val="000000"/>
                <w:sz w:val="24"/>
              </w:rPr>
              <w:t xml:space="preserve">ấy chứng nhận quyền sử dụng đất, quyền sở hữu tài sản gắn liền với đất số: AA 04338517, số vào sổ cấp GCN: CN 3956 do Chi nhánh Văn phòng đăng ký đất đai Hà Nội - Huyện Thanh Trì cấp ngày 28/11/2025 cho Ông Nguyễn Đình Hùng và Bà Nguyễn Thị Hạnh.</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p>
        </w:tc>
        <w:tc>
          <w:tcPr>
            <w:shd w:val="clear" w:color="000000" w:fill="ffffff"/>
            <w:tcBorders/>
            <w:tcW w:w="2801"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50,3</w:t>
            </w:r>
            <w:r>
              <w:rPr>
                <w:color w:val="000000"/>
              </w:rPr>
            </w:r>
            <w:r>
              <w:rPr>
                <w:color w:val="000000"/>
              </w:rPr>
            </w:r>
          </w:p>
        </w:tc>
        <w:tc>
          <w:tcPr>
            <w:shd w:val="clear" w:color="000000" w:fill="ffffff"/>
            <w:tcBorders/>
            <w:tcW w:w="2231" w:type="dxa"/>
            <w:vAlign w:val="center"/>
            <w:textDirection w:val="lrTb"/>
            <w:noWrap w:val="false"/>
          </w:tcPr>
          <w:p>
            <w:pPr>
              <w:pBdr/>
              <w:spacing w:after="40" w:before="40" w:line="288" w:lineRule="auto"/>
              <w:ind/>
              <w:jc w:val="center"/>
              <w:rPr/>
            </w:pPr>
            <w:r>
              <w:rPr>
                <w:color w:val="000000" w:themeColor="text1"/>
              </w:rPr>
              <w:t xml:space="preserve">86.000.000</w:t>
            </w:r>
            <w:r/>
          </w:p>
        </w:tc>
        <w:tc>
          <w:tcPr>
            <w:shd w:val="clear" w:color="000000" w:fill="ffffff"/>
            <w:tcBorders/>
            <w:tcW w:w="2092" w:type="dxa"/>
            <w:vAlign w:val="center"/>
            <w:textDirection w:val="lrTb"/>
            <w:noWrap w:val="false"/>
          </w:tcPr>
          <w:p>
            <w:pPr>
              <w:pBdr/>
              <w:spacing w:after="40" w:before="40" w:line="288" w:lineRule="auto"/>
              <w:ind/>
              <w:jc w:val="center"/>
              <w:rPr/>
            </w:pPr>
            <w:r>
              <w:rPr>
                <w:color w:val="000000" w:themeColor="text1"/>
              </w:rPr>
              <w:t xml:space="preserve">4.325.800.000</w:t>
            </w:r>
            <w:r/>
          </w:p>
        </w:tc>
      </w:tr>
      <w:tr>
        <w:trPr>
          <w:trHeight w:val="20"/>
        </w:trPr>
        <w:tc>
          <w:tcPr>
            <w:gridSpan w:val="4"/>
            <w:tcBorders/>
            <w:tcW w:w="740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2" w:type="dxa"/>
            <w:vAlign w:val="center"/>
            <w:textDirection w:val="lrTb"/>
            <w:noWrap/>
          </w:tcPr>
          <w:p>
            <w:pPr>
              <w:pBdr/>
              <w:spacing w:after="40" w:before="40" w:line="288" w:lineRule="auto"/>
              <w:ind/>
              <w:jc w:val="center"/>
              <w:rPr>
                <w:b/>
                <w:bCs/>
                <w:color w:val="000000"/>
              </w:rPr>
            </w:pPr>
            <w:r>
              <w:rPr>
                <w:b/>
                <w:bCs/>
              </w:rPr>
              <w:t xml:space="preserve">4.325.800.000</w:t>
            </w:r>
            <w:r>
              <w:rPr>
                <w:b/>
                <w:bCs/>
                <w:color w:val="000000"/>
              </w:rPr>
            </w:r>
            <w:r>
              <w:rPr>
                <w:b/>
                <w:bCs/>
                <w:color w:val="000000"/>
              </w:rPr>
            </w:r>
          </w:p>
        </w:tc>
      </w:tr>
      <w:tr>
        <w:trPr>
          <w:trHeight w:val="20"/>
        </w:trPr>
        <w:tc>
          <w:tcPr>
            <w:gridSpan w:val="4"/>
            <w:tcBorders/>
            <w:tcW w:w="7408"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2092" w:type="dxa"/>
            <w:vAlign w:val="center"/>
            <w:vMerge w:val="restart"/>
            <w:textDirection w:val="lrTb"/>
            <w:noWrap/>
          </w:tcPr>
          <w:p>
            <w:pPr>
              <w:pBdr/>
              <w:spacing w:after="40" w:before="40" w:line="288" w:lineRule="auto"/>
              <w:ind/>
              <w:jc w:val="center"/>
              <w:rPr>
                <w:b/>
                <w:bCs/>
              </w:rPr>
            </w:pPr>
            <w:r>
              <w:rPr>
                <w:b/>
                <w:bCs/>
              </w:rPr>
              <w:t xml:space="preserve">4.326.000.000</w:t>
            </w:r>
            <w:r>
              <w:rPr>
                <w:b/>
                <w:bCs/>
              </w:rPr>
            </w:r>
          </w:p>
        </w:tc>
      </w:tr>
      <w:tr>
        <w:trPr>
          <w:trHeight w:val="20"/>
        </w:trPr>
        <w:tc>
          <w:tcPr>
            <w:gridSpan w:val="5"/>
            <w:tcBorders/>
            <w:tcW w:w="9500"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ba trăm hai mươi sáu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1"/>
        <w:gridCol w:w="29"/>
        <w:gridCol w:w="3302"/>
        <w:gridCol w:w="5031"/>
        <w:gridCol w:w="29"/>
      </w:tblGrid>
      <w:tr>
        <w:trPr>
          <w:trHeight w:val="1843"/>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3"/>
            <w:shd w:val="clear" w:color="auto" w:fill="auto"/>
            <w:tcBorders/>
            <w:tcMar>
              <w:left w:w="108" w:type="dxa"/>
              <w:top w:w="0" w:type="dxa"/>
              <w:right w:w="108" w:type="dxa"/>
              <w:bottom w:w="0" w:type="dxa"/>
            </w:tcMar>
            <w:tcW w:w="5031" w:type="dxa"/>
            <w:textDirection w:val="lrTb"/>
            <w:noWrap w:val="false"/>
          </w:tcPr>
          <w:p>
            <w:pPr>
              <w:pStyle w:val="1023"/>
              <w:pBdr/>
              <w:spacing w:after="60"/>
              <w:ind/>
              <w:rPr>
                <w:color w:val="000000" w:themeColor="text1"/>
                <w:sz w:val="24"/>
                <w:szCs w:val="24"/>
              </w:rPr>
            </w:pPr>
            <w:r>
              <w:rPr>
                <w:rStyle w:val="1022"/>
                <w:rFonts w:ascii="Times New Roman" w:hAnsi="Times New Roman"/>
                <w:color w:val="000000" w:themeColor="text1"/>
                <w:lang w:val="pt-BR"/>
              </w:rPr>
              <w:t xml:space="preserve">Số: </w:t>
            </w:r>
            <w:r>
              <w:rPr>
                <w:rStyle w:val="1022"/>
                <w:rFonts w:ascii="Times New Roman" w:hAnsi="Times New Roman"/>
                <w:color w:val="000000" w:themeColor="text1"/>
                <w:lang w:val="pt-BR"/>
              </w:rPr>
              <w:t xml:space="preserve">275/2026/0820/VFI-BC.48.A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3"/>
              <w:pBdr/>
              <w:spacing w:after="60"/>
              <w:ind w:right="-56"/>
              <w:jc w:val="right"/>
              <w:rPr>
                <w:color w:val="000000" w:themeColor="text1"/>
                <w:sz w:val="24"/>
                <w:szCs w:val="24"/>
                <w:lang w:val="vi-VN"/>
              </w:rPr>
            </w:pPr>
            <w:r>
              <w:rPr>
                <w:rStyle w:val="1022"/>
                <w:rFonts w:ascii="Times New Roman" w:hAnsi="Times New Roman"/>
                <w:i/>
                <w:color w:val="auto"/>
              </w:rPr>
              <w:t xml:space="preserve">TP. Hà Nội</w:t>
            </w:r>
            <w:r>
              <w:rPr>
                <w:rStyle w:val="1022"/>
                <w:rFonts w:ascii="Times New Roman" w:hAnsi="Times New Roman"/>
                <w:i/>
                <w:color w:val="auto"/>
                <w:lang w:val="vi-VN"/>
              </w:rPr>
              <w:t xml:space="preserve">, </w:t>
            </w:r>
            <w:r>
              <w:rPr>
                <w:rStyle w:val="1022"/>
                <w:rFonts w:ascii="Times New Roman" w:hAnsi="Times New Roman"/>
                <w:i/>
                <w:color w:val="000000" w:themeColor="text1"/>
                <w:lang w:val="vi-VN"/>
              </w:rPr>
              <w:t xml:space="preserve">ngày 01 tháng 6 năm 2026</w:t>
            </w:r>
            <w:r>
              <w:rPr>
                <w:color w:val="000000" w:themeColor="text1"/>
                <w:sz w:val="24"/>
                <w:szCs w:val="24"/>
                <w:lang w:val="vi-VN"/>
              </w:rPr>
            </w:r>
            <w:r>
              <w:rPr>
                <w:color w:val="000000" w:themeColor="text1"/>
                <w:sz w:val="24"/>
                <w:szCs w:val="24"/>
                <w:lang w:val="vi-VN"/>
              </w:rPr>
            </w:r>
          </w:p>
        </w:tc>
      </w:tr>
    </w:tbl>
    <w:p>
      <w:pPr>
        <w:pStyle w:val="102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275/2026/0820/VFI-CT.48.A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01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2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NGUYỄN ĐÌNH HÙNG</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001085009185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tại thửa đất số: 430; 434, tờ bản đồ số: 62 có địa chỉ: Xã Nam Phù, thành phố Hà Nội </w:t>
            </w:r>
            <w:r>
              <w:rPr>
                <w:rFonts w:ascii="Times New Roman" w:hAnsi="Times New Roman" w:eastAsia="Times New Roman" w:cs="Times New Roman"/>
                <w:color w:val="000000"/>
                <w:sz w:val="24"/>
              </w:rPr>
              <w:t xml:space="preserve">theo Gi</w:t>
            </w:r>
            <w:r>
              <w:rPr>
                <w:rFonts w:ascii="Times New Roman" w:hAnsi="Times New Roman" w:eastAsia="Times New Roman" w:cs="Times New Roman"/>
                <w:color w:val="000000"/>
                <w:sz w:val="24"/>
              </w:rPr>
              <w:t xml:space="preserve">ấy chứng nhận quyền sử dụng đất, quyền sở hữu tài sản gắn liền với đất số: AA 04338517, số vào sổ cấp GCN: CN3956 do Chi nhánh Văn phòng đăng ký đất đai Hà Nội - Huyện Thanh Trì cấp ngày 28/11/2025 cho Ông Nguyễn Đình Hùng và Bà Nguyễn Thị Hạnh</w:t>
            </w:r>
            <w:r>
              <w:rPr>
                <w:b w:val="0"/>
                <w:bCs w:val="0"/>
              </w:rPr>
              <w:t xml:space="preserve">.</w:t>
            </w:r>
            <w:r>
              <w:rPr>
                <w:b w:val="0"/>
                <w:bCs w:val="0"/>
                <w:color w:val="000000" w:themeColor="text1"/>
                <w:lang w:val="pt-BR"/>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Nam Phù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20.908111111111, 105.88897222222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4"/>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4"/>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4"/>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rFonts w:ascii="Times New Roman" w:hAnsi="Times New Roman" w:eastAsia="Times New Roman" w:cs="Times New Roman"/>
          <w:b w:val="0"/>
          <w:bCs w:val="0"/>
          <w:color w:val="000000"/>
          <w:sz w:val="24"/>
        </w:rPr>
      </w:r>
      <w:r>
        <w:rPr>
          <w:rFonts w:ascii="Times New Roman" w:hAnsi="Times New Roman" w:eastAsia="Times New Roman" w:cs="Times New Roman"/>
          <w:color w:val="000000"/>
          <w:sz w:val="24"/>
        </w:rPr>
        <w:t xml:space="preserve">Gi</w:t>
      </w:r>
      <w:r>
        <w:rPr>
          <w:rFonts w:ascii="Times New Roman" w:hAnsi="Times New Roman" w:eastAsia="Times New Roman" w:cs="Times New Roman"/>
          <w:color w:val="000000"/>
          <w:sz w:val="24"/>
        </w:rPr>
        <w:t xml:space="preserve">ấy chứng nhận quyền sử dụng đất, quyền sở hữu tài sản gắn liền với đất số: AA 04338517, số vào sổ cấp GCN: CN3956 do Chi nhánh Văn phòng đăng ký đất đai Hà Nội - Huyện Thanh Trì cấp ngày 28/11/2025 cho Ông Nguyễn Đình Hùng và Bà Nguyễn Thị Hạnh</w:t>
      </w:r>
      <w:r/>
      <w:r>
        <w:rPr>
          <w:b w:val="0"/>
          <w:bCs w:val="0"/>
          <w:lang w:val="pt-BR"/>
        </w:rPr>
        <w:t xml:space="preserve">.</w:t>
      </w:r>
      <w:r>
        <w:rPr>
          <w:b w:val="0"/>
          <w:bCs w:val="0"/>
          <w:i/>
          <w:iCs/>
          <w:lang w:val="pt-BR"/>
        </w:rPr>
      </w:r>
      <w:r>
        <w:rPr>
          <w:b w:val="0"/>
          <w:bCs w:val="0"/>
          <w:i/>
          <w:iCs/>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275/2026/0820/VFI-HĐTĐ.48.A ngày 20/5/2026 giữa Ông Nguyễn Đình Hùng với Công ty Cổ phần Thẩm định và Đầu tư Tài chính Hoa Sen;</w:t>
      </w:r>
      <w:r>
        <w:rPr>
          <w:b/>
          <w:lang w:val="pt-BR"/>
        </w:rPr>
      </w:r>
      <w:r>
        <w:rPr>
          <w:b/>
          <w:lang w:val="pt-BR"/>
        </w:rPr>
      </w:r>
    </w:p>
    <w:p>
      <w:pPr>
        <w:pStyle w:val="102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Bất động sản Hoàng Mai cũ đang dần trở thành tâm điểm trên thị trường Hà Nội, đặc biệt khi các dự án hạ tầng trọng điểm của khu vực được đẩy mạnh triển khai. Với sự hoàn thiện ngày càng rõ nét của hệ thống giao thông, Hoàng Mai nhanh chóng thu hút sự quan </w:t>
      </w:r>
      <w:r>
        <w:rPr>
          <w:rFonts w:ascii="Times New Roman" w:hAnsi="Times New Roman" w:eastAsia="Times New Roman" w:cs="Times New Roman"/>
          <w:color w:val="000000"/>
          <w:sz w:val="24"/>
        </w:rPr>
        <w:t xml:space="preserve">tâm của nhiều khách hàng. Khu vực này được kỳ vọng sẽ trở thành trung tâm bất động sản mới của Hà Nội. Nhiều nhà đầu tư lớn đã chọn Hoàng Mai làm điểm đến, báo hiệu tiềm năng tăng trưởng mạnh mẽ trong thời gian tới.</w:t>
      </w:r>
      <w:r>
        <w:rPr>
          <w:rFonts w:ascii="Times New Roman" w:hAnsi="Times New Roman" w:eastAsia="Times New Roman" w:cs="Times New Roman"/>
          <w:b/>
          <w:color w:val="000000"/>
          <w:sz w:val="24"/>
        </w:rPr>
        <w:t xml:space="preserve">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Thị trường bất động sản tại quận Hoàng Mai cũ</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Thị trường bất động sản tại quận Hoàng Mai đang chứng kiến sự gia tăng về nhu cầu, đặc biệt sau khi đại dịch Covid-19 qua đi. Xu hướng dịch chuyển ra các khu vực ngoại thành để tìm kiếm không gian sống xanh và thoáng đãng hơn ngày càng phổ biến, góp phần </w:t>
      </w:r>
      <w:r>
        <w:rPr>
          <w:rFonts w:ascii="Times New Roman" w:hAnsi="Times New Roman" w:eastAsia="Times New Roman" w:cs="Times New Roman"/>
          <w:color w:val="000000"/>
          <w:sz w:val="24"/>
        </w:rPr>
        <w:t xml:space="preserve">đẩy mạnh lượng giao dịch cũng như giá cả bất động sản, đặc biệt là các loại hình như chung cư và nhà đất. Hoạt động mua bán nhà tại Hoàng Mai hiện đang rất sôi động, thu hút sự quan tâm lớn từ phía người mua và nhà đầu tư. </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nhiều dự án lớn đang được triển khai, Hoàng Mai ngày càng trở thành tâm điểm cho các nhà đầu tư bất động sản, tạo cơ hội tăng trưởng mạnh mẽ cho thị trường nơi đây.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quy hoạch Thủ đô giai đoạn 2030 - 2050, Hoàng Mai sẽ được đầu tư phát triển cơ sở hạ tầng mạnh mẽ nhằm thúc đẩy tốc độ đô thị hóa. Quận này cũng được dự kiến sẽ mở rộng thêm với nhiều dự án lớn được triển khai.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Bên cạnh đó, trong những năm gần đây, hệ thống giao thông tại Hoàng Mai đã được nâng cấp đáng kể. Chỉ trong vòng 5 năm, người dân đã nhận thấy những thay đổi tích cực với sự phát triển của các tuyến đường sắt và giao thông trọng điểm, giúp tăng giá trị bấ</w:t>
      </w:r>
      <w:r>
        <w:rPr>
          <w:rFonts w:ascii="Times New Roman" w:hAnsi="Times New Roman" w:eastAsia="Times New Roman" w:cs="Times New Roman"/>
          <w:color w:val="000000"/>
          <w:sz w:val="24"/>
        </w:rPr>
        <w:t xml:space="preserve">t động sản khu vực, theo nhận định từ các chuyên gia.</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Tóm lại, cơ sở hạ tầng giao thông hiện đại tại Hoàng Mai đang góp phần nâng cao giá trị bất động sản, hứa hẹn mang lại nhiều tiềm năng phát triển trong tương lai.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i/>
          <w:color w:val="000000"/>
          <w:sz w:val="24"/>
        </w:rPr>
        <w:t xml:space="preserve">Phân khúc nhà đất thổ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Quận Hoàng Mai hiện đang chứng kiến sự tăng trưởng mạnh mẽ trong lĩnh vực bất động sản, đặc biệt là phân khúc nhà đất thổ cư. Giá trị bất động sản thổ cư tại khu vực này dao động từ 49 triệu/m2 đến 328 triệu/m2, tạo cơ hội hấp dẫn cho các nhà đầu tư. Theo</w:t>
      </w:r>
      <w:r>
        <w:rPr>
          <w:rFonts w:ascii="Times New Roman" w:hAnsi="Times New Roman" w:eastAsia="Times New Roman" w:cs="Times New Roman"/>
          <w:color w:val="000000"/>
          <w:sz w:val="24"/>
        </w:rPr>
        <w:t xml:space="preserve"> số liệu từ Batdongsan ngày 25/09/2024, có đến 2.831 sản phẩm bất động sản được đưa ra thị trường, cho thấy mức độ sôi động của phân khúc này.</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sự phát triển hạ tầng và gia tăng dân số trong khu vực, tiềm năng tăng giá của nhà đất thổ cư tại Hoàng Mai là rất khả quan. Đây chính là thời điểm vàng cho các nhà đầu tư tìm kiếm cơ hội sinh lời từ phân khúc này.</w:t>
      </w:r>
      <w:r/>
      <w:r>
        <w:rPr>
          <w:rFonts w:ascii="Times New Roman" w:hAnsi="Times New Roman" w:eastAsia="Times New Roman" w:cs="Times New Roman"/>
          <w:color w:val="000000"/>
          <w:sz w:val="24"/>
        </w:rPr>
      </w:r>
      <w:r/>
      <w:r/>
      <w:r>
        <w:rPr>
          <w:rFonts w:ascii="Times New Roman" w:hAnsi="Times New Roman" w:eastAsia="Times New Roman" w:cs="Times New Roman"/>
          <w:color w:val="000000"/>
          <w:sz w:val="24"/>
        </w:rPr>
      </w:r>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Với những tiềm năng và cơ hội hiện có, thị trường bất động sản Hoàng Mai hứa hẹn sẽ tiếp tục thu hút sự quan tâm từ các nhà đầu tư. Việc nắm bắt những xu hướng và biến động của thị trường sẽ giúp bạn đưa ra quyết định đầu tư thông minh và hiệu quả. Hãy th</w:t>
      </w:r>
      <w:r>
        <w:rPr>
          <w:rFonts w:ascii="Times New Roman" w:hAnsi="Times New Roman" w:eastAsia="Times New Roman" w:cs="Times New Roman"/>
          <w:color w:val="000000"/>
          <w:sz w:val="24"/>
        </w:rPr>
        <w:t xml:space="preserve">eo dõi sát sao và chuẩn bị cho những cơ hội phát triển trong tương lai gần tại khu vực này!</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(Nguồm tham khảo: https://onehousing.vn/blog/suc-hut-ve-tiem-nang-bat-dong-san-khu-vuc-hoang-mai-co-gi-noi-bat-n17t)</w:t>
      </w:r>
      <w:r>
        <w:rPr>
          <w:i/>
          <w:iCs/>
          <w:lang w:val="pt-BR"/>
        </w:rPr>
      </w:r>
      <w:r>
        <w:rPr>
          <w:bCs/>
          <w:i/>
          <w:lang w:val="pt-BR"/>
        </w:rPr>
      </w:r>
    </w:p>
    <w:p>
      <w:pPr>
        <w:pStyle w:val="102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tại thửa đất số: 430; 434, tờ bản đồ số: 62 có địa chỉ: Xã Nam Phù, thành phố Hà Nội </w:t>
            </w:r>
            <w:r>
              <w:rPr>
                <w:rFonts w:ascii="Times New Roman" w:hAnsi="Times New Roman" w:eastAsia="Times New Roman" w:cs="Times New Roman"/>
                <w:b/>
                <w:bCs/>
                <w:color w:val="000000"/>
                <w:sz w:val="24"/>
              </w:rPr>
              <w:t xml:space="preserve">theo Gi</w:t>
            </w:r>
            <w:r>
              <w:rPr>
                <w:rFonts w:ascii="Times New Roman" w:hAnsi="Times New Roman" w:eastAsia="Times New Roman" w:cs="Times New Roman"/>
                <w:b/>
                <w:bCs/>
                <w:color w:val="000000"/>
                <w:sz w:val="24"/>
              </w:rPr>
              <w:t xml:space="preserve">ấy chứng nhận quyền sử dụng đất, quyền sở hữu tài sản gắn liền với đất số: AA 04338517, số vào sổ cấp GCN: CN3956 do Chi nhánh Văn phòng đăng ký đất đai Hà Nội - Huyện Thanh Trì cấp ngày 28/11/2025 cho Ông Nguyễn Đình Hùng và Bà Nguyễn Thị Hạnh</w:t>
            </w:r>
            <w:r>
              <w:rPr>
                <w:b/>
                <w:b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430; 434</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Nam Phù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50,3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vertAlign w:val="superscript"/>
              </w:rPr>
            </w:pPr>
            <w:r>
              <w:rPr>
                <w:color w:val="000000"/>
              </w:rPr>
              <w:t xml:space="preserve">Sử dụng chung của vợ và chồng: 50,3m</w:t>
            </w:r>
            <w:r>
              <w:rPr>
                <w:color w:val="000000"/>
                <w:vertAlign w:val="superscript"/>
              </w:rPr>
              <w:t xml:space="preserve">2</w:t>
            </w:r>
            <w:r>
              <w:rPr>
                <w:color w:val="000000"/>
              </w:rPr>
              <w:t xml:space="preserve">, Sử dụng chung của nhóm người được cấp GCN 59,4m</w:t>
            </w:r>
            <w:r>
              <w:rPr>
                <w:color w:val="000000"/>
                <w:vertAlign w:val="superscript"/>
              </w:rPr>
              <w:t xml:space="preserve">2</w:t>
            </w:r>
            <w:r>
              <w:rPr>
                <w:color w:val="000000"/>
                <w:vertAlign w:val="superscript"/>
              </w:rPr>
            </w:r>
            <w:r>
              <w:rPr>
                <w:color w:val="000000"/>
                <w:vertAlign w:val="superscript"/>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chưa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02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4,5m</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4,5m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 Tài sản cách Đê Hữu Hồng khoảng 700m.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none"/>
              </w:rPr>
            </w:pPr>
            <w:r/>
            <w:bookmarkStart w:id="3" w:name="OLE_LINK1"/>
            <w:r>
              <w:rPr>
                <w:color w:val="000000" w:themeColor="text1"/>
              </w:rPr>
              <w:t xml:space="preserve">+ Hướng Tây Nam: Tiếp giáp đường giao thông rộng 4,5m;</w:t>
            </w:r>
            <w:r>
              <w:rPr>
                <w:color w:val="000000" w:themeColor="text1"/>
              </w:rPr>
            </w:r>
            <w:r>
              <w:rPr>
                <w:color w:val="000000" w:themeColor="text1"/>
                <w:highlight w:val="none"/>
              </w:rPr>
            </w:r>
          </w:p>
          <w:p>
            <w:pPr>
              <w:pBdr/>
              <w:spacing/>
              <w:ind/>
              <w:rPr>
                <w:color w:val="000000" w:themeColor="text1"/>
              </w:rPr>
            </w:pPr>
            <w:r>
              <w:rPr>
                <w:color w:val="000000" w:themeColor="text1"/>
                <w:highlight w:val="none"/>
              </w:rPr>
              <w:t xml:space="preserve">+ </w:t>
            </w:r>
            <w:r>
              <w:rPr>
                <w:color w:val="000000" w:themeColor="text1"/>
              </w:rPr>
              <w:t xml:space="preserve">Hướng Đông Nam: Tiếp giáp đường giao thông rộng 2,2m;</w:t>
            </w:r>
            <w:r>
              <w:rPr>
                <w:color w:val="000000" w:themeColor="text1"/>
                <w:highlight w:val="none"/>
              </w:rPr>
            </w:r>
            <w:r>
              <w:rPr>
                <w:color w:val="000000" w:themeColor="text1"/>
              </w:rPr>
            </w:r>
          </w:p>
          <w:p>
            <w:pPr>
              <w:pBdr/>
              <w:spacing/>
              <w:ind/>
              <w:rPr>
                <w:color w:val="000000" w:themeColor="text1"/>
              </w:rPr>
            </w:pPr>
            <w:r>
              <w:rPr>
                <w:color w:val="000000" w:themeColor="text1"/>
              </w:rPr>
              <w:t xml:space="preserve">+ Các hướng khác: Tiếp giáp đường giao thông.</w:t>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20.908111111111</w:t>
            </w:r>
            <w:r>
              <w:rPr>
                <w:color w:val="000000"/>
              </w:rPr>
              <w:t xml:space="preserve">, </w:t>
            </w:r>
            <w:r>
              <w:rPr>
                <w:color w:val="000000"/>
              </w:rPr>
              <w:t xml:space="preserve">105.88897222222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231728" cy="2955366"/>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flipH="0" flipV="0">
                                <a:off x="0" y="0"/>
                                <a:ext cx="5231728" cy="29553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1.95pt;height:232.7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50,3</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59,4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3,8</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13,56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Khá</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Đất trống.</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2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Nam Phù,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Nam Phù,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Nam Phù,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Nam Phù,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https://www.facebook.com/groups/228139408948217/permalink/1466404285121717/?rdid=tSeN3R291Sy9Eaxp#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https://batdongsan.com.vn/ban-dat-duong-vanh-dai-4-xa-ninh-so-26/lo-giap-thon-3-van-phuc-thong-o-to-gia-4x-tr-m2-pr44731753?gidzl=8cH4SKys-YGjSaHnGItx8Y9qGN5NA_ShFoLDA5HyzovhBa0j1IVvUJzvGdW19_vyR7n2UZHRQezYIpdoAW#js__pr-expired__content-anchor</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0982.686535</w:t>
            </w:r>
            <w:r>
              <w:rPr>
                <w:sz w:val="22"/>
                <w:szCs w:val="22"/>
              </w:rPr>
              <w:t xml:space="preserve"> </w:t>
            </w:r>
            <w:r>
              <w:rPr>
                <w:sz w:val="22"/>
                <w:szCs w:val="22"/>
              </w:rPr>
              <w:br/>
              <w:t xml:space="preserve">(</w:t>
            </w:r>
            <w:r>
              <w:rPr>
                <w:sz w:val="22"/>
                <w:szCs w:val="22"/>
              </w:rPr>
              <w:t xml:space="preserve">Phạm Bá Chính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0963.943502</w:t>
            </w:r>
            <w:r>
              <w:rPr>
                <w:sz w:val="22"/>
                <w:szCs w:val="22"/>
              </w:rPr>
              <w:br/>
            </w:r>
            <w:r>
              <w:rPr>
                <w:sz w:val="22"/>
                <w:szCs w:val="22"/>
              </w:rPr>
              <w:t xml:space="preserve">(</w:t>
            </w:r>
            <w:r>
              <w:rPr>
                <w:sz w:val="22"/>
                <w:szCs w:val="22"/>
              </w:rPr>
              <w:t xml:space="preserve">Thắng TK</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0969.612886</w:t>
            </w:r>
            <w:r>
              <w:rPr>
                <w:sz w:val="22"/>
                <w:szCs w:val="22"/>
              </w:rPr>
              <w:br/>
            </w:r>
            <w:r>
              <w:rPr>
                <w:sz w:val="22"/>
                <w:szCs w:val="22"/>
              </w:rPr>
              <w:t xml:space="preserve">(</w:t>
            </w:r>
            <w:r>
              <w:rPr>
                <w:sz w:val="22"/>
                <w:szCs w:val="22"/>
              </w:rPr>
              <w:t xml:space="preserve">Trung Hiếu</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Đê Hữu Hồng khoảng 700m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Đê Hữu Hồng khoảng 900m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Đê Hữu Hồng khoảng 800m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Đê Hữu Hồng khoảng 700m</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4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Đẩt trống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5.100.000.000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13.940.000.000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4.590.000.000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12.546.000.000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1.125.772.198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Đơn giá xây dựng theo Quyết định số 425/QĐ-BXD</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8.535.632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 CLCL</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4.590.000.000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4.770.000.000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12.546.000.000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85.960.988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83.684.211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61.200.000</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3.464.227.802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4.770.000.000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12.546.000.000</w:t>
            </w:r>
            <w:r>
              <w:rPr>
                <w:color w:val="000000"/>
                <w:sz w:val="20"/>
                <w:szCs w:val="20"/>
              </w:rPr>
            </w:r>
            <w:r>
              <w:rPr>
                <w:color w:val="000000"/>
                <w:sz w:val="20"/>
                <w:szCs w:val="20"/>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85.960.988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83.684.211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85.960.988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83.684.211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Đê Hữu Hồng khoảng 700m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Đê Hữu Hồng khoảng 900m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Đê Hữu Hồng khoảng 800m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Đê Hữu Hồng khoảng 700m</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85.960.988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83.684.211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61.200.000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
              <w:rPr>
                <w:b/>
                <w:bCs/>
                <w:color w:val="000000" w:themeColor="text1"/>
                <w:sz w:val="22"/>
                <w:szCs w:val="22"/>
              </w:rPr>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8.596.099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5.857.895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4.284.000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94.557.087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89.542.106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65.484.000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
              <w:rPr>
                <w:b/>
                <w:bCs/>
                <w:color w:val="000000" w:themeColor="text1"/>
                <w:sz w:val="22"/>
                <w:szCs w:val="22"/>
              </w:rPr>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-4.298.049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11.016.000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90.259.038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89.542.106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76.500.000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w:t>
            </w:r>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-1.719.220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-3.347.368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-4.284.000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88.539.818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86.194.738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72.216.000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4.298.049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4.184.211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3.060.000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92.837.867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90.378.949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75.276.000</w:t>
            </w:r>
            <w:r>
              <w:rPr>
                <w:color w:val="000000"/>
                <w:sz w:val="22"/>
                <w:szCs w:val="22"/>
              </w:rPr>
            </w:r>
            <w:r>
              <w:rPr>
                <w:color w:val="000000"/>
                <w:sz w:val="22"/>
                <w:szCs w:val="22"/>
              </w:rPr>
            </w:r>
          </w:p>
        </w:tc>
      </w:tr>
      <w:tr>
        <w:trPr>
          <w:trHeight w:val="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92.837.867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90.378.949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75.276.000</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92.837.867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90.378.949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75.276.000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86.164.272</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-12,64%</w:t>
            </w:r>
            <w:r>
              <w:rPr>
                <w:color w:val="000000"/>
                <w:sz w:val="22"/>
                <w:szCs w:val="22"/>
              </w:rPr>
            </w:r>
            <w:r>
              <w:rPr>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t xml:space="preserve"> </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18.911.417</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13.389.474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22.644.000</w:t>
            </w:r>
            <w:r>
              <w:rPr>
                <w:b/>
                <w:bCs/>
                <w:color w:val="000000"/>
                <w:sz w:val="22"/>
                <w:szCs w:val="22"/>
              </w:rPr>
            </w:r>
            <w:r>
              <w:rPr>
                <w:b/>
                <w:bCs/>
                <w:color w:val="000000"/>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- 18%</w:t>
            </w:r>
            <w:r>
              <w:rPr>
                <w:sz w:val="22"/>
                <w:szCs w:val="22"/>
              </w:rPr>
            </w:r>
            <w:r>
              <w:rPr>
                <w:sz w:val="22"/>
                <w:szCs w:val="22"/>
              </w:rPr>
            </w:r>
          </w:p>
        </w:tc>
      </w:tr>
      <w:tr>
        <w:trPr>
          <w:trHeight w:val="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6.876.879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6.694.738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14.076.000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4,89% đến</w:t>
      </w:r>
      <w:r>
        <w:t xml:space="preserve"> 12,64%,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92.837.867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30.952.145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90.378.949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30.123.304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75.276.000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25.089.491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86.164.940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86.000.000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86.000.000</w:t>
      </w:r>
      <w:r>
        <w:rPr>
          <w:b/>
          <w:bCs/>
          <w:color w:val="000000" w:themeColor="text1"/>
        </w:rPr>
        <w:t xml:space="preserve"> </w:t>
      </w:r>
      <w:r>
        <w:rPr>
          <w:b/>
          <w:bCs/>
        </w:rPr>
        <w:t xml:space="preserve">đồng/m².</w:t>
      </w:r>
      <w:r>
        <w:rPr>
          <w:b/>
          <w:bCs/>
        </w:rPr>
      </w:r>
      <w:r>
        <w:rPr>
          <w:b/>
          <w:bCs/>
        </w:rPr>
      </w:r>
    </w:p>
    <w:p>
      <w:pPr>
        <w:pStyle w:val="102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4"/>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t xml:space="preserve">:</w:t>
      </w:r>
      <w:r/>
    </w:p>
    <w:tbl>
      <w:tblPr>
        <w:tblW w:w="4987"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675"/>
        <w:gridCol w:w="2801"/>
        <w:gridCol w:w="1701"/>
        <w:gridCol w:w="2231"/>
        <w:gridCol w:w="2092"/>
      </w:tblGrid>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801"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23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733"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b/>
                <w:bCs/>
                <w:color w:val="000000"/>
                <w:sz w:val="24"/>
              </w:rPr>
              <w:t xml:space="preserve">Quyền sử dụng đất tại thửa đất số: 430; 434, tờ bản đồ số: 62 có địa chỉ: Xã Nam Phù, thành phố Hà Nội </w:t>
            </w:r>
            <w:r>
              <w:rPr>
                <w:rFonts w:ascii="Times New Roman" w:hAnsi="Times New Roman" w:eastAsia="Times New Roman" w:cs="Times New Roman"/>
                <w:b/>
                <w:bCs/>
                <w:color w:val="000000"/>
                <w:sz w:val="24"/>
              </w:rPr>
              <w:t xml:space="preserve">theo Gi</w:t>
            </w:r>
            <w:r>
              <w:rPr>
                <w:rFonts w:ascii="Times New Roman" w:hAnsi="Times New Roman" w:eastAsia="Times New Roman" w:cs="Times New Roman"/>
                <w:b/>
                <w:bCs/>
                <w:color w:val="000000"/>
                <w:sz w:val="24"/>
              </w:rPr>
              <w:t xml:space="preserve">ấy chứng nhận quyền sử dụng đất, quyền sở hữu tài sản gắn liền với đất số: AA 04338517, số vào sổ cấp GCN: CN 3956 do Chi nhánh Văn phòng đăng ký đất đai Hà Nội - Huyện Thanh Trì cấp ngày 28/11/2025 cho Ông Nguyễn Đình Hùng và Bà Nguyễn Thị Hạnh.</w:t>
            </w:r>
            <w:r>
              <w:rPr>
                <w:b/>
                <w:bCs/>
              </w:rPr>
            </w:r>
            <w:r>
              <w:rPr>
                <w:b/>
                <w:bCs/>
              </w:rPr>
            </w:r>
          </w:p>
        </w:tc>
        <w:tc>
          <w:tcPr>
            <w:shd w:val="clear" w:color="000000" w:fill="ffffff"/>
            <w:tcBorders/>
            <w:tcW w:w="2092"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75" w:type="dxa"/>
            <w:vAlign w:val="center"/>
            <w:textDirection w:val="lrTb"/>
            <w:noWrap w:val="false"/>
          </w:tcPr>
          <w:p>
            <w:pPr>
              <w:pBdr/>
              <w:spacing w:after="40" w:before="40" w:line="288" w:lineRule="auto"/>
              <w:ind/>
              <w:jc w:val="center"/>
              <w:rPr>
                <w:b w:val="0"/>
                <w:bCs w:val="0"/>
              </w:rPr>
            </w:pPr>
            <w:r>
              <w:rPr>
                <w:b w:val="0"/>
                <w:bCs w:val="0"/>
              </w:rPr>
              <w:t xml:space="preserve">01</w:t>
            </w:r>
            <w:r>
              <w:rPr>
                <w:b w:val="0"/>
                <w:bCs w:val="0"/>
              </w:rPr>
            </w:r>
            <w:r>
              <w:rPr>
                <w:b w:val="0"/>
                <w:bCs w:val="0"/>
              </w:rPr>
            </w:r>
          </w:p>
        </w:tc>
        <w:tc>
          <w:tcPr>
            <w:shd w:val="clear" w:color="000000" w:fill="ffffff"/>
            <w:tcBorders/>
            <w:tcW w:w="2801" w:type="dxa"/>
            <w:vAlign w:val="center"/>
            <w:textDirection w:val="lrTb"/>
            <w:noWrap w:val="false"/>
          </w:tcPr>
          <w:p>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50,3</w:t>
            </w:r>
            <w:r>
              <w:rPr>
                <w:color w:val="000000"/>
              </w:rPr>
            </w:r>
            <w:r>
              <w:rPr>
                <w:color w:val="000000"/>
              </w:rPr>
            </w:r>
          </w:p>
        </w:tc>
        <w:tc>
          <w:tcPr>
            <w:shd w:val="clear" w:color="000000" w:fill="ffffff"/>
            <w:tcBorders/>
            <w:tcW w:w="2231" w:type="dxa"/>
            <w:vAlign w:val="center"/>
            <w:textDirection w:val="lrTb"/>
            <w:noWrap w:val="false"/>
          </w:tcPr>
          <w:p>
            <w:pPr>
              <w:pBdr/>
              <w:spacing w:after="40" w:before="40" w:line="288" w:lineRule="auto"/>
              <w:ind/>
              <w:jc w:val="center"/>
              <w:rPr/>
            </w:pPr>
            <w:r>
              <w:rPr>
                <w:color w:val="000000" w:themeColor="text1"/>
              </w:rPr>
              <w:t xml:space="preserve">86.000.000</w:t>
            </w:r>
            <w:r/>
            <w:r/>
          </w:p>
        </w:tc>
        <w:tc>
          <w:tcPr>
            <w:shd w:val="clear" w:color="000000" w:fill="ffffff"/>
            <w:tcBorders/>
            <w:tcW w:w="2092" w:type="dxa"/>
            <w:vAlign w:val="center"/>
            <w:textDirection w:val="lrTb"/>
            <w:noWrap w:val="false"/>
          </w:tcPr>
          <w:p>
            <w:pPr>
              <w:pBdr/>
              <w:spacing w:after="40" w:before="40" w:line="288" w:lineRule="auto"/>
              <w:ind/>
              <w:jc w:val="center"/>
              <w:rPr/>
            </w:pPr>
            <w:r>
              <w:rPr>
                <w:color w:val="000000" w:themeColor="text1"/>
              </w:rPr>
              <w:t xml:space="preserve">4.325.800.000</w:t>
            </w:r>
            <w:r/>
            <w:r/>
          </w:p>
        </w:tc>
      </w:tr>
      <w:tr>
        <w:trPr>
          <w:trHeight w:val="20"/>
        </w:trPr>
        <w:tc>
          <w:tcPr>
            <w:gridSpan w:val="4"/>
            <w:tcBorders/>
            <w:tcW w:w="7408"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92" w:type="dxa"/>
            <w:vAlign w:val="center"/>
            <w:textDirection w:val="lrTb"/>
            <w:noWrap/>
          </w:tcPr>
          <w:p>
            <w:pPr>
              <w:pBdr/>
              <w:spacing w:after="40" w:before="40" w:line="288" w:lineRule="auto"/>
              <w:ind/>
              <w:jc w:val="center"/>
              <w:rPr>
                <w:b/>
                <w:bCs/>
                <w:color w:val="000000"/>
              </w:rPr>
            </w:pPr>
            <w:r>
              <w:rPr>
                <w:b/>
                <w:bCs/>
              </w:rPr>
              <w:t xml:space="preserve">4.325.800.000</w:t>
            </w:r>
            <w:r>
              <w:rPr>
                <w:b/>
                <w:bCs/>
                <w:color w:val="000000"/>
              </w:rPr>
            </w:r>
            <w:r>
              <w:rPr>
                <w:b/>
                <w:bCs/>
                <w:color w:val="000000"/>
              </w:rPr>
            </w:r>
          </w:p>
        </w:tc>
      </w:tr>
      <w:tr>
        <w:trPr>
          <w:trHeight w:val="20"/>
        </w:trPr>
        <w:tc>
          <w:tcPr>
            <w:gridSpan w:val="4"/>
            <w:tcBorders/>
            <w:tcW w:w="7408" w:type="dxa"/>
            <w:vAlign w:val="center"/>
            <w:vMerge w:val="restart"/>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92" w:type="dxa"/>
            <w:vAlign w:val="center"/>
            <w:vMerge w:val="restart"/>
            <w:textDirection w:val="lrTb"/>
            <w:noWrap/>
          </w:tcPr>
          <w:p>
            <w:pPr>
              <w:pBdr/>
              <w:spacing w:after="40" w:before="40" w:line="288" w:lineRule="auto"/>
              <w:ind/>
              <w:jc w:val="center"/>
              <w:rPr>
                <w:b/>
                <w:bCs/>
              </w:rPr>
            </w:pPr>
            <w:r>
              <w:rPr>
                <w:b/>
                <w:bCs/>
              </w:rPr>
              <w:t xml:space="preserve">4.326.000.000</w:t>
            </w:r>
            <w:r>
              <w:rPr>
                <w:b/>
                <w:bCs/>
              </w:rPr>
            </w:r>
            <w:r>
              <w:rPr>
                <w:b/>
                <w:bCs/>
              </w:rPr>
            </w:r>
          </w:p>
        </w:tc>
      </w:tr>
      <w:tr>
        <w:trPr>
          <w:trHeight w:val="20"/>
        </w:trPr>
        <w:tc>
          <w:tcPr>
            <w:gridSpan w:val="5"/>
            <w:tcBorders/>
            <w:tcW w:w="9500"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ba trăm hai mươi sáu triệu đồng</w:t>
            </w:r>
            <w:r>
              <w:rPr>
                <w:b/>
                <w:bCs/>
                <w:i/>
                <w:iCs/>
                <w:color w:val="000000"/>
              </w:rPr>
              <w:t xml:space="preserve">./.)</w:t>
            </w:r>
            <w:r>
              <w:rPr>
                <w:b/>
                <w:bCs/>
                <w:i/>
                <w:iCs/>
                <w:color w:val="000000"/>
              </w:rPr>
            </w:r>
            <w:r>
              <w:rPr>
                <w:b/>
                <w:bCs/>
                <w:i/>
                <w:iCs/>
                <w:color w:val="000000"/>
              </w:rPr>
            </w:r>
          </w:p>
        </w:tc>
      </w:tr>
    </w:tbl>
    <w:p>
      <w:pPr>
        <w:pStyle w:val="102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4"/>
        <w:pBdr/>
        <w:tabs>
          <w:tab w:val="left" w:leader="none" w:pos="993"/>
        </w:tabs>
        <w:spacing w:after="120" w:before="120" w:line="264"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4"/>
        <w:numPr>
          <w:ilvl w:val="0"/>
          <w:numId w:val="5"/>
        </w:numPr>
        <w:pBdr/>
        <w:tabs>
          <w:tab w:val="left" w:leader="none" w:pos="993"/>
        </w:tabs>
        <w:spacing w:after="120" w:before="120" w:line="264"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4"/>
        <w:numPr>
          <w:ilvl w:val="0"/>
          <w:numId w:val="5"/>
        </w:numPr>
        <w:pBdr/>
        <w:tabs>
          <w:tab w:val="left" w:leader="none" w:pos="993"/>
        </w:tabs>
        <w:spacing w:after="120" w:before="120" w:line="264"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4"/>
        <w:numPr>
          <w:ilvl w:val="0"/>
          <w:numId w:val="5"/>
        </w:numPr>
        <w:pBdr/>
        <w:tabs>
          <w:tab w:val="left" w:leader="none" w:pos="993"/>
        </w:tabs>
        <w:spacing w:after="120" w:before="120" w:line="264"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4"/>
        <w:numPr>
          <w:ilvl w:val="0"/>
          <w:numId w:val="5"/>
        </w:numPr>
        <w:pBdr/>
        <w:tabs>
          <w:tab w:val="left" w:leader="none" w:pos="993"/>
        </w:tabs>
        <w:spacing w:after="120" w:before="120" w:line="264"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4"/>
        <w:numPr>
          <w:ilvl w:val="0"/>
          <w:numId w:val="10"/>
        </w:numPr>
        <w:pBdr/>
        <w:spacing w:after="120" w:before="120" w:line="264"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4"/>
        <w:numPr>
          <w:ilvl w:val="0"/>
          <w:numId w:val="10"/>
        </w:numPr>
        <w:pBdr/>
        <w:spacing w:after="120" w:before="120" w:line="264"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4"/>
        <w:numPr>
          <w:ilvl w:val="0"/>
          <w:numId w:val="10"/>
        </w:numPr>
        <w:pBdr/>
        <w:spacing w:after="120" w:before="120" w:line="264"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4"/>
        <w:pBdr/>
        <w:tabs>
          <w:tab w:val="left" w:leader="none" w:pos="993"/>
        </w:tabs>
        <w:spacing w:after="120" w:before="120" w:line="264"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4"/>
        <w:numPr>
          <w:ilvl w:val="0"/>
          <w:numId w:val="5"/>
        </w:numPr>
        <w:pBdr/>
        <w:tabs>
          <w:tab w:val="left" w:leader="none" w:pos="993"/>
        </w:tabs>
        <w:spacing w:after="120" w:before="120" w:line="264"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4"/>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4"/>
        <w:numPr>
          <w:ilvl w:val="0"/>
          <w:numId w:val="5"/>
        </w:numPr>
        <w:pBdr/>
        <w:tabs>
          <w:tab w:val="left" w:leader="none" w:pos="993"/>
        </w:tabs>
        <w:spacing w:after="120" w:before="120" w:line="264"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4"/>
        <w:numPr>
          <w:ilvl w:val="0"/>
          <w:numId w:val="5"/>
        </w:numPr>
        <w:pBdr/>
        <w:tabs>
          <w:tab w:val="left" w:leader="none" w:pos="993"/>
        </w:tabs>
        <w:spacing w:after="120" w:before="120" w:line="264"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4"/>
        <w:numPr>
          <w:ilvl w:val="0"/>
          <w:numId w:val="5"/>
        </w:numPr>
        <w:pBdr/>
        <w:tabs>
          <w:tab w:val="left" w:leader="none" w:pos="993"/>
        </w:tabs>
        <w:spacing w:after="120" w:before="120" w:line="264"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4"/>
        <w:numPr>
          <w:ilvl w:val="0"/>
          <w:numId w:val="5"/>
        </w:numPr>
        <w:pBdr/>
        <w:tabs>
          <w:tab w:val="left" w:leader="none" w:pos="993"/>
        </w:tabs>
        <w:spacing w:after="120" w:before="120" w:line="264"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4"/>
        <w:numPr>
          <w:ilvl w:val="0"/>
          <w:numId w:val="5"/>
        </w:numPr>
        <w:pBdr/>
        <w:spacing w:after="120" w:before="120" w:line="264"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4"/>
        <w:numPr>
          <w:ilvl w:val="0"/>
          <w:numId w:val="5"/>
        </w:numPr>
        <w:pBdr/>
        <w:tabs>
          <w:tab w:val="left" w:leader="none" w:pos="993"/>
        </w:tabs>
        <w:spacing w:after="120" w:before="120" w:line="264"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4"/>
        <w:numPr>
          <w:ilvl w:val="0"/>
          <w:numId w:val="5"/>
        </w:numPr>
        <w:pBdr/>
        <w:spacing w:after="120" w:before="120" w:line="264"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4"/>
        <w:numPr>
          <w:ilvl w:val="0"/>
          <w:numId w:val="3"/>
        </w:numPr>
        <w:pBdr/>
        <w:tabs>
          <w:tab w:val="left" w:leader="none" w:pos="993"/>
        </w:tabs>
        <w:spacing w:after="120" w:before="120" w:line="264"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4"/>
        <w:numPr>
          <w:ilvl w:val="0"/>
          <w:numId w:val="5"/>
        </w:numPr>
        <w:pBdr/>
        <w:tabs>
          <w:tab w:val="left" w:leader="none" w:pos="993"/>
        </w:tabs>
        <w:spacing w:after="120" w:before="120" w:line="264"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4"/>
        <w:numPr>
          <w:ilvl w:val="0"/>
          <w:numId w:val="5"/>
        </w:numPr>
        <w:pBdr/>
        <w:tabs>
          <w:tab w:val="left" w:leader="none" w:pos="993"/>
        </w:tabs>
        <w:spacing w:after="120" w:before="120" w:line="264"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64"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4"/>
        <w:pBdr/>
        <w:tabs>
          <w:tab w:val="left" w:leader="none" w:pos="993"/>
        </w:tabs>
        <w:spacing w:after="120" w:before="120" w:line="264"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4"/>
        <w:pBdr/>
        <w:tabs>
          <w:tab w:val="left" w:leader="none" w:pos="993"/>
        </w:tabs>
        <w:spacing w:after="120" w:before="120" w:line="264"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r>
        <w:rPr>
          <w:color w:val="000000" w:themeColor="text1"/>
          <w:highlight w:val="none"/>
          <w:lang w:val="vi-VN"/>
        </w:rPr>
        <w:br w:type="page" w:clear="all"/>
      </w:r>
      <w:r>
        <w:rPr>
          <w:color w:val="000000" w:themeColor="text1"/>
          <w:highlight w:val="none"/>
          <w:lang w:val="vi-VN"/>
        </w:rPr>
      </w:r>
      <w:r>
        <w:rPr>
          <w:lang w:val="vi-VN"/>
        </w:rPr>
      </w:r>
      <w:r>
        <w:rPr>
          <w:lang w:val="pt-BR"/>
        </w:rPr>
      </w:r>
    </w:p>
    <w:p>
      <w:pPr>
        <w:pStyle w:val="1024"/>
        <w:pBdr/>
        <w:tabs>
          <w:tab w:val="left" w:leader="none" w:pos="993"/>
        </w:tabs>
        <w:spacing w:after="120" w:before="120" w:line="288" w:lineRule="auto"/>
        <w:ind w:left="0"/>
        <w:jc w:val="both"/>
        <w:rPr>
          <w:color w:val="000000" w:themeColor="text1"/>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275/2026/0820/VFI-CT.48.A</w:t>
      </w:r>
      <w:r>
        <w:rPr>
          <w:color w:val="ff0000"/>
          <w:lang w:val="vi-VN"/>
        </w:rPr>
        <w:t xml:space="preserve"> </w:t>
      </w:r>
      <w:r>
        <w:rPr>
          <w:color w:val="000000" w:themeColor="text1"/>
        </w:rPr>
        <w:t xml:space="preserve">ngày 01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r>
      <w:r>
        <w:rPr>
          <w:color w:val="000000" w:themeColor="text1"/>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w:t>
      </w:r>
      <w:r>
        <w:rPr>
          <w:i/>
          <w:iCs/>
          <w:lang w:val="pt-BR"/>
        </w:rPr>
        <w:t xml:space="preserve">số</w:t>
      </w:r>
      <w:r>
        <w:rPr>
          <w:i/>
          <w:iCs/>
          <w:lang w:val="pt-BR"/>
        </w:rPr>
        <w:t xml:space="preserve"> </w:t>
      </w:r>
      <w:r>
        <w:rPr>
          <w:i/>
          <w:iCs/>
          <w:color w:val="000000" w:themeColor="text1"/>
          <w:spacing w:val="-2"/>
          <w:lang w:val="pt-BR"/>
        </w:rPr>
        <w:t xml:space="preserve">2</w:t>
      </w:r>
      <w:r>
        <w:rPr>
          <w:i/>
          <w:iCs/>
          <w:color w:val="ff0000"/>
          <w:spacing w:val="-2"/>
          <w:lang w:val="pt-BR"/>
        </w:rPr>
        <w:t xml:space="preserve">75/2026/0820/VFI-BC.48.A</w:t>
      </w:r>
      <w:r>
        <w:rPr>
          <w:i/>
          <w:iCs/>
          <w:color w:val="ff0000"/>
          <w:spacing w:val="-2"/>
          <w:lang w:val="pt-BR"/>
        </w:rPr>
        <w:t xml:space="preserve"> </w:t>
      </w:r>
      <w:r>
        <w:rPr>
          <w:i/>
          <w:lang w:val="pt-BR"/>
        </w:rPr>
        <w:t xml:space="preserve">ngày 0</w:t>
      </w:r>
      <w:r>
        <w:rPr>
          <w:i/>
          <w:lang w:val="pt-BR"/>
        </w:rPr>
        <w:t xml:space="preserve">1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66711" cy="231120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64005" name=""/>
                              <pic:cNvPicPr>
                                <a:picLocks noChangeAspect="1"/>
                              </pic:cNvPicPr>
                              <pic:nvPr/>
                            </pic:nvPicPr>
                            <pic:blipFill rotWithShape="1">
                              <a:blip r:embed="rId18"/>
                              <a:stretch/>
                            </pic:blipFill>
                            <pic:spPr bwMode="auto">
                              <a:xfrm flipH="0" flipV="0">
                                <a:off x="0" y="0"/>
                                <a:ext cx="1066710" cy="23112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3.99pt;height:181.98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51386" cy="206354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364787" name=""/>
                              <pic:cNvPicPr>
                                <a:picLocks noChangeAspect="1"/>
                              </pic:cNvPicPr>
                              <pic:nvPr/>
                            </pic:nvPicPr>
                            <pic:blipFill rotWithShape="1">
                              <a:blip r:embed="rId19"/>
                              <a:stretch/>
                            </pic:blipFill>
                            <pic:spPr bwMode="auto">
                              <a:xfrm flipH="0" flipV="0">
                                <a:off x="0" y="0"/>
                                <a:ext cx="2751386" cy="20635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6.64pt;height:162.48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6961" cy="197772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351312" name=""/>
                              <pic:cNvPicPr>
                                <a:picLocks noChangeAspect="1"/>
                              </pic:cNvPicPr>
                              <pic:nvPr/>
                            </pic:nvPicPr>
                            <pic:blipFill rotWithShape="1">
                              <a:blip r:embed="rId20"/>
                              <a:stretch/>
                            </pic:blipFill>
                            <pic:spPr bwMode="auto">
                              <a:xfrm flipH="0" flipV="0">
                                <a:off x="0" y="0"/>
                                <a:ext cx="2636960" cy="19777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7.63pt;height:155.7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14720" cy="203604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69013" name=""/>
                              <pic:cNvPicPr>
                                <a:picLocks noChangeAspect="1"/>
                              </pic:cNvPicPr>
                              <pic:nvPr/>
                            </pic:nvPicPr>
                            <pic:blipFill rotWithShape="1">
                              <a:blip r:embed="rId21"/>
                              <a:stretch/>
                            </pic:blipFill>
                            <pic:spPr bwMode="auto">
                              <a:xfrm rot="0" flipH="0" flipV="0">
                                <a:off x="0" y="0"/>
                                <a:ext cx="2714719" cy="20360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3.76pt;height:160.32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6893" cy="200767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78165" name=""/>
                              <pic:cNvPicPr>
                                <a:picLocks noChangeAspect="1"/>
                              </pic:cNvPicPr>
                              <pic:nvPr/>
                            </pic:nvPicPr>
                            <pic:blipFill rotWithShape="1">
                              <a:blip r:embed="rId22"/>
                              <a:stretch/>
                            </pic:blipFill>
                            <pic:spPr bwMode="auto">
                              <a:xfrm flipH="0" flipV="0">
                                <a:off x="0" y="0"/>
                                <a:ext cx="2676892" cy="20076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0.78pt;height:158.0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76893" cy="200767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34457" name=""/>
                              <pic:cNvPicPr>
                                <a:picLocks noChangeAspect="1"/>
                              </pic:cNvPicPr>
                              <pic:nvPr/>
                            </pic:nvPicPr>
                            <pic:blipFill rotWithShape="1">
                              <a:blip r:embed="rId23"/>
                              <a:stretch/>
                            </pic:blipFill>
                            <pic:spPr bwMode="auto">
                              <a:xfrm flipH="0" flipV="0">
                                <a:off x="0" y="0"/>
                                <a:ext cx="2676892" cy="20076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0.78pt;height:158.0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r>
      <w:r>
        <w:rPr>
          <w:i/>
          <w:iCs/>
          <w:color w:val="000000" w:themeColor="text1"/>
          <w:spacing w:val="-2"/>
          <w:lang w:val="pt-BR"/>
        </w:rPr>
        <w:t xml:space="preserve">2</w:t>
      </w:r>
      <w:r>
        <w:rPr>
          <w:i/>
          <w:iCs/>
          <w:color w:val="ff0000"/>
          <w:spacing w:val="-2"/>
          <w:lang w:val="pt-BR"/>
        </w:rPr>
        <w:t xml:space="preserve">75/2026/0820/VFI-BC.48.A</w:t>
      </w:r>
      <w:r>
        <w:rPr>
          <w:i/>
          <w:iCs/>
          <w:color w:val="ff0000"/>
          <w:spacing w:val="-2"/>
          <w:lang w:val="pt-BR"/>
        </w:rPr>
        <w:t xml:space="preserve"> </w:t>
      </w:r>
      <w:r>
        <w:rPr>
          <w:i/>
          <w:lang w:val="pt-BR"/>
        </w:rPr>
        <w:t xml:space="preserve">ngày</w:t>
      </w:r>
      <w:r/>
      <w:r>
        <w:rPr>
          <w:i/>
        </w:rPr>
        <w:t xml:space="preserve"> 0</w:t>
      </w:r>
      <w:r>
        <w:rPr>
          <w:i/>
          <w:lang w:val="pt-BR"/>
        </w:rPr>
        <w:t xml:space="preserve">1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0982.686535</w:t>
            </w:r>
            <w:r>
              <w:rPr>
                <w:sz w:val="22"/>
                <w:szCs w:val="22"/>
              </w:rPr>
              <w:t xml:space="preserve"> </w:t>
            </w:r>
            <w:r>
              <w:rPr>
                <w:sz w:val="22"/>
                <w:szCs w:val="22"/>
              </w:rPr>
              <w:br/>
              <w:t xml:space="preserve">(Phạm Bá Chính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(40.3m²)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Đê Hữu Hồng khoảng 900m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114151" cy="2560393"/>
                      <wp:effectExtent l="0" t="0" r="0" b="0"/>
                      <wp:docPr id="12" name=""/>
                      <wp:cNvGraphicFramePr/>
                      <a:graphic xmlns:a="http://schemas.openxmlformats.org/drawingml/2006/main">
                        <a:graphicData uri="http://schemas.openxmlformats.org/drawingml/2006/picture">
                          <pic:pic xmlns:pic="http://schemas.openxmlformats.org/drawingml/2006/picture">
                            <pic:nvPicPr>
                              <pic:cNvPr id="297098620" name="" descr=""/>
                              <pic:cNvPicPr/>
                              <pic:nvPr/>
                            </pic:nvPicPr>
                            <pic:blipFill rotWithShape="1">
                              <a:blip r:embed="rId24"/>
                              <a:stretch/>
                            </pic:blipFill>
                            <pic:spPr bwMode="auto">
                              <a:xfrm flipH="0" flipV="0">
                                <a:off x="0" y="0"/>
                                <a:ext cx="2114151" cy="256039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66.47pt;height:201.61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76152" cy="2232060"/>
                      <wp:effectExtent l="0" t="0" r="0" b="0"/>
                      <wp:docPr id="13" name=""/>
                      <wp:cNvGraphicFramePr/>
                      <a:graphic xmlns:a="http://schemas.openxmlformats.org/drawingml/2006/main">
                        <a:graphicData uri="http://schemas.openxmlformats.org/drawingml/2006/picture">
                          <pic:pic xmlns:pic="http://schemas.openxmlformats.org/drawingml/2006/picture">
                            <pic:nvPicPr>
                              <pic:cNvPr id="243667250" name="" descr=""/>
                              <pic:cNvPicPr/>
                              <pic:nvPr/>
                            </pic:nvPicPr>
                            <pic:blipFill rotWithShape="1">
                              <a:blip r:embed="rId25"/>
                              <a:stretch/>
                            </pic:blipFill>
                            <pic:spPr bwMode="auto">
                              <a:xfrm flipH="0" flipV="0">
                                <a:off x="0" y="0"/>
                                <a:ext cx="2876151" cy="2232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6.47pt;height:175.75pt;mso-wrap-distance-left:0.00pt;mso-wrap-distance-top:0.00pt;mso-wrap-distance-right:0.00pt;mso-wrap-distance-bottom:0.00pt;z-index:1;" stroked="false">
                      <v:imagedata r:id="rId25"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https://www.facebook.com/groups/228139408948217/permalink/1466404285121717/?rdid=tSeN3R291Sy9Eaxp#</w:t>
            </w:r>
            <w:r>
              <w:rPr>
                <w:color w:val="000000" w:themeColor="text1"/>
                <w:sz w:val="22"/>
                <w:szCs w:val="22"/>
              </w:rPr>
              <w:br/>
              <w:t xml:space="preserve">0963.943502</w:t>
            </w:r>
            <w:r>
              <w:rPr>
                <w:sz w:val="22"/>
                <w:szCs w:val="22"/>
              </w:rPr>
              <w:t xml:space="preserve"> </w:t>
            </w:r>
            <w:r>
              <w:rPr>
                <w:sz w:val="22"/>
                <w:szCs w:val="22"/>
              </w:rPr>
              <w:br/>
              <w:t xml:space="preserve">(Thắng TK</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(57m²)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Đê Hữu Hồng khoảng 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33818" cy="215997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flipH="0" flipV="0">
                                <a:off x="0" y="0"/>
                                <a:ext cx="2833818" cy="215996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3.14pt;height:170.08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040068" cy="2570727"/>
                      <wp:effectExtent l="0" t="0" r="0" b="0"/>
                      <wp:docPr id="15" name=""/>
                      <wp:cNvGraphicFramePr/>
                      <a:graphic xmlns:a="http://schemas.openxmlformats.org/drawingml/2006/main">
                        <a:graphicData uri="http://schemas.openxmlformats.org/drawingml/2006/picture">
                          <pic:pic xmlns:pic="http://schemas.openxmlformats.org/drawingml/2006/picture">
                            <pic:nvPicPr>
                              <pic:cNvPr id="897786305" name="" descr=""/>
                              <pic:cNvPicPr/>
                              <pic:nvPr/>
                            </pic:nvPicPr>
                            <pic:blipFill rotWithShape="1">
                              <a:blip r:embed="rId27"/>
                              <a:stretch/>
                            </pic:blipFill>
                            <pic:spPr bwMode="auto">
                              <a:xfrm flipH="0" flipV="0">
                                <a:off x="0" y="0"/>
                                <a:ext cx="2040068" cy="2570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0.64pt;height:202.42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https://batdongsan.com.vn/ban-dat-duong-vanh-dai-4-xa-ninh-so-26/lo-giap-thon-3-van-phuc-thong-o-to-gia-4x-tr-m2-pr44731753?gidzl=8cH4SKys-YGjSaHnGItx8Y9qGN5NA_ShFoLDA5HyzovhBa0j1IVvUJzvGdW19_vyR7n2UZHRQezYIpdoAW#js__pr-expired__content-anchor</w:t>
            </w:r>
            <w:r>
              <w:rPr>
                <w:color w:val="000000" w:themeColor="text1"/>
                <w:sz w:val="22"/>
                <w:szCs w:val="22"/>
              </w:rPr>
              <w:br/>
            </w:r>
            <w:r>
              <w:rPr>
                <w:sz w:val="22"/>
                <w:szCs w:val="22"/>
              </w:rPr>
              <w:t xml:space="preserve">SĐT: </w:t>
            </w:r>
            <w:r>
              <w:rPr>
                <w:color w:val="000000" w:themeColor="text1"/>
                <w:sz w:val="22"/>
                <w:szCs w:val="22"/>
              </w:rPr>
              <w:t xml:space="preserve">0969.612886</w:t>
            </w:r>
            <w:r>
              <w:rPr>
                <w:sz w:val="22"/>
                <w:szCs w:val="22"/>
              </w:rPr>
              <w:t xml:space="preserve"> </w:t>
            </w:r>
            <w:r>
              <w:rPr>
                <w:sz w:val="22"/>
                <w:szCs w:val="22"/>
              </w:rPr>
              <w:br/>
              <w:t xml:space="preserve">(Trung Hiếu</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13.940.000.000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12.546.000.000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 (205m²)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Đê Hữu Hồng khoảng 700m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18485" cy="1653853"/>
                      <wp:effectExtent l="0" t="0" r="0" b="0"/>
                      <wp:docPr id="16" name=""/>
                      <wp:cNvGraphicFramePr/>
                      <a:graphic xmlns:a="http://schemas.openxmlformats.org/drawingml/2006/main">
                        <a:graphicData uri="http://schemas.openxmlformats.org/drawingml/2006/picture">
                          <pic:pic xmlns:pic="http://schemas.openxmlformats.org/drawingml/2006/picture">
                            <pic:nvPicPr>
                              <pic:cNvPr id="927778883" name="" descr=""/>
                              <pic:cNvPicPr/>
                              <pic:nvPr/>
                            </pic:nvPicPr>
                            <pic:blipFill rotWithShape="1">
                              <a:blip r:embed="rId28"/>
                              <a:stretch/>
                            </pic:blipFill>
                            <pic:spPr bwMode="auto">
                              <a:xfrm flipH="0" flipV="0">
                                <a:off x="0" y="0"/>
                                <a:ext cx="2918484" cy="16538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29.80pt;height:130.22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18485" cy="155575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577281799" name="" descr=""/>
                              <pic:cNvPicPr/>
                              <pic:nvPr/>
                            </pic:nvPicPr>
                            <pic:blipFill rotWithShape="1">
                              <a:blip r:embed="rId29"/>
                              <a:stretch/>
                            </pic:blipFill>
                            <pic:spPr bwMode="auto">
                              <a:xfrm flipH="0" flipV="0">
                                <a:off x="0" y="0"/>
                                <a:ext cx="2918484" cy="155574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9.80pt;height:122.50pt;mso-wrap-distance-left:0.00pt;mso-wrap-distance-top:0.00pt;mso-wrap-distance-right:0.00pt;mso-wrap-distance-bottom:0.00pt;z-index:1;" stroked="false">
                      <v:imagedata r:id="rId29"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Phạm Thị Dung</w:t>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 xml:space="preserve">BIÊN BẢN KHẢO SÁT</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758380" name=""/>
                        <pic:cNvPicPr>
                          <a:picLocks noChangeAspect="1"/>
                        </pic:cNvPicPr>
                        <pic:nvPr/>
                      </pic:nvPicPr>
                      <pic:blipFill rotWithShape="1">
                        <a:blip r:embed="rId3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00pt;mso-wrap-distance-left:0.00pt;mso-wrap-distance-top:0.00pt;mso-wrap-distance-right:0.00pt;mso-wrap-distance-bottom:0.00pt;z-index:1;" stroked="false">
                <v:imagedata r:id="rId30"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GIẤY CHỨNG NHẬN QSDĐ</w:t>
      </w:r>
      <w:r>
        <w:rPr>
          <w:b/>
          <w:bCs/>
          <w:highlight w:val="none"/>
          <w:lang w:val="pt-BR"/>
        </w:rPr>
      </w:r>
      <w:r>
        <w:rPr>
          <w:b/>
          <w:bCs/>
          <w:highlight w:val="none"/>
          <w:lang w:val="pt-BR"/>
        </w:rPr>
      </w:r>
    </w:p>
    <w:p>
      <w:pPr>
        <w:pBdr/>
        <w:spacing w:after="200" w:line="276" w:lineRule="auto"/>
        <w:ind/>
        <w:jc w:val="center"/>
        <w:rPr>
          <w:b/>
          <w:bCs/>
          <w:highlight w:val="none"/>
          <w:lang w:val="pt-BR" w:bidi="pt-BR"/>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15384"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b/>
          <w:bCs/>
          <w:highlight w:val="none"/>
          <w:lang w:val="pt-BR"/>
        </w:rPr>
      </w:r>
      <w:r>
        <w:rPr>
          <w:b/>
          <w:bCs/>
          <w:highlight w:val="none"/>
          <w:lang w:val="pt-BR" w:bidi="pt-BR"/>
        </w:rPr>
      </w:r>
    </w:p>
    <w:p>
      <w:pPr>
        <w:pBdr/>
        <w:shd w:val="nil" w:color="auto"/>
        <w:spacing/>
        <w:ind/>
        <w:rPr>
          <w:b/>
          <w:bCs/>
          <w:highlight w:val="none"/>
          <w:lang w:val="pt-BR"/>
        </w:rPr>
      </w:pPr>
      <w:r>
        <w:rPr>
          <w:b/>
          <w:bCs/>
          <w:highlight w:val="none"/>
          <w:lang w:val="pt-BR"/>
        </w:rPr>
        <w:br w:type="page" w:clear="all"/>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107730"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iCs/>
          <w:highlight w:val="none"/>
          <w:lang w:val="pt-BR" w:bidi="pt-BR"/>
        </w:rPr>
      </w:r>
      <w:r>
        <w:rPr>
          <w:b/>
          <w:bCs/>
          <w:highlight w:val="none"/>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6">
    <w:name w:val="Table Grid Light"/>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Plain Table 1"/>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2"/>
    <w:basedOn w:val="100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3"/>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4"/>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5"/>
    <w:basedOn w:val="100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1 Light"/>
    <w:basedOn w:val="100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2"/>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3"/>
    <w:basedOn w:val="100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 Accent 1"/>
    <w:basedOn w:val="100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5"/>
    <w:basedOn w:val="100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6"/>
    <w:basedOn w:val="100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4"/>
    <w:basedOn w:val="100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 Accent 1"/>
    <w:basedOn w:val="100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2"/>
    <w:basedOn w:val="100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3"/>
    <w:basedOn w:val="100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4"/>
    <w:basedOn w:val="100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5"/>
    <w:basedOn w:val="100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6"/>
    <w:basedOn w:val="100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5 Dark"/>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Accent 1"/>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 Accent 2"/>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3"/>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4"/>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5"/>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6"/>
    <w:basedOn w:val="100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8">
    <w:name w:val="Grid Table 6 Colorful - Accent 1"/>
    <w:basedOn w:val="100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79">
    <w:name w:val="Grid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0">
    <w:name w:val="Grid Table 6 Colorful - Accent 3"/>
    <w:basedOn w:val="100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1">
    <w:name w:val="Grid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2">
    <w:name w:val="Grid Table 6 Colorful - Accent 5"/>
    <w:basedOn w:val="100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3">
    <w:name w:val="Grid Table 6 Colorful - Accent 6"/>
    <w:basedOn w:val="100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7 Colorful"/>
    <w:basedOn w:val="100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7 Colorful - Accent 1"/>
    <w:basedOn w:val="100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2"/>
    <w:basedOn w:val="100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3"/>
    <w:basedOn w:val="100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4"/>
    <w:basedOn w:val="100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5"/>
    <w:basedOn w:val="100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6"/>
    <w:basedOn w:val="100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st Table 1 Light"/>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 Accent 1"/>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2"/>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3"/>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4"/>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5"/>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6"/>
    <w:basedOn w:val="100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2"/>
    <w:basedOn w:val="100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 Accent 1"/>
    <w:basedOn w:val="100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2"/>
    <w:basedOn w:val="100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3"/>
    <w:basedOn w:val="100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4"/>
    <w:basedOn w:val="100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5"/>
    <w:basedOn w:val="100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6"/>
    <w:basedOn w:val="100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3"/>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 Accent 1"/>
    <w:basedOn w:val="100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2"/>
    <w:basedOn w:val="100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3"/>
    <w:basedOn w:val="100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4"/>
    <w:basedOn w:val="100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5"/>
    <w:basedOn w:val="100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6"/>
    <w:basedOn w:val="100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4"/>
    <w:basedOn w:val="100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 Accent 1"/>
    <w:basedOn w:val="100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2"/>
    <w:basedOn w:val="100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3"/>
    <w:basedOn w:val="100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4"/>
    <w:basedOn w:val="100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5"/>
    <w:basedOn w:val="100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6"/>
    <w:basedOn w:val="100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5 Dark"/>
    <w:basedOn w:val="100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0">
    <w:name w:val="List Table 5 Dark - Accent 1"/>
    <w:basedOn w:val="100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2"/>
    <w:basedOn w:val="100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3"/>
    <w:basedOn w:val="100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4"/>
    <w:basedOn w:val="100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5"/>
    <w:basedOn w:val="100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6"/>
    <w:basedOn w:val="100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6 Colorful"/>
    <w:basedOn w:val="100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6 Colorful - Accent 1"/>
    <w:basedOn w:val="100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2"/>
    <w:basedOn w:val="100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3"/>
    <w:basedOn w:val="100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4"/>
    <w:basedOn w:val="100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5"/>
    <w:basedOn w:val="100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6"/>
    <w:basedOn w:val="100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7 Colorful"/>
    <w:basedOn w:val="100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4">
    <w:name w:val="List Table 7 Colorful - Accent 1"/>
    <w:basedOn w:val="100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5">
    <w:name w:val="List Table 7 Colorful - Accent 2"/>
    <w:basedOn w:val="100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6">
    <w:name w:val="List Table 7 Colorful - Accent 3"/>
    <w:basedOn w:val="100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7">
    <w:name w:val="List Table 7 Colorful - Accent 4"/>
    <w:basedOn w:val="100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8">
    <w:name w:val="List Table 7 Colorful - Accent 5"/>
    <w:basedOn w:val="100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39">
    <w:name w:val="List Table 7 Colorful - Accent 6"/>
    <w:basedOn w:val="100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0">
    <w:name w:val="Lined - Accent"/>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ned - Accent 1"/>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2"/>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3"/>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4"/>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5"/>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6"/>
    <w:basedOn w:val="100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Bordered &amp; Lined - Accent"/>
    <w:basedOn w:val="100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1"/>
    <w:basedOn w:val="100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2"/>
    <w:basedOn w:val="100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3"/>
    <w:basedOn w:val="100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4"/>
    <w:basedOn w:val="100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5"/>
    <w:basedOn w:val="100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6"/>
    <w:basedOn w:val="100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w:basedOn w:val="100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 Accent 1"/>
    <w:basedOn w:val="100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2"/>
    <w:basedOn w:val="100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3"/>
    <w:basedOn w:val="100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4"/>
    <w:basedOn w:val="100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5"/>
    <w:basedOn w:val="100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6"/>
    <w:basedOn w:val="100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1">
    <w:name w:val="Heading 5"/>
    <w:basedOn w:val="1002"/>
    <w:next w:val="1002"/>
    <w:link w:val="96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2">
    <w:name w:val="Heading 6"/>
    <w:basedOn w:val="1002"/>
    <w:next w:val="1002"/>
    <w:link w:val="96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3">
    <w:name w:val="Heading 7"/>
    <w:basedOn w:val="1002"/>
    <w:next w:val="1002"/>
    <w:link w:val="96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4">
    <w:name w:val="Heading 8"/>
    <w:basedOn w:val="1002"/>
    <w:next w:val="1002"/>
    <w:link w:val="96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5">
    <w:name w:val="Heading 9"/>
    <w:basedOn w:val="1002"/>
    <w:next w:val="1002"/>
    <w:link w:val="97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6">
    <w:name w:val="Heading 5 Char"/>
    <w:basedOn w:val="1007"/>
    <w:link w:val="961"/>
    <w:uiPriority w:val="9"/>
    <w:pPr>
      <w:pBdr/>
      <w:spacing/>
      <w:ind/>
    </w:pPr>
    <w:rPr>
      <w:rFonts w:ascii="Arial" w:hAnsi="Arial" w:eastAsia="Arial" w:cs="Arial"/>
      <w:color w:val="0f4761" w:themeColor="accent1" w:themeShade="BF"/>
    </w:rPr>
  </w:style>
  <w:style w:type="character" w:styleId="967">
    <w:name w:val="Heading 6 Char"/>
    <w:basedOn w:val="1007"/>
    <w:link w:val="962"/>
    <w:uiPriority w:val="9"/>
    <w:pPr>
      <w:pBdr/>
      <w:spacing/>
      <w:ind/>
    </w:pPr>
    <w:rPr>
      <w:rFonts w:ascii="Arial" w:hAnsi="Arial" w:eastAsia="Arial" w:cs="Arial"/>
      <w:i/>
      <w:iCs/>
      <w:color w:val="595959" w:themeColor="text1" w:themeTint="A6"/>
    </w:rPr>
  </w:style>
  <w:style w:type="character" w:styleId="968">
    <w:name w:val="Heading 7 Char"/>
    <w:basedOn w:val="1007"/>
    <w:link w:val="963"/>
    <w:uiPriority w:val="9"/>
    <w:pPr>
      <w:pBdr/>
      <w:spacing/>
      <w:ind/>
    </w:pPr>
    <w:rPr>
      <w:rFonts w:ascii="Arial" w:hAnsi="Arial" w:eastAsia="Arial" w:cs="Arial"/>
      <w:color w:val="595959" w:themeColor="text1" w:themeTint="A6"/>
    </w:rPr>
  </w:style>
  <w:style w:type="character" w:styleId="969">
    <w:name w:val="Heading 8 Char"/>
    <w:basedOn w:val="1007"/>
    <w:link w:val="964"/>
    <w:uiPriority w:val="9"/>
    <w:pPr>
      <w:pBdr/>
      <w:spacing/>
      <w:ind/>
    </w:pPr>
    <w:rPr>
      <w:rFonts w:ascii="Arial" w:hAnsi="Arial" w:eastAsia="Arial" w:cs="Arial"/>
      <w:i/>
      <w:iCs/>
      <w:color w:val="272727" w:themeColor="text1" w:themeTint="D8"/>
    </w:rPr>
  </w:style>
  <w:style w:type="character" w:styleId="970">
    <w:name w:val="Heading 9 Char"/>
    <w:basedOn w:val="1007"/>
    <w:link w:val="965"/>
    <w:uiPriority w:val="9"/>
    <w:pPr>
      <w:pBdr/>
      <w:spacing/>
      <w:ind/>
    </w:pPr>
    <w:rPr>
      <w:rFonts w:ascii="Arial" w:hAnsi="Arial" w:eastAsia="Arial" w:cs="Arial"/>
      <w:i/>
      <w:iCs/>
      <w:color w:val="272727" w:themeColor="text1" w:themeTint="D8"/>
    </w:rPr>
  </w:style>
  <w:style w:type="paragraph" w:styleId="971">
    <w:name w:val="Subtitle"/>
    <w:basedOn w:val="1002"/>
    <w:next w:val="1002"/>
    <w:link w:val="972"/>
    <w:uiPriority w:val="11"/>
    <w:qFormat/>
    <w:pPr>
      <w:numPr>
        <w:ilvl w:val="1"/>
      </w:numPr>
      <w:pBdr/>
      <w:spacing/>
      <w:ind/>
    </w:pPr>
    <w:rPr>
      <w:color w:val="595959" w:themeColor="text1" w:themeTint="A6"/>
      <w:spacing w:val="15"/>
      <w:sz w:val="28"/>
      <w:szCs w:val="28"/>
    </w:rPr>
  </w:style>
  <w:style w:type="character" w:styleId="972">
    <w:name w:val="Subtitle Char"/>
    <w:basedOn w:val="1007"/>
    <w:link w:val="971"/>
    <w:uiPriority w:val="11"/>
    <w:pPr>
      <w:pBdr/>
      <w:spacing/>
      <w:ind/>
    </w:pPr>
    <w:rPr>
      <w:color w:val="595959" w:themeColor="text1" w:themeTint="A6"/>
      <w:spacing w:val="15"/>
      <w:sz w:val="28"/>
      <w:szCs w:val="28"/>
    </w:rPr>
  </w:style>
  <w:style w:type="paragraph" w:styleId="973">
    <w:name w:val="Quote"/>
    <w:basedOn w:val="1002"/>
    <w:next w:val="1002"/>
    <w:link w:val="974"/>
    <w:uiPriority w:val="29"/>
    <w:qFormat/>
    <w:pPr>
      <w:pBdr/>
      <w:spacing w:before="160"/>
      <w:ind/>
      <w:jc w:val="center"/>
    </w:pPr>
    <w:rPr>
      <w:i/>
      <w:iCs/>
      <w:color w:val="404040" w:themeColor="text1" w:themeTint="BF"/>
    </w:rPr>
  </w:style>
  <w:style w:type="character" w:styleId="974">
    <w:name w:val="Quote Char"/>
    <w:basedOn w:val="1007"/>
    <w:link w:val="973"/>
    <w:uiPriority w:val="29"/>
    <w:pPr>
      <w:pBdr/>
      <w:spacing/>
      <w:ind/>
    </w:pPr>
    <w:rPr>
      <w:i/>
      <w:iCs/>
      <w:color w:val="404040" w:themeColor="text1" w:themeTint="BF"/>
    </w:rPr>
  </w:style>
  <w:style w:type="character" w:styleId="975">
    <w:name w:val="Intense Emphasis"/>
    <w:basedOn w:val="1007"/>
    <w:uiPriority w:val="21"/>
    <w:qFormat/>
    <w:pPr>
      <w:pBdr/>
      <w:spacing/>
      <w:ind/>
    </w:pPr>
    <w:rPr>
      <w:i/>
      <w:iCs/>
      <w:color w:val="0f4761" w:themeColor="accent1" w:themeShade="BF"/>
    </w:rPr>
  </w:style>
  <w:style w:type="paragraph" w:styleId="976">
    <w:name w:val="Intense Quote"/>
    <w:basedOn w:val="1002"/>
    <w:next w:val="1002"/>
    <w:link w:val="97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7">
    <w:name w:val="Intense Quote Char"/>
    <w:basedOn w:val="1007"/>
    <w:link w:val="976"/>
    <w:uiPriority w:val="30"/>
    <w:pPr>
      <w:pBdr/>
      <w:spacing/>
      <w:ind/>
    </w:pPr>
    <w:rPr>
      <w:i/>
      <w:iCs/>
      <w:color w:val="0f4761" w:themeColor="accent1" w:themeShade="BF"/>
    </w:rPr>
  </w:style>
  <w:style w:type="character" w:styleId="978">
    <w:name w:val="Intense Reference"/>
    <w:basedOn w:val="1007"/>
    <w:uiPriority w:val="32"/>
    <w:qFormat/>
    <w:pPr>
      <w:pBdr/>
      <w:spacing/>
      <w:ind/>
    </w:pPr>
    <w:rPr>
      <w:b/>
      <w:bCs/>
      <w:smallCaps/>
      <w:color w:val="0f4761" w:themeColor="accent1" w:themeShade="BF"/>
      <w:spacing w:val="5"/>
    </w:rPr>
  </w:style>
  <w:style w:type="paragraph" w:styleId="979">
    <w:name w:val="No Spacing"/>
    <w:basedOn w:val="1002"/>
    <w:uiPriority w:val="1"/>
    <w:qFormat/>
    <w:pPr>
      <w:pBdr/>
      <w:spacing w:after="0" w:line="240" w:lineRule="auto"/>
      <w:ind/>
    </w:pPr>
  </w:style>
  <w:style w:type="character" w:styleId="980">
    <w:name w:val="Subtle Emphasis"/>
    <w:basedOn w:val="1007"/>
    <w:uiPriority w:val="19"/>
    <w:qFormat/>
    <w:pPr>
      <w:pBdr/>
      <w:spacing/>
      <w:ind/>
    </w:pPr>
    <w:rPr>
      <w:i/>
      <w:iCs/>
      <w:color w:val="404040" w:themeColor="text1" w:themeTint="BF"/>
    </w:rPr>
  </w:style>
  <w:style w:type="character" w:styleId="981">
    <w:name w:val="Subtle Reference"/>
    <w:basedOn w:val="1007"/>
    <w:uiPriority w:val="31"/>
    <w:qFormat/>
    <w:pPr>
      <w:pBdr/>
      <w:spacing/>
      <w:ind/>
    </w:pPr>
    <w:rPr>
      <w:smallCaps/>
      <w:color w:val="5a5a5a" w:themeColor="text1" w:themeTint="A5"/>
    </w:rPr>
  </w:style>
  <w:style w:type="character" w:styleId="982">
    <w:name w:val="Book Title"/>
    <w:basedOn w:val="1007"/>
    <w:uiPriority w:val="33"/>
    <w:qFormat/>
    <w:pPr>
      <w:pBdr/>
      <w:spacing/>
      <w:ind/>
    </w:pPr>
    <w:rPr>
      <w:b/>
      <w:bCs/>
      <w:i/>
      <w:iCs/>
      <w:spacing w:val="5"/>
    </w:rPr>
  </w:style>
  <w:style w:type="paragraph" w:styleId="983">
    <w:name w:val="Caption"/>
    <w:basedOn w:val="1002"/>
    <w:next w:val="1002"/>
    <w:uiPriority w:val="35"/>
    <w:unhideWhenUsed/>
    <w:qFormat/>
    <w:pPr>
      <w:pBdr/>
      <w:spacing w:after="200" w:line="240" w:lineRule="auto"/>
      <w:ind/>
    </w:pPr>
    <w:rPr>
      <w:i/>
      <w:iCs/>
      <w:color w:val="0e2841" w:themeColor="text2"/>
      <w:sz w:val="18"/>
      <w:szCs w:val="18"/>
    </w:rPr>
  </w:style>
  <w:style w:type="paragraph" w:styleId="984">
    <w:name w:val="footnote text"/>
    <w:basedOn w:val="1002"/>
    <w:link w:val="985"/>
    <w:uiPriority w:val="99"/>
    <w:semiHidden/>
    <w:unhideWhenUsed/>
    <w:pPr>
      <w:pBdr/>
      <w:spacing w:after="0" w:line="240" w:lineRule="auto"/>
      <w:ind/>
    </w:pPr>
    <w:rPr>
      <w:sz w:val="20"/>
      <w:szCs w:val="20"/>
    </w:rPr>
  </w:style>
  <w:style w:type="character" w:styleId="985">
    <w:name w:val="Footnote Text Char"/>
    <w:basedOn w:val="1007"/>
    <w:link w:val="984"/>
    <w:uiPriority w:val="99"/>
    <w:semiHidden/>
    <w:pPr>
      <w:pBdr/>
      <w:spacing/>
      <w:ind/>
    </w:pPr>
    <w:rPr>
      <w:sz w:val="20"/>
      <w:szCs w:val="20"/>
    </w:rPr>
  </w:style>
  <w:style w:type="character" w:styleId="986">
    <w:name w:val="footnote reference"/>
    <w:basedOn w:val="1007"/>
    <w:uiPriority w:val="99"/>
    <w:semiHidden/>
    <w:unhideWhenUsed/>
    <w:pPr>
      <w:pBdr/>
      <w:spacing/>
      <w:ind/>
    </w:pPr>
    <w:rPr>
      <w:vertAlign w:val="superscript"/>
    </w:rPr>
  </w:style>
  <w:style w:type="paragraph" w:styleId="987">
    <w:name w:val="endnote text"/>
    <w:basedOn w:val="1002"/>
    <w:link w:val="988"/>
    <w:uiPriority w:val="99"/>
    <w:semiHidden/>
    <w:unhideWhenUsed/>
    <w:pPr>
      <w:pBdr/>
      <w:spacing w:after="0" w:line="240" w:lineRule="auto"/>
      <w:ind/>
    </w:pPr>
    <w:rPr>
      <w:sz w:val="20"/>
      <w:szCs w:val="20"/>
    </w:rPr>
  </w:style>
  <w:style w:type="character" w:styleId="988">
    <w:name w:val="Endnote Text Char"/>
    <w:basedOn w:val="1007"/>
    <w:link w:val="987"/>
    <w:uiPriority w:val="99"/>
    <w:semiHidden/>
    <w:pPr>
      <w:pBdr/>
      <w:spacing/>
      <w:ind/>
    </w:pPr>
    <w:rPr>
      <w:sz w:val="20"/>
      <w:szCs w:val="20"/>
    </w:rPr>
  </w:style>
  <w:style w:type="character" w:styleId="989">
    <w:name w:val="endnote reference"/>
    <w:basedOn w:val="1007"/>
    <w:uiPriority w:val="99"/>
    <w:semiHidden/>
    <w:unhideWhenUsed/>
    <w:pPr>
      <w:pBdr/>
      <w:spacing/>
      <w:ind/>
    </w:pPr>
    <w:rPr>
      <w:vertAlign w:val="superscript"/>
    </w:rPr>
  </w:style>
  <w:style w:type="paragraph" w:styleId="990">
    <w:name w:val="toc 1"/>
    <w:basedOn w:val="1002"/>
    <w:next w:val="1002"/>
    <w:uiPriority w:val="39"/>
    <w:unhideWhenUsed/>
    <w:pPr>
      <w:pBdr/>
      <w:spacing w:after="100"/>
      <w:ind/>
    </w:pPr>
  </w:style>
  <w:style w:type="paragraph" w:styleId="991">
    <w:name w:val="toc 2"/>
    <w:basedOn w:val="1002"/>
    <w:next w:val="1002"/>
    <w:uiPriority w:val="39"/>
    <w:unhideWhenUsed/>
    <w:pPr>
      <w:pBdr/>
      <w:spacing w:after="100"/>
      <w:ind w:left="220"/>
    </w:pPr>
  </w:style>
  <w:style w:type="paragraph" w:styleId="992">
    <w:name w:val="toc 3"/>
    <w:basedOn w:val="1002"/>
    <w:next w:val="1002"/>
    <w:uiPriority w:val="39"/>
    <w:unhideWhenUsed/>
    <w:pPr>
      <w:pBdr/>
      <w:spacing w:after="100"/>
      <w:ind w:left="440"/>
    </w:pPr>
  </w:style>
  <w:style w:type="paragraph" w:styleId="993">
    <w:name w:val="toc 4"/>
    <w:basedOn w:val="1002"/>
    <w:next w:val="1002"/>
    <w:uiPriority w:val="39"/>
    <w:unhideWhenUsed/>
    <w:pPr>
      <w:pBdr/>
      <w:spacing w:after="100"/>
      <w:ind w:left="660"/>
    </w:pPr>
  </w:style>
  <w:style w:type="paragraph" w:styleId="994">
    <w:name w:val="toc 5"/>
    <w:basedOn w:val="1002"/>
    <w:next w:val="1002"/>
    <w:uiPriority w:val="39"/>
    <w:unhideWhenUsed/>
    <w:pPr>
      <w:pBdr/>
      <w:spacing w:after="100"/>
      <w:ind w:left="880"/>
    </w:pPr>
  </w:style>
  <w:style w:type="paragraph" w:styleId="995">
    <w:name w:val="toc 6"/>
    <w:basedOn w:val="1002"/>
    <w:next w:val="1002"/>
    <w:uiPriority w:val="39"/>
    <w:unhideWhenUsed/>
    <w:pPr>
      <w:pBdr/>
      <w:spacing w:after="100"/>
      <w:ind w:left="1100"/>
    </w:pPr>
  </w:style>
  <w:style w:type="paragraph" w:styleId="996">
    <w:name w:val="toc 7"/>
    <w:basedOn w:val="1002"/>
    <w:next w:val="1002"/>
    <w:uiPriority w:val="39"/>
    <w:unhideWhenUsed/>
    <w:pPr>
      <w:pBdr/>
      <w:spacing w:after="100"/>
      <w:ind w:left="1320"/>
    </w:pPr>
  </w:style>
  <w:style w:type="paragraph" w:styleId="997">
    <w:name w:val="toc 8"/>
    <w:basedOn w:val="1002"/>
    <w:next w:val="1002"/>
    <w:uiPriority w:val="39"/>
    <w:unhideWhenUsed/>
    <w:pPr>
      <w:pBdr/>
      <w:spacing w:after="100"/>
      <w:ind w:left="1540"/>
    </w:pPr>
  </w:style>
  <w:style w:type="paragraph" w:styleId="998">
    <w:name w:val="toc 9"/>
    <w:basedOn w:val="1002"/>
    <w:next w:val="1002"/>
    <w:uiPriority w:val="39"/>
    <w:unhideWhenUsed/>
    <w:pPr>
      <w:pBdr/>
      <w:spacing w:after="100"/>
      <w:ind w:left="1760"/>
    </w:pPr>
  </w:style>
  <w:style w:type="character" w:styleId="999">
    <w:name w:val="Placeholder Text"/>
    <w:basedOn w:val="1007"/>
    <w:uiPriority w:val="99"/>
    <w:semiHidden/>
    <w:pPr>
      <w:pBdr/>
      <w:spacing/>
      <w:ind/>
    </w:pPr>
    <w:rPr>
      <w:color w:val="666666"/>
    </w:rPr>
  </w:style>
  <w:style w:type="paragraph" w:styleId="1000">
    <w:name w:val="TOC Heading"/>
    <w:uiPriority w:val="39"/>
    <w:unhideWhenUsed/>
    <w:pPr>
      <w:pBdr/>
      <w:spacing/>
      <w:ind/>
    </w:pPr>
  </w:style>
  <w:style w:type="paragraph" w:styleId="1001">
    <w:name w:val="table of figures"/>
    <w:basedOn w:val="1002"/>
    <w:next w:val="1002"/>
    <w:uiPriority w:val="99"/>
    <w:unhideWhenUsed/>
    <w:pPr>
      <w:pBdr/>
      <w:spacing w:after="0" w:afterAutospacing="0"/>
      <w:ind/>
    </w:pPr>
  </w:style>
  <w:style w:type="paragraph" w:styleId="1002" w:default="1">
    <w:name w:val="Normal"/>
    <w:qFormat/>
    <w:pPr>
      <w:pBdr/>
      <w:spacing w:after="0" w:line="240" w:lineRule="auto"/>
      <w:ind/>
    </w:pPr>
    <w:rPr>
      <w:rFonts w:ascii="Times New Roman" w:hAnsi="Times New Roman" w:eastAsia="Times New Roman" w:cs="Times New Roman"/>
      <w:sz w:val="24"/>
      <w:szCs w:val="24"/>
    </w:rPr>
  </w:style>
  <w:style w:type="paragraph" w:styleId="1003">
    <w:name w:val="Heading 1"/>
    <w:basedOn w:val="1002"/>
    <w:next w:val="1002"/>
    <w:link w:val="1010"/>
    <w:qFormat/>
    <w:pPr>
      <w:keepNext w:val="true"/>
      <w:pBdr/>
      <w:spacing w:after="120" w:before="120"/>
      <w:ind/>
      <w:jc w:val="center"/>
      <w:outlineLvl w:val="0"/>
    </w:pPr>
    <w:rPr>
      <w:b/>
      <w:bCs/>
      <w:sz w:val="27"/>
      <w:szCs w:val="27"/>
    </w:rPr>
  </w:style>
  <w:style w:type="paragraph" w:styleId="1004">
    <w:name w:val="Heading 2"/>
    <w:basedOn w:val="1002"/>
    <w:next w:val="1002"/>
    <w:link w:val="101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5">
    <w:name w:val="Heading 3"/>
    <w:basedOn w:val="1002"/>
    <w:next w:val="1002"/>
    <w:link w:val="1012"/>
    <w:qFormat/>
    <w:pPr>
      <w:keepNext w:val="true"/>
      <w:pBdr/>
      <w:spacing w:before="60"/>
      <w:ind/>
      <w:outlineLvl w:val="2"/>
    </w:pPr>
    <w:rPr>
      <w:sz w:val="28"/>
      <w:szCs w:val="28"/>
    </w:rPr>
  </w:style>
  <w:style w:type="paragraph" w:styleId="1006">
    <w:name w:val="Heading 4"/>
    <w:basedOn w:val="1002"/>
    <w:next w:val="1002"/>
    <w:link w:val="1013"/>
    <w:qFormat/>
    <w:pPr>
      <w:keepNext w:val="true"/>
      <w:pBdr/>
      <w:spacing/>
      <w:ind/>
      <w:jc w:val="center"/>
      <w:outlineLvl w:val="3"/>
    </w:pPr>
    <w:rPr>
      <w:b/>
      <w:bCs/>
    </w:rPr>
  </w:style>
  <w:style w:type="character" w:styleId="1007" w:default="1">
    <w:name w:val="Default Paragraph Font"/>
    <w:uiPriority w:val="1"/>
    <w:semiHidden/>
    <w:unhideWhenUsed/>
    <w:pPr>
      <w:pBdr/>
      <w:spacing/>
      <w:ind/>
    </w:pPr>
  </w:style>
  <w:style w:type="table" w:styleId="100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09" w:default="1">
    <w:name w:val="No List"/>
    <w:uiPriority w:val="99"/>
    <w:semiHidden/>
    <w:unhideWhenUsed/>
    <w:pPr>
      <w:pBdr/>
      <w:spacing/>
      <w:ind/>
    </w:pPr>
  </w:style>
  <w:style w:type="character" w:styleId="1010" w:customStyle="1">
    <w:name w:val="Heading 1 Char"/>
    <w:basedOn w:val="1007"/>
    <w:link w:val="1003"/>
    <w:pPr>
      <w:pBdr/>
      <w:spacing/>
      <w:ind/>
    </w:pPr>
    <w:rPr>
      <w:rFonts w:ascii="Times New Roman" w:hAnsi="Times New Roman" w:eastAsia="Times New Roman" w:cs="Times New Roman"/>
      <w:b/>
      <w:bCs/>
      <w:sz w:val="27"/>
      <w:szCs w:val="27"/>
    </w:rPr>
  </w:style>
  <w:style w:type="character" w:styleId="1011" w:customStyle="1">
    <w:name w:val="Heading 2 Char"/>
    <w:basedOn w:val="1007"/>
    <w:link w:val="1004"/>
    <w:uiPriority w:val="9"/>
    <w:pPr>
      <w:pBdr/>
      <w:spacing/>
      <w:ind/>
    </w:pPr>
    <w:rPr>
      <w:rFonts w:asciiTheme="majorHAnsi" w:hAnsiTheme="majorHAnsi" w:eastAsiaTheme="majorEastAsia" w:cstheme="majorBidi"/>
      <w:color w:val="365f91" w:themeColor="accent1" w:themeShade="BF"/>
      <w:sz w:val="26"/>
      <w:szCs w:val="26"/>
    </w:rPr>
  </w:style>
  <w:style w:type="character" w:styleId="1012" w:customStyle="1">
    <w:name w:val="Heading 3 Char"/>
    <w:basedOn w:val="1007"/>
    <w:link w:val="1005"/>
    <w:pPr>
      <w:pBdr/>
      <w:spacing/>
      <w:ind/>
    </w:pPr>
    <w:rPr>
      <w:rFonts w:ascii="Times New Roman" w:hAnsi="Times New Roman" w:eastAsia="Times New Roman" w:cs="Times New Roman"/>
      <w:sz w:val="28"/>
      <w:szCs w:val="28"/>
    </w:rPr>
  </w:style>
  <w:style w:type="character" w:styleId="1013" w:customStyle="1">
    <w:name w:val="Heading 4 Char"/>
    <w:basedOn w:val="1007"/>
    <w:link w:val="1006"/>
    <w:pPr>
      <w:pBdr/>
      <w:spacing/>
      <w:ind/>
    </w:pPr>
    <w:rPr>
      <w:rFonts w:ascii="Times New Roman" w:hAnsi="Times New Roman" w:eastAsia="Times New Roman" w:cs="Times New Roman"/>
      <w:b/>
      <w:bCs/>
      <w:sz w:val="24"/>
      <w:szCs w:val="24"/>
    </w:rPr>
  </w:style>
  <w:style w:type="character" w:styleId="1014">
    <w:name w:val="Hyperlink"/>
    <w:uiPriority w:val="99"/>
    <w:pPr>
      <w:pBdr/>
      <w:spacing/>
      <w:ind/>
    </w:pPr>
    <w:rPr>
      <w:color w:val="000000"/>
      <w:u w:val="single"/>
    </w:rPr>
  </w:style>
  <w:style w:type="character" w:styleId="1015">
    <w:name w:val="Strong"/>
    <w:uiPriority w:val="22"/>
    <w:qFormat/>
    <w:pPr>
      <w:pBdr/>
      <w:spacing/>
      <w:ind/>
    </w:pPr>
    <w:rPr>
      <w:b/>
      <w:bCs/>
    </w:rPr>
  </w:style>
  <w:style w:type="paragraph" w:styleId="1016">
    <w:name w:val="Balloon Text"/>
    <w:basedOn w:val="1002"/>
    <w:link w:val="1017"/>
    <w:uiPriority w:val="99"/>
    <w:semiHidden/>
    <w:unhideWhenUsed/>
    <w:pPr>
      <w:pBdr/>
      <w:spacing/>
      <w:ind/>
    </w:pPr>
    <w:rPr>
      <w:rFonts w:ascii="Tahoma" w:hAnsi="Tahoma" w:cs="Tahoma"/>
      <w:sz w:val="16"/>
      <w:szCs w:val="16"/>
    </w:rPr>
  </w:style>
  <w:style w:type="character" w:styleId="1017" w:customStyle="1">
    <w:name w:val="Balloon Text Char"/>
    <w:basedOn w:val="1007"/>
    <w:link w:val="1016"/>
    <w:uiPriority w:val="99"/>
    <w:semiHidden/>
    <w:pPr>
      <w:pBdr/>
      <w:spacing/>
      <w:ind/>
    </w:pPr>
    <w:rPr>
      <w:rFonts w:ascii="Tahoma" w:hAnsi="Tahoma" w:eastAsia="Times New Roman" w:cs="Tahoma"/>
      <w:sz w:val="16"/>
      <w:szCs w:val="16"/>
    </w:rPr>
  </w:style>
  <w:style w:type="paragraph" w:styleId="1018">
    <w:name w:val="Header"/>
    <w:basedOn w:val="1002"/>
    <w:link w:val="1019"/>
    <w:unhideWhenUsed/>
    <w:pPr>
      <w:pBdr/>
      <w:tabs>
        <w:tab w:val="center" w:leader="none" w:pos="4680"/>
        <w:tab w:val="right" w:leader="none" w:pos="9360"/>
      </w:tabs>
      <w:spacing/>
      <w:ind/>
    </w:pPr>
  </w:style>
  <w:style w:type="character" w:styleId="1019" w:customStyle="1">
    <w:name w:val="Header Char"/>
    <w:basedOn w:val="1007"/>
    <w:link w:val="1018"/>
    <w:pPr>
      <w:pBdr/>
      <w:spacing/>
      <w:ind/>
    </w:pPr>
    <w:rPr>
      <w:rFonts w:ascii="Times New Roman" w:hAnsi="Times New Roman" w:eastAsia="Times New Roman" w:cs="Times New Roman"/>
      <w:sz w:val="24"/>
      <w:szCs w:val="24"/>
    </w:rPr>
  </w:style>
  <w:style w:type="paragraph" w:styleId="1020">
    <w:name w:val="Footer"/>
    <w:basedOn w:val="1002"/>
    <w:link w:val="1021"/>
    <w:uiPriority w:val="99"/>
    <w:unhideWhenUsed/>
    <w:pPr>
      <w:pBdr/>
      <w:tabs>
        <w:tab w:val="center" w:leader="none" w:pos="4680"/>
        <w:tab w:val="right" w:leader="none" w:pos="9360"/>
      </w:tabs>
      <w:spacing/>
      <w:ind/>
    </w:pPr>
  </w:style>
  <w:style w:type="character" w:styleId="1021" w:customStyle="1">
    <w:name w:val="Footer Char"/>
    <w:basedOn w:val="1007"/>
    <w:link w:val="1020"/>
    <w:uiPriority w:val="99"/>
    <w:pPr>
      <w:pBdr/>
      <w:spacing/>
      <w:ind/>
    </w:pPr>
    <w:rPr>
      <w:rFonts w:ascii="Times New Roman" w:hAnsi="Times New Roman" w:eastAsia="Times New Roman" w:cs="Times New Roman"/>
      <w:sz w:val="24"/>
      <w:szCs w:val="24"/>
    </w:rPr>
  </w:style>
  <w:style w:type="character" w:styleId="1022" w:customStyle="1">
    <w:name w:val="normal-h1"/>
    <w:pPr>
      <w:pBdr/>
      <w:spacing/>
      <w:ind/>
    </w:pPr>
    <w:rPr>
      <w:rFonts w:hint="default" w:ascii=".VnTime" w:hAnsi=".VnTime"/>
      <w:color w:val="0000ff"/>
      <w:sz w:val="24"/>
      <w:szCs w:val="24"/>
    </w:rPr>
  </w:style>
  <w:style w:type="paragraph" w:styleId="1023" w:customStyle="1">
    <w:name w:val="normal-p"/>
    <w:basedOn w:val="1002"/>
    <w:pPr>
      <w:pBdr/>
      <w:spacing/>
      <w:ind/>
      <w:jc w:val="both"/>
    </w:pPr>
    <w:rPr>
      <w:sz w:val="20"/>
      <w:szCs w:val="20"/>
    </w:rPr>
  </w:style>
  <w:style w:type="paragraph" w:styleId="1024">
    <w:name w:val="List Paragraph"/>
    <w:basedOn w:val="1002"/>
    <w:link w:val="1111"/>
    <w:uiPriority w:val="34"/>
    <w:qFormat/>
    <w:pPr>
      <w:pBdr/>
      <w:spacing/>
      <w:ind w:left="720"/>
    </w:pPr>
  </w:style>
  <w:style w:type="paragraph" w:styleId="1025">
    <w:name w:val="Normal (Web)"/>
    <w:basedOn w:val="1002"/>
    <w:uiPriority w:val="99"/>
    <w:pPr>
      <w:pBdr/>
      <w:spacing w:after="100" w:afterAutospacing="1" w:before="100" w:beforeAutospacing="1"/>
      <w:ind/>
    </w:pPr>
  </w:style>
  <w:style w:type="paragraph" w:styleId="1026">
    <w:name w:val="Body Text"/>
    <w:basedOn w:val="1002"/>
    <w:link w:val="1027"/>
    <w:pPr>
      <w:pBdr/>
      <w:spacing w:after="120"/>
      <w:ind/>
      <w:jc w:val="both"/>
    </w:pPr>
  </w:style>
  <w:style w:type="character" w:styleId="1027" w:customStyle="1">
    <w:name w:val="Body Text Char"/>
    <w:basedOn w:val="1007"/>
    <w:link w:val="1026"/>
    <w:pPr>
      <w:pBdr/>
      <w:spacing/>
      <w:ind/>
    </w:pPr>
    <w:rPr>
      <w:rFonts w:ascii="Times New Roman" w:hAnsi="Times New Roman" w:eastAsia="Times New Roman" w:cs="Times New Roman"/>
      <w:sz w:val="24"/>
      <w:szCs w:val="24"/>
    </w:rPr>
  </w:style>
  <w:style w:type="table" w:styleId="1028">
    <w:name w:val="Table Grid"/>
    <w:basedOn w:val="100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2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0">
    <w:name w:val="annotation reference"/>
    <w:basedOn w:val="1007"/>
    <w:uiPriority w:val="99"/>
    <w:semiHidden/>
    <w:unhideWhenUsed/>
    <w:pPr>
      <w:pBdr/>
      <w:spacing/>
      <w:ind/>
    </w:pPr>
    <w:rPr>
      <w:sz w:val="16"/>
      <w:szCs w:val="16"/>
    </w:rPr>
  </w:style>
  <w:style w:type="paragraph" w:styleId="1031">
    <w:name w:val="annotation text"/>
    <w:basedOn w:val="1002"/>
    <w:link w:val="1032"/>
    <w:uiPriority w:val="99"/>
    <w:unhideWhenUsed/>
    <w:pPr>
      <w:pBdr/>
      <w:spacing/>
      <w:ind/>
    </w:pPr>
    <w:rPr>
      <w:sz w:val="20"/>
      <w:szCs w:val="20"/>
    </w:rPr>
  </w:style>
  <w:style w:type="character" w:styleId="1032" w:customStyle="1">
    <w:name w:val="Comment Text Char"/>
    <w:basedOn w:val="1007"/>
    <w:link w:val="1031"/>
    <w:uiPriority w:val="99"/>
    <w:pPr>
      <w:pBdr/>
      <w:spacing/>
      <w:ind/>
    </w:pPr>
    <w:rPr>
      <w:rFonts w:ascii="Times New Roman" w:hAnsi="Times New Roman" w:eastAsia="Times New Roman" w:cs="Times New Roman"/>
      <w:sz w:val="20"/>
      <w:szCs w:val="20"/>
    </w:rPr>
  </w:style>
  <w:style w:type="paragraph" w:styleId="1033">
    <w:name w:val="annotation subject"/>
    <w:basedOn w:val="1031"/>
    <w:next w:val="1031"/>
    <w:link w:val="1034"/>
    <w:uiPriority w:val="99"/>
    <w:semiHidden/>
    <w:unhideWhenUsed/>
    <w:pPr>
      <w:pBdr/>
      <w:spacing/>
      <w:ind/>
    </w:pPr>
    <w:rPr>
      <w:b/>
      <w:bCs/>
    </w:rPr>
  </w:style>
  <w:style w:type="character" w:styleId="1034" w:customStyle="1">
    <w:name w:val="Comment Subject Char"/>
    <w:basedOn w:val="1032"/>
    <w:link w:val="1033"/>
    <w:uiPriority w:val="99"/>
    <w:semiHidden/>
    <w:pPr>
      <w:pBdr/>
      <w:spacing/>
      <w:ind/>
    </w:pPr>
    <w:rPr>
      <w:rFonts w:ascii="Times New Roman" w:hAnsi="Times New Roman" w:eastAsia="Times New Roman" w:cs="Times New Roman"/>
      <w:b/>
      <w:bCs/>
      <w:sz w:val="20"/>
      <w:szCs w:val="20"/>
    </w:rPr>
  </w:style>
  <w:style w:type="paragraph" w:styleId="1035" w:customStyle="1">
    <w:name w:val="font5"/>
    <w:basedOn w:val="1002"/>
    <w:pPr>
      <w:pBdr/>
      <w:spacing w:after="100" w:afterAutospacing="1" w:before="100" w:beforeAutospacing="1"/>
      <w:ind/>
    </w:pPr>
    <w:rPr>
      <w:rFonts w:ascii="Tahoma" w:hAnsi="Tahoma" w:cs="Tahoma"/>
      <w:color w:val="000000"/>
      <w:sz w:val="18"/>
      <w:szCs w:val="18"/>
    </w:rPr>
  </w:style>
  <w:style w:type="paragraph" w:styleId="1036" w:customStyle="1">
    <w:name w:val="font6"/>
    <w:basedOn w:val="1002"/>
    <w:pPr>
      <w:pBdr/>
      <w:spacing w:after="100" w:afterAutospacing="1" w:before="100" w:beforeAutospacing="1"/>
      <w:ind/>
    </w:pPr>
    <w:rPr>
      <w:rFonts w:ascii="Tahoma" w:hAnsi="Tahoma" w:cs="Tahoma"/>
      <w:b/>
      <w:bCs/>
      <w:color w:val="000000"/>
      <w:sz w:val="18"/>
      <w:szCs w:val="18"/>
    </w:rPr>
  </w:style>
  <w:style w:type="paragraph" w:styleId="1037" w:customStyle="1">
    <w:name w:val="xl23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8" w:customStyle="1">
    <w:name w:val="xl234"/>
    <w:basedOn w:val="1002"/>
    <w:pPr>
      <w:pBdr/>
      <w:spacing w:after="100" w:afterAutospacing="1" w:before="100" w:beforeAutospacing="1"/>
      <w:ind/>
      <w:jc w:val="center"/>
    </w:pPr>
  </w:style>
  <w:style w:type="paragraph" w:styleId="1039" w:customStyle="1">
    <w:name w:val="xl235"/>
    <w:basedOn w:val="1002"/>
    <w:pPr>
      <w:pBdr/>
      <w:spacing w:after="100" w:afterAutospacing="1" w:before="100" w:beforeAutospacing="1"/>
      <w:ind/>
      <w:jc w:val="center"/>
    </w:pPr>
    <w:rPr>
      <w:b/>
      <w:bCs/>
    </w:rPr>
  </w:style>
  <w:style w:type="paragraph" w:styleId="1040" w:customStyle="1">
    <w:name w:val="xl236"/>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1" w:customStyle="1">
    <w:name w:val="xl23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2" w:customStyle="1">
    <w:name w:val="xl238"/>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3" w:customStyle="1">
    <w:name w:val="xl23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4" w:customStyle="1">
    <w:name w:val="xl240"/>
    <w:basedOn w:val="1002"/>
    <w:pPr>
      <w:pBdr/>
      <w:spacing w:after="100" w:afterAutospacing="1" w:before="100" w:beforeAutospacing="1"/>
      <w:ind/>
    </w:pPr>
  </w:style>
  <w:style w:type="paragraph" w:styleId="1045" w:customStyle="1">
    <w:name w:val="xl241"/>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6" w:customStyle="1">
    <w:name w:val="xl242"/>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7" w:customStyle="1">
    <w:name w:val="xl243"/>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8" w:customStyle="1">
    <w:name w:val="xl244"/>
    <w:basedOn w:val="1002"/>
    <w:pPr>
      <w:pBdr/>
      <w:spacing w:after="100" w:afterAutospacing="1" w:before="100" w:beforeAutospacing="1"/>
      <w:ind/>
    </w:pPr>
    <w:rPr>
      <w:b/>
      <w:bCs/>
    </w:rPr>
  </w:style>
  <w:style w:type="paragraph" w:styleId="1049" w:customStyle="1">
    <w:name w:val="xl245"/>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1" w:customStyle="1">
    <w:name w:val="xl247"/>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2" w:customStyle="1">
    <w:name w:val="xl24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3" w:customStyle="1">
    <w:name w:val="xl24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4" w:customStyle="1">
    <w:name w:val="xl25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5" w:customStyle="1">
    <w:name w:val="xl25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5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7" w:customStyle="1">
    <w:name w:val="xl253"/>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4"/>
    <w:basedOn w:val="100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5"/>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0" w:customStyle="1">
    <w:name w:val="xl256"/>
    <w:basedOn w:val="100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8"/>
    <w:basedOn w:val="100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4" w:customStyle="1">
    <w:name w:val="xl260"/>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1"/>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62"/>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63"/>
    <w:basedOn w:val="1002"/>
    <w:pPr>
      <w:pBdr/>
      <w:shd w:val="clear" w:color="000000" w:fill="ffffff"/>
      <w:spacing w:after="100" w:afterAutospacing="1" w:before="100" w:beforeAutospacing="1"/>
      <w:ind/>
    </w:pPr>
  </w:style>
  <w:style w:type="paragraph" w:styleId="1068" w:customStyle="1">
    <w:name w:val="xl264"/>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5"/>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0" w:customStyle="1">
    <w:name w:val="xl26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1" w:customStyle="1">
    <w:name w:val="xl267"/>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68"/>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9"/>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7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5" w:customStyle="1">
    <w:name w:val="xl271"/>
    <w:basedOn w:val="100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6" w:customStyle="1">
    <w:name w:val="xl27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73"/>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74"/>
    <w:basedOn w:val="100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75"/>
    <w:basedOn w:val="1002"/>
    <w:pPr>
      <w:pBdr/>
      <w:spacing w:after="100" w:afterAutospacing="1" w:before="100" w:beforeAutospacing="1"/>
      <w:ind/>
    </w:pPr>
  </w:style>
  <w:style w:type="paragraph" w:styleId="1080" w:customStyle="1">
    <w:name w:val="xl27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77"/>
    <w:basedOn w:val="100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78"/>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79"/>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80"/>
    <w:basedOn w:val="10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5" w:customStyle="1">
    <w:name w:val="xl281"/>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82"/>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7" w:customStyle="1">
    <w:name w:val="xl283"/>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8" w:customStyle="1">
    <w:name w:val="xl284"/>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5"/>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6"/>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7"/>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8"/>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3" w:customStyle="1">
    <w:name w:val="xl289"/>
    <w:basedOn w:val="1002"/>
    <w:pPr>
      <w:pBdr>
        <w:left w:val="single" w:color="000000" w:sz="4" w:space="0"/>
        <w:right w:val="single" w:color="000000" w:sz="4" w:space="0"/>
      </w:pBdr>
      <w:spacing w:after="100" w:afterAutospacing="1" w:before="100" w:beforeAutospacing="1"/>
      <w:ind/>
    </w:pPr>
    <w:rPr>
      <w:b/>
      <w:bCs/>
    </w:rPr>
  </w:style>
  <w:style w:type="paragraph" w:styleId="1094" w:customStyle="1">
    <w:name w:val="xl290"/>
    <w:basedOn w:val="100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91"/>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6" w:customStyle="1">
    <w:name w:val="xl292"/>
    <w:basedOn w:val="1002"/>
    <w:pPr>
      <w:pBdr>
        <w:top w:val="single" w:color="000000" w:sz="4" w:space="0"/>
        <w:left w:val="single" w:color="000000" w:sz="4" w:space="0"/>
        <w:right w:val="single" w:color="000000" w:sz="4" w:space="0"/>
      </w:pBdr>
      <w:spacing w:after="100" w:afterAutospacing="1" w:before="100" w:beforeAutospacing="1"/>
      <w:ind/>
    </w:pPr>
  </w:style>
  <w:style w:type="paragraph" w:styleId="1097" w:customStyle="1">
    <w:name w:val="xl293"/>
    <w:basedOn w:val="1002"/>
    <w:pPr>
      <w:pBdr>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94"/>
    <w:basedOn w:val="10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9">
    <w:name w:val="Title"/>
    <w:basedOn w:val="1002"/>
    <w:link w:val="1100"/>
    <w:qFormat/>
    <w:pPr>
      <w:pBdr/>
      <w:spacing/>
      <w:ind/>
      <w:jc w:val="center"/>
    </w:pPr>
    <w:rPr>
      <w:b/>
      <w:bCs/>
      <w:sz w:val="32"/>
      <w:szCs w:val="26"/>
    </w:rPr>
  </w:style>
  <w:style w:type="character" w:styleId="1100" w:customStyle="1">
    <w:name w:val="Title Char"/>
    <w:basedOn w:val="1007"/>
    <w:link w:val="1099"/>
    <w:pPr>
      <w:pBdr/>
      <w:spacing/>
      <w:ind/>
    </w:pPr>
    <w:rPr>
      <w:rFonts w:ascii="Times New Roman" w:hAnsi="Times New Roman" w:eastAsia="Times New Roman" w:cs="Times New Roman"/>
      <w:b/>
      <w:bCs/>
      <w:sz w:val="32"/>
      <w:szCs w:val="26"/>
    </w:rPr>
  </w:style>
  <w:style w:type="character" w:styleId="1101" w:customStyle="1">
    <w:name w:val="Unresolved Mention1"/>
    <w:basedOn w:val="1007"/>
    <w:uiPriority w:val="99"/>
    <w:semiHidden/>
    <w:unhideWhenUsed/>
    <w:pPr>
      <w:pBdr/>
      <w:spacing/>
      <w:ind/>
    </w:pPr>
    <w:rPr>
      <w:color w:val="605e5c"/>
      <w:shd w:val="clear" w:color="auto" w:fill="e1dfdd"/>
    </w:rPr>
  </w:style>
  <w:style w:type="character" w:styleId="1102" w:customStyle="1">
    <w:name w:val="Body text (3)_"/>
    <w:link w:val="1103"/>
    <w:pPr>
      <w:pBdr/>
      <w:spacing/>
      <w:ind/>
    </w:pPr>
    <w:rPr>
      <w:rFonts w:ascii="Times New Roman" w:hAnsi="Times New Roman" w:cs="Times New Roman"/>
      <w:i/>
      <w:iCs/>
      <w:spacing w:val="4"/>
      <w:shd w:val="clear" w:color="auto" w:fill="ffffff"/>
    </w:rPr>
  </w:style>
  <w:style w:type="paragraph" w:styleId="1103" w:customStyle="1">
    <w:name w:val="Body text (3)1"/>
    <w:basedOn w:val="1002"/>
    <w:link w:val="110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4" w:customStyle="1">
    <w:name w:val="t-j"/>
    <w:basedOn w:val="1002"/>
    <w:pPr>
      <w:pBdr/>
      <w:spacing w:after="100" w:afterAutospacing="1" w:before="100" w:beforeAutospacing="1"/>
      <w:ind/>
    </w:pPr>
  </w:style>
  <w:style w:type="character" w:styleId="1105" w:customStyle="1">
    <w:name w:val="Unresolved Mention2"/>
    <w:basedOn w:val="1007"/>
    <w:uiPriority w:val="99"/>
    <w:semiHidden/>
    <w:unhideWhenUsed/>
    <w:pPr>
      <w:pBdr/>
      <w:spacing/>
      <w:ind/>
    </w:pPr>
    <w:rPr>
      <w:color w:val="605e5c"/>
      <w:shd w:val="clear" w:color="auto" w:fill="e1dfdd"/>
    </w:rPr>
  </w:style>
  <w:style w:type="character" w:styleId="1106">
    <w:name w:val="FollowedHyperlink"/>
    <w:basedOn w:val="1007"/>
    <w:uiPriority w:val="99"/>
    <w:semiHidden/>
    <w:unhideWhenUsed/>
    <w:pPr>
      <w:pBdr/>
      <w:spacing/>
      <w:ind/>
    </w:pPr>
    <w:rPr>
      <w:color w:val="800080" w:themeColor="followedHyperlink"/>
      <w:u w:val="single"/>
    </w:rPr>
  </w:style>
  <w:style w:type="character" w:styleId="1107" w:customStyle="1">
    <w:name w:val="text"/>
    <w:basedOn w:val="1007"/>
    <w:pPr>
      <w:pBdr/>
      <w:spacing/>
      <w:ind/>
    </w:pPr>
  </w:style>
  <w:style w:type="character" w:styleId="1108" w:customStyle="1">
    <w:name w:val="card-send-time__sendtime"/>
    <w:basedOn w:val="1007"/>
    <w:pPr>
      <w:pBdr/>
      <w:spacing/>
      <w:ind/>
    </w:pPr>
  </w:style>
  <w:style w:type="character" w:styleId="1109" w:customStyle="1">
    <w:name w:val="Đề cập Chưa giải quyết1"/>
    <w:basedOn w:val="1007"/>
    <w:uiPriority w:val="99"/>
    <w:semiHidden/>
    <w:unhideWhenUsed/>
    <w:pPr>
      <w:pBdr/>
      <w:spacing/>
      <w:ind/>
    </w:pPr>
    <w:rPr>
      <w:color w:val="605e5c"/>
      <w:shd w:val="clear" w:color="auto" w:fill="e1dfdd"/>
    </w:rPr>
  </w:style>
  <w:style w:type="paragraph" w:styleId="1110" w:customStyle="1">
    <w:name w:val="nqtitle"/>
    <w:basedOn w:val="1002"/>
    <w:pPr>
      <w:pBdr/>
      <w:spacing w:after="100" w:afterAutospacing="1" w:before="100" w:beforeAutospacing="1"/>
      <w:ind/>
    </w:pPr>
    <w:rPr>
      <w:lang w:val="vi-VN" w:eastAsia="vi-VN"/>
    </w:rPr>
  </w:style>
  <w:style w:type="character" w:styleId="1111" w:customStyle="1">
    <w:name w:val="List Paragraph Char"/>
    <w:link w:val="1024"/>
    <w:uiPriority w:val="34"/>
    <w:qFormat/>
    <w:pPr>
      <w:pBdr/>
      <w:spacing/>
      <w:ind/>
    </w:pPr>
    <w:rPr>
      <w:rFonts w:ascii="Times New Roman" w:hAnsi="Times New Roman" w:eastAsia="Times New Roman" w:cs="Times New Roman"/>
      <w:sz w:val="24"/>
      <w:szCs w:val="24"/>
    </w:rPr>
  </w:style>
  <w:style w:type="character" w:styleId="1112" w:customStyle="1">
    <w:name w:val="Đề cập Chưa giải quyết2"/>
    <w:basedOn w:val="1007"/>
    <w:uiPriority w:val="99"/>
    <w:semiHidden/>
    <w:unhideWhenUsed/>
    <w:pPr>
      <w:pBdr/>
      <w:spacing/>
      <w:ind/>
    </w:pPr>
    <w:rPr>
      <w:color w:val="605e5c"/>
      <w:shd w:val="clear" w:color="auto" w:fill="e1dfdd"/>
    </w:rPr>
  </w:style>
  <w:style w:type="character" w:styleId="1113" w:customStyle="1">
    <w:name w:val="Unresolved Mention3"/>
    <w:basedOn w:val="1007"/>
    <w:uiPriority w:val="99"/>
    <w:semiHidden/>
    <w:unhideWhenUsed/>
    <w:pPr>
      <w:pBdr/>
      <w:spacing/>
      <w:ind/>
    </w:pPr>
    <w:rPr>
      <w:color w:val="605e5c"/>
      <w:shd w:val="clear" w:color="auto" w:fill="e1dfdd"/>
    </w:rPr>
  </w:style>
  <w:style w:type="character" w:styleId="1114" w:customStyle="1">
    <w:name w:val="copy"/>
    <w:basedOn w:val="1007"/>
    <w:pPr>
      <w:pBdr/>
      <w:spacing/>
      <w:ind/>
    </w:pPr>
  </w:style>
  <w:style w:type="paragraph" w:styleId="1115" w:customStyle="1">
    <w:name w:val="align-justify"/>
    <w:basedOn w:val="1002"/>
    <w:pPr>
      <w:pBdr/>
      <w:spacing w:after="100" w:afterAutospacing="1" w:before="100" w:beforeAutospacing="1"/>
      <w:ind/>
    </w:pPr>
  </w:style>
  <w:style w:type="character" w:styleId="1116" w:customStyle="1">
    <w:name w:val="btn"/>
    <w:basedOn w:val="1007"/>
    <w:pPr>
      <w:pBdr/>
      <w:spacing/>
      <w:ind/>
    </w:pPr>
  </w:style>
  <w:style w:type="character" w:styleId="1117" w:customStyle="1">
    <w:name w:val="hide_mobile"/>
    <w:basedOn w:val="1007"/>
    <w:pPr>
      <w:pBdr/>
      <w:spacing/>
      <w:ind/>
    </w:pPr>
  </w:style>
  <w:style w:type="character" w:styleId="1118">
    <w:name w:val="Emphasis"/>
    <w:basedOn w:val="1007"/>
    <w:uiPriority w:val="20"/>
    <w:qFormat/>
    <w:pPr>
      <w:pBdr/>
      <w:spacing/>
      <w:ind/>
    </w:pPr>
    <w:rPr>
      <w:i/>
      <w:iCs/>
    </w:rPr>
  </w:style>
  <w:style w:type="character" w:styleId="1119" w:customStyle="1">
    <w:name w:val="t1"/>
    <w:basedOn w:val="1007"/>
    <w:pPr>
      <w:pBdr/>
      <w:spacing/>
      <w:ind/>
    </w:pPr>
  </w:style>
  <w:style w:type="character" w:styleId="1120" w:customStyle="1">
    <w:name w:val="Unresolved Mention4"/>
    <w:basedOn w:val="1007"/>
    <w:uiPriority w:val="99"/>
    <w:semiHidden/>
    <w:unhideWhenUsed/>
    <w:pPr>
      <w:pBdr/>
      <w:spacing/>
      <w:ind/>
    </w:pPr>
    <w:rPr>
      <w:color w:val="605e5c"/>
      <w:shd w:val="clear" w:color="auto" w:fill="e1dfdd"/>
    </w:rPr>
  </w:style>
  <w:style w:type="character" w:styleId="1121">
    <w:name w:val="Unresolved Mention"/>
    <w:basedOn w:val="100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Thịnh</cp:lastModifiedBy>
  <cp:revision>280</cp:revision>
  <dcterms:created xsi:type="dcterms:W3CDTF">2025-09-15T09:58:00Z</dcterms:created>
  <dcterms:modified xsi:type="dcterms:W3CDTF">2026-06-01T07:47:53Z</dcterms:modified>
</cp:coreProperties>
</file>