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246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461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275/2026/0761/VFI-CT.44.A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Ngọc Mạnh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110, tờ bản đồ số: 37, có địa chỉ: Thôn Yên Lạc, xã Đồng Văn, huyện Yên Lạc, tỉnh Vĩnh Phúc (</w:t>
                            </w:r>
                            <w:r>
                              <w:rPr>
                                <w:i/>
                                <w:iCs/>
                                <w:color w:val="000000"/>
                              </w:rPr>
                              <w:t xml:space="preserve">nay là Thôn Yên Lạc, xã Tề Lỗ, tỉnh  Phú Thọ</w:t>
                            </w:r>
                            <w:r>
                              <w:rPr>
                                <w:color w:val="000000"/>
                              </w:rPr>
                              <w:t xml:space="preserve">) theo Giấy c</w:t>
                            </w:r>
                            <w:r>
                              <w:rPr>
                                <w:color w:val="000000"/>
                              </w:rPr>
                              <w:t xml:space="preserve">hứng nhận quyền sử dụng đất, quyền sở hữu nhà ở và tài sản khác gắn liền với đất số: DM 801000, Số vào sổ cấp GCN: CN 02519 do Chi nhánh Văn phòng đăng ký đất đai huyện Yên Lạc cấp ngày 22/11/2023; Chủ sử dụng đất là Ông Nguyễn Ngọc Mạnh và Bà Nguyễn Thị </w:t>
                            </w:r>
                            <w:r>
                              <w:rPr>
                                <w:color w:val="000000"/>
                                <w:highlight w:val="yellow"/>
                              </w:rPr>
                              <w:t xml:space="preserve">Lệ</w:t>
                            </w:r>
                            <w:r>
                              <w:rPr>
                                <w:bCs/>
                                <w:i/>
                                <w:iCs/>
                                <w:highlight w:val="yellow"/>
                              </w:rPr>
                              <w:t xml:space="preserve">.</w:t>
                            </w:r>
                            <w:r>
                              <w:rPr>
                                <w:bCs/>
                                <w:i/>
                                <w:iCs/>
                                <w:highlight w:val="yellow"/>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7.5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275/2026/0761/VFI-CT.44.A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Ngọc Mạnh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110, tờ bản đồ số: 37, có địa chỉ: Thôn Yên Lạc, xã Đồng Văn, huyện Yên Lạc, tỉnh Vĩnh Phúc (</w:t>
                      </w:r>
                      <w:r>
                        <w:rPr>
                          <w:i/>
                          <w:iCs/>
                          <w:color w:val="000000"/>
                        </w:rPr>
                        <w:t xml:space="preserve">nay là Thôn Yên Lạc, xã Tề Lỗ, tỉnh  Phú Thọ</w:t>
                      </w:r>
                      <w:r>
                        <w:rPr>
                          <w:color w:val="000000"/>
                        </w:rPr>
                        <w:t xml:space="preserve">) theo Giấy c</w:t>
                      </w:r>
                      <w:r>
                        <w:rPr>
                          <w:color w:val="000000"/>
                        </w:rPr>
                        <w:t xml:space="preserve">hứng nhận quyền sử dụng đất, quyền sở hữu nhà ở và tài sản khác gắn liền với đất số: DM 801000, Số vào sổ cấp GCN: CN 02519 do Chi nhánh Văn phòng đăng ký đất đai huyện Yên Lạc cấp ngày 22/11/2023; Chủ sử dụng đất là Ông Nguyễn Ngọc Mạnh và Bà Nguyễn Thị </w:t>
                      </w:r>
                      <w:r>
                        <w:rPr>
                          <w:color w:val="000000"/>
                          <w:highlight w:val="yellow"/>
                        </w:rPr>
                        <w:t xml:space="preserve">Lệ</w:t>
                      </w:r>
                      <w:r>
                        <w:rPr>
                          <w:bCs/>
                          <w:i/>
                          <w:iCs/>
                          <w:highlight w:val="yellow"/>
                        </w:rPr>
                        <w:t xml:space="preserve">.</w:t>
                      </w:r>
                      <w:r>
                        <w:rPr>
                          <w:bCs/>
                          <w:i/>
                          <w:iCs/>
                          <w:highlight w:val="yellow"/>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25-27</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28-32</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995" w:type="dxa"/>
        <w:tblBorders/>
        <w:tblLayout w:type="fixed"/>
        <w:tblLook w:val="04A0" w:firstRow="1" w:lastRow="0" w:firstColumn="1" w:lastColumn="0" w:noHBand="0" w:noVBand="1"/>
      </w:tblPr>
      <w:tblGrid>
        <w:gridCol w:w="856"/>
        <w:gridCol w:w="6056"/>
        <w:gridCol/>
        <w:gridCol w:w="4084"/>
        <w:gridCol/>
      </w:tblGrid>
      <w:tr>
        <w:trPr>
          <w:trHeight w:val="1152"/>
        </w:trPr>
        <w:tc>
          <w:tcPr>
            <w:gridSpan w:val="2"/>
            <w:tcBorders/>
            <w:tcW w:w="691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056"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275/2026/0761/VFI-CT.44.A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19 tháng 5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Ngọc Mạnh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275/2026/0761/VFI-HĐTĐ.44.A</w:t>
      </w:r>
      <w:r>
        <w:rPr>
          <w:spacing w:val="-4"/>
          <w:lang w:val="vi-VN"/>
        </w:rPr>
        <w:t xml:space="preserve"> ký ngày </w:t>
      </w:r>
      <w:r>
        <w:rPr>
          <w:color w:val="000000" w:themeColor="text1"/>
          <w:spacing w:val="-4"/>
        </w:rPr>
        <w:t xml:space="preserve">14 tháng 5 năm 2026</w:t>
      </w:r>
      <w:r>
        <w:rPr>
          <w:spacing w:val="-4"/>
          <w:lang w:val="vi-VN"/>
        </w:rPr>
        <w:t xml:space="preserve"> </w:t>
      </w:r>
      <w:r>
        <w:rPr>
          <w:spacing w:val="-4"/>
          <w:lang w:val="vi-VN"/>
        </w:rPr>
        <w:t xml:space="preserve">giữa </w:t>
      </w:r>
      <w:r>
        <w:rPr>
          <w:color w:val="000000" w:themeColor="text1"/>
          <w:spacing w:val="-4"/>
        </w:rPr>
        <w:t xml:space="preserve">Ông Nguyễn Ngọc Mạnh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275/2026/0761/VFI-BC.44.A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b/>
                <w:bCs/>
              </w:rPr>
            </w:pPr>
            <w:r>
              <w:rPr>
                <w:b/>
                <w:bCs/>
              </w:rPr>
            </w:r>
            <w:r>
              <w:rPr>
                <w:b/>
                <w:bCs/>
                <w:color w:val="000000" w:themeColor="text1"/>
                <w:spacing w:val="-4"/>
              </w:rPr>
              <w:t xml:space="preserve">Ông Nguyễn Ngọc Mạnh</w:t>
            </w:r>
            <w:r>
              <w:rPr>
                <w:b/>
                <w:bCs/>
              </w:rPr>
            </w:r>
            <w:r>
              <w:rPr>
                <w:b/>
                <w:bCs/>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026070001621</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88" w:lineRule="auto"/>
        <w:ind/>
        <w:jc w:val="both"/>
        <w:rPr>
          <w:b/>
          <w:bCs/>
          <w:highlight w:val="yellow"/>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110, tờ bản đồ số: 37, có địa chỉ: Thôn Yên Lạc, xã Đồng Văn, huyện Yên Lạc, tỉnh Vĩnh Phúc (</w:t>
      </w:r>
      <w:r>
        <w:rPr>
          <w:i/>
          <w:iCs/>
          <w:color w:val="000000" w:themeColor="text1"/>
        </w:rPr>
        <w:t xml:space="preserve">nay là Thôn Yên Lạc, xã Tề Lỗ, tỉnh  Phú Thọ)</w:t>
      </w:r>
      <w:r>
        <w:rPr>
          <w:color w:val="000000" w:themeColor="text1"/>
        </w:rPr>
        <w:t xml:space="preserve"> theo Giấy c</w:t>
      </w:r>
      <w:r>
        <w:rPr>
          <w:color w:val="000000" w:themeColor="text1"/>
        </w:rPr>
        <w:t xml:space="preserve">hứng nhận quyền sử dụng đất, quyền sở hữu nhà ở và tài sản khác gắn liền với đất số: DM 801000, Số vào sổ cấp GCN: CN 02519 do Chi nhánh Văn phòng đăng ký đất đai huyện Yên Lạc cấp ngày 22/11/2023; Chủ sử dụng đất là Ông Nguyễn Ngọc Mạnh và Bà Nguyễn Thị </w:t>
      </w:r>
      <w:r>
        <w:rPr>
          <w:color w:val="000000" w:themeColor="text1"/>
          <w:highlight w:val="yellow"/>
        </w:rPr>
        <w:t xml:space="preserve">Lệ</w:t>
      </w:r>
      <w:r>
        <w:rPr>
          <w:i/>
          <w:iCs/>
          <w:highlight w:val="yellow"/>
        </w:rPr>
        <w:t xml:space="preserve">.</w:t>
      </w:r>
      <w:r>
        <w:rPr>
          <w:b/>
          <w:bCs/>
          <w:highlight w:val="yellow"/>
        </w:rPr>
      </w:r>
      <w:r>
        <w:rPr>
          <w:b/>
          <w:bCs/>
          <w:highlight w:val="yellow"/>
        </w:rPr>
      </w:r>
    </w:p>
    <w:p>
      <w:pPr>
        <w:pBdr/>
        <w:spacing w:after="120" w:before="120" w:line="28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rPr>
          <w:highlight w:val="none"/>
          <w:lang w:val="vi-VN"/>
        </w:rPr>
      </w:r>
    </w:p>
    <w:tbl>
      <w:tblPr>
        <w:tblW w:w="498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3084"/>
        <w:gridCol w:w="1667"/>
        <w:gridCol w:w="181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8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6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1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6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110, tờ bản đồ số: 37, có địa chỉ: Thôn Yên Lạc, xã Đồng Văn, huyện Yên Lạc, tỉnh Vĩnh Phúc (</w:t>
            </w:r>
            <w:r>
              <w:rPr>
                <w:b/>
                <w:bCs/>
                <w:i/>
                <w:iCs/>
                <w:color w:val="000000"/>
              </w:rPr>
              <w:t xml:space="preserve">nay là Thôn Yên Lạc, xã Tề Lỗ, tỉnh  Phú Thọ</w:t>
            </w:r>
            <w:r>
              <w:rPr>
                <w:b/>
                <w:bCs/>
                <w:color w:val="000000"/>
              </w:rPr>
              <w:t xml:space="preserve">) theo Giấy c</w:t>
            </w:r>
            <w:r>
              <w:rPr>
                <w:b/>
                <w:bCs/>
                <w:color w:val="000000"/>
              </w:rPr>
              <w:t xml:space="preserve">hứng nhận quyền sử dụng đất quyền sở hữu nhà ở và tài sản khác gắn liền với đất số: DM 801000, Số vào sổ cấp GCN: CN 02519 do Chi nhánh Văn phòng đăng ký đất đai huyện Yên Lạc cấp ngày 22/11/2023; chủ sử dụng đất là Ông Nguyễn Ngọc Mạnh và Bà Nguyễn Thị</w:t>
            </w:r>
            <w:r>
              <w:rPr>
                <w:b/>
                <w:bCs/>
                <w:color w:val="000000"/>
                <w:highlight w:val="yellow"/>
              </w:rPr>
              <w:t xml:space="preserve"> Lệ</w:t>
            </w:r>
            <w:r>
              <w:rPr>
                <w:b/>
                <w:bCs/>
                <w:highlight w:val="yellow"/>
              </w:rPr>
              <w:t xml:space="preserve">.</w:t>
            </w:r>
            <w:r>
              <w:rPr>
                <w:b/>
                <w:bCs/>
                <w:highlight w:val="yellow"/>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p>
        </w:tc>
        <w:tc>
          <w:tcPr>
            <w:shd w:val="clear" w:color="000000" w:fill="ffffff"/>
            <w:tcBorders/>
            <w:tcW w:w="3084"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p>
        </w:tc>
        <w:tc>
          <w:tcPr>
            <w:tcBorders/>
            <w:tcW w:w="1667" w:type="dxa"/>
            <w:vAlign w:val="center"/>
            <w:textDirection w:val="lrTb"/>
            <w:noWrap/>
          </w:tcPr>
          <w:p>
            <w:pPr>
              <w:pBdr/>
              <w:spacing w:after="40" w:before="40" w:line="288" w:lineRule="auto"/>
              <w:ind/>
              <w:jc w:val="center"/>
              <w:rPr>
                <w:color w:val="000000"/>
              </w:rPr>
            </w:pPr>
            <w:r>
              <w:rPr>
                <w:color w:val="000000" w:themeColor="text1"/>
              </w:rPr>
              <w:t xml:space="preserve">208,0</w:t>
            </w:r>
            <w:r>
              <w:rPr>
                <w:color w:val="000000"/>
              </w:rPr>
            </w:r>
            <w:r>
              <w:rPr>
                <w:color w:val="000000"/>
              </w:rPr>
            </w:r>
          </w:p>
        </w:tc>
        <w:tc>
          <w:tcPr>
            <w:shd w:val="clear" w:color="000000" w:fill="ffffff"/>
            <w:tcBorders/>
            <w:tcW w:w="1816" w:type="dxa"/>
            <w:vAlign w:val="center"/>
            <w:textDirection w:val="lrTb"/>
            <w:noWrap w:val="false"/>
          </w:tcPr>
          <w:p>
            <w:pPr>
              <w:pBdr/>
              <w:spacing w:after="40" w:before="40" w:line="288" w:lineRule="auto"/>
              <w:ind/>
              <w:jc w:val="center"/>
              <w:rPr/>
            </w:pPr>
            <w:r>
              <w:rPr>
                <w:color w:val="000000" w:themeColor="text1"/>
              </w:rPr>
              <w:t xml:space="preserve">95.600.000</w:t>
            </w:r>
            <w:r/>
          </w:p>
        </w:tc>
        <w:tc>
          <w:tcPr>
            <w:shd w:val="clear" w:color="000000" w:fill="ffffff"/>
            <w:tcBorders/>
            <w:tcW w:w="2229" w:type="dxa"/>
            <w:vAlign w:val="center"/>
            <w:textDirection w:val="lrTb"/>
            <w:noWrap w:val="false"/>
          </w:tcPr>
          <w:p>
            <w:pPr>
              <w:pBdr/>
              <w:spacing w:after="40" w:before="40" w:line="288" w:lineRule="auto"/>
              <w:ind/>
              <w:jc w:val="right"/>
              <w:rPr/>
            </w:pPr>
            <w:r>
              <w:rPr>
                <w:color w:val="000000" w:themeColor="text1"/>
              </w:rPr>
              <w:t xml:space="preserve">19.844.800.000</w:t>
            </w: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p>
        </w:tc>
        <w:tc>
          <w:tcPr>
            <w:shd w:val="clear" w:color="000000" w:fill="ffffff"/>
            <w:tcBorders/>
            <w:tcW w:w="3084"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p>
        </w:tc>
        <w:tc>
          <w:tcPr>
            <w:tcBorders/>
            <w:tcW w:w="1667" w:type="dxa"/>
            <w:vAlign w:val="center"/>
            <w:textDirection w:val="lrTb"/>
            <w:noWrap/>
          </w:tcPr>
          <w:p>
            <w:pPr>
              <w:pBdr/>
              <w:spacing w:after="40" w:before="40" w:line="288" w:lineRule="auto"/>
              <w:ind/>
              <w:jc w:val="center"/>
              <w:rPr>
                <w:color w:val="000000"/>
              </w:rPr>
            </w:pPr>
            <w:r>
              <w:rPr>
                <w:color w:val="000000" w:themeColor="text1"/>
              </w:rPr>
              <w:t xml:space="preserve">80,0</w:t>
            </w:r>
            <w:r>
              <w:rPr>
                <w:color w:val="000000"/>
              </w:rPr>
            </w:r>
            <w:r>
              <w:rPr>
                <w:color w:val="000000"/>
              </w:rPr>
            </w:r>
          </w:p>
        </w:tc>
        <w:tc>
          <w:tcPr>
            <w:shd w:val="clear" w:color="000000" w:fill="ffffff"/>
            <w:tcBorders/>
            <w:tcW w:w="1816" w:type="dxa"/>
            <w:vAlign w:val="center"/>
            <w:textDirection w:val="lrTb"/>
            <w:noWrap w:val="false"/>
          </w:tcPr>
          <w:p>
            <w:pPr>
              <w:pBdr/>
              <w:spacing w:after="40" w:before="40" w:line="288" w:lineRule="auto"/>
              <w:ind/>
              <w:jc w:val="center"/>
              <w:rPr/>
            </w:pPr>
            <w:r>
              <w:rPr>
                <w:color w:val="000000" w:themeColor="text1"/>
              </w:rPr>
              <w:t xml:space="preserve">51.300.000</w:t>
            </w:r>
            <w:r/>
          </w:p>
        </w:tc>
        <w:tc>
          <w:tcPr>
            <w:shd w:val="clear" w:color="000000" w:fill="ffffff"/>
            <w:tcBorders/>
            <w:tcW w:w="2229" w:type="dxa"/>
            <w:vAlign w:val="center"/>
            <w:textDirection w:val="lrTb"/>
            <w:noWrap w:val="false"/>
          </w:tcPr>
          <w:p>
            <w:pPr>
              <w:pBdr/>
              <w:spacing w:after="40" w:before="40" w:line="288" w:lineRule="auto"/>
              <w:ind/>
              <w:jc w:val="right"/>
              <w:rPr/>
            </w:pPr>
            <w:r>
              <w:rPr>
                <w:color w:val="000000" w:themeColor="text1"/>
              </w:rPr>
              <w:t xml:space="preserve">4.104.000.000</w:t>
            </w:r>
            <w:r/>
          </w:p>
        </w:tc>
      </w:tr>
      <w:tr>
        <w:trPr>
          <w:trHeight w:val="20"/>
        </w:trPr>
        <w:tc>
          <w:tcPr>
            <w:gridSpan w:val="4"/>
            <w:tcBorders/>
            <w:tcW w:w="726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rPr>
                <w:b/>
                <w:bCs/>
              </w:rPr>
              <w:t xml:space="preserve">23.988.800.000</w:t>
            </w:r>
            <w:r>
              <w:rPr>
                <w:b/>
                <w:bCs/>
                <w:color w:val="000000"/>
              </w:rPr>
            </w:r>
            <w:r>
              <w:rPr>
                <w:b/>
                <w:bCs/>
                <w:color w:val="000000"/>
              </w:rPr>
            </w:r>
          </w:p>
        </w:tc>
      </w:tr>
      <w:tr>
        <w:trPr>
          <w:trHeight w:val="20"/>
        </w:trPr>
        <w:tc>
          <w:tcPr>
            <w:gridSpan w:val="4"/>
            <w:tcBorders/>
            <w:tcW w:w="7260"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2229" w:type="dxa"/>
            <w:vAlign w:val="center"/>
            <w:vMerge w:val="restart"/>
            <w:textDirection w:val="lrTb"/>
            <w:noWrap/>
          </w:tcPr>
          <w:p>
            <w:pPr>
              <w:pBdr/>
              <w:spacing w:after="40" w:before="40" w:line="288" w:lineRule="auto"/>
              <w:ind/>
              <w:jc w:val="right"/>
              <w:rPr>
                <w:b/>
                <w:bCs/>
              </w:rPr>
            </w:pPr>
            <w:r>
              <w:rPr>
                <w:b/>
                <w:bCs/>
              </w:rPr>
              <w:t xml:space="preserve">23.989.000.000</w:t>
            </w:r>
            <w:r>
              <w:rPr>
                <w:b/>
                <w:bCs/>
              </w:rPr>
            </w:r>
          </w:p>
        </w:tc>
      </w:tr>
      <w:tr>
        <w:trPr>
          <w:trHeight w:val="20"/>
        </w:trPr>
        <w:tc>
          <w:tcPr>
            <w:gridSpan w:val="5"/>
            <w:tcBorders/>
            <w:tcW w:w="9489"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ba tỷ, chín trăm tám mươi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1420" w:type="dxa"/>
        <w:tblBorders/>
        <w:tblLayout w:type="fixed"/>
        <w:tblLook w:val="04A0" w:firstRow="1" w:lastRow="0" w:firstColumn="1" w:lastColumn="0" w:noHBand="0" w:noVBand="1"/>
      </w:tblPr>
      <w:tblGrid>
        <w:gridCol w:w="856"/>
        <w:gridCol w:w="6481"/>
        <w:gridCol/>
        <w:gridCol w:w="4084"/>
        <w:gridCol/>
      </w:tblGrid>
      <w:tr>
        <w:trPr>
          <w:trHeight w:val="1843"/>
        </w:trPr>
        <w:tc>
          <w:tcPr>
            <w:gridSpan w:val="2"/>
            <w:tcBorders/>
            <w:tcW w:w="733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481"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275/2026/0761/VFI-BC.44.A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19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481" w:type="dxa"/>
            <w:textDirection w:val="lrTb"/>
            <w:noWrap w:val="false"/>
          </w:tcPr>
          <w:p>
            <w:pPr>
              <w:pStyle w:val="1036"/>
              <w:pBdr/>
              <w:spacing w:after="60"/>
              <w:ind/>
              <w:rPr>
                <w:rStyle w:val="1035"/>
                <w:rFonts w:ascii="Times New Roman" w:hAnsi="Times New Roman"/>
                <w:color w:val="000000" w:themeColor="text1"/>
                <w:lang w:val="pt-BR"/>
              </w:rPr>
            </w:pPr>
            <w:r>
              <w:rPr>
                <w:rStyle w:val="1035"/>
                <w:rFonts w:ascii="Times New Roman" w:hAnsi="Times New Roman"/>
                <w:color w:val="000000" w:themeColor="text1"/>
                <w:lang w:val="pt-BR"/>
              </w:rPr>
            </w:r>
            <w:r>
              <w:rPr>
                <w:rStyle w:val="1035"/>
                <w:rFonts w:ascii="Times New Roman" w:hAnsi="Times New Roman"/>
                <w:color w:val="000000" w:themeColor="text1"/>
                <w:lang w:val="pt-BR"/>
              </w:rPr>
            </w:r>
            <w:r>
              <w:rPr>
                <w:rStyle w:val="1035"/>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275/2026/0761/VFI-CT.44.A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b/>
                <w:bCs/>
              </w:rPr>
            </w:pPr>
            <w:r>
              <w:rPr>
                <w:b/>
                <w:bCs/>
              </w:rPr>
            </w:r>
            <w:r>
              <w:rPr>
                <w:b/>
                <w:bCs/>
                <w:color w:val="000000" w:themeColor="text1"/>
                <w:spacing w:val="-4"/>
              </w:rPr>
              <w:t xml:space="preserve">Ông Nguyễn Ngọc Mạnh</w:t>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026070001621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110, tờ bản đồ số: 37, có địa chỉ: Thôn Yên Lạc, xã Đồng Văn, huyện Yên Lạc, tỉnh Vĩnh Phúc (n</w:t>
            </w:r>
            <w:r>
              <w:rPr>
                <w:bCs/>
                <w:i/>
                <w:iCs/>
                <w:color w:val="000000" w:themeColor="text1"/>
                <w:lang w:val="pt-BR"/>
              </w:rPr>
              <w:t xml:space="preserve">ay là Thôn Yên Lạc, xã Tề Lỗ, tỉnh  Phú Thọ</w:t>
            </w:r>
            <w:r>
              <w:rPr>
                <w:bCs/>
                <w:color w:val="000000" w:themeColor="text1"/>
                <w:lang w:val="pt-BR"/>
              </w:rPr>
              <w:t xml:space="preserve">) theo Giấy c</w:t>
            </w:r>
            <w:r>
              <w:rPr>
                <w:bCs/>
                <w:color w:val="000000" w:themeColor="text1"/>
                <w:lang w:val="pt-BR"/>
              </w:rPr>
              <w:t xml:space="preserve">hứng nhận quyền sử dụng đất quyền sở hữu nhà ở và tài sản khác gắn liền với đất số: DM 801000, Số vào sổ cấp GCN: CN 02519 do Chi nhánh Văn phòng đăng ký đất đai huyện Yên Lạc cấp ngày 22/11/2023; Chủ sử dụng đất là Ông Nguyễn Ngọc Mạnh và Bà Nguyễn Thị Lệ</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Tề Lỗ,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21.2580843, 105.5418689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w:t>
      </w:r>
      <w:r>
        <w:rPr>
          <w:bCs/>
          <w:color w:val="000000" w:themeColor="text1"/>
          <w:lang w:val="pt-BR"/>
        </w:rPr>
        <w:t xml:space="preserve">hứng nhận quyền sử dụng đất quyền sở hữu nhà ở và tài sản khác gắn liền với đất số: DM 801000, Số vào sổ cấp GCN: CN 02519 do Chi nhánh Văn phòng đăng ký đất đai huyện Yên Lạc cấp ngày 22/11/2023; Chủ sử dụng đất là Ông Nguyễn Ngọc Mạnh và Bà Nguyễn Thị Lệ</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275/2026/0761/VFI-HĐTĐ.44.A ngày</w:t>
      </w:r>
      <w:r>
        <w:rPr>
          <w:color w:val="ff0000"/>
          <w:lang w:val="pt-BR"/>
        </w:rPr>
        <w:t xml:space="preserve"> 14/5/2026 </w:t>
      </w:r>
      <w:r>
        <w:rPr>
          <w:color w:val="000000" w:themeColor="text1"/>
          <w:lang w:val="pt-BR"/>
        </w:rPr>
        <w:t xml:space="preserve">giữa Ông Nguyễn Ngọc Mạnh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7966"/>
        </w:tabs>
        <w:spacing w:after="24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color w:val="000000"/>
          <w:sz w:val="24"/>
          <w:szCs w:val="24"/>
          <w:u w:val="none"/>
        </w:rPr>
        <w:t xml:space="preserve">Bất động sản Vĩnh P</w:t>
      </w:r>
      <w:r>
        <w:rPr>
          <w:rFonts w:ascii="Times New Roman" w:hAnsi="Times New Roman" w:eastAsia="Times New Roman" w:cs="Times New Roman"/>
          <w:color w:val="000000"/>
          <w:sz w:val="24"/>
          <w:szCs w:val="24"/>
          <w:highlight w:val="white"/>
          <w:u w:val="none"/>
        </w:rPr>
        <w:t xml:space="preserve">húc </w:t>
      </w:r>
      <w:r>
        <w:rPr>
          <w:rFonts w:ascii="Times New Roman" w:hAnsi="Times New Roman" w:eastAsia="Times New Roman" w:cs="Times New Roman"/>
          <w:b/>
          <w:color w:val="000000"/>
          <w:sz w:val="24"/>
          <w:szCs w:val="24"/>
          <w:highlight w:val="white"/>
          <w:u w:val="none"/>
        </w:rPr>
        <w:t xml:space="preserve">là thị trường vệ tinh giàu tiềm năng nhờ vị trí tiếp giáp thủ đô, hạ tầng giao thông kết nối đồng bộ và nền công nghiệp phát triển mạnh</w:t>
      </w:r>
      <w:r>
        <w:rPr>
          <w:rFonts w:ascii="Times New Roman" w:hAnsi="Times New Roman" w:eastAsia="Times New Roman" w:cs="Times New Roman"/>
          <w:color w:val="000000"/>
          <w:sz w:val="24"/>
          <w:szCs w:val="24"/>
          <w:highlight w:val="white"/>
        </w:rPr>
        <w:t xml:space="preserve">. Nhu cầu nhà ở và đầu tư tập trung chủ yếu vào phân khúc đất nền và bất động sản công nghiệp. </w:t>
      </w:r>
      <w:r>
        <w:rPr>
          <w:rFonts w:ascii="Times New Roman" w:hAnsi="Times New Roman" w:eastAsia="Times New Roman" w:cs="Times New Roman"/>
          <w:sz w:val="24"/>
          <w:szCs w:val="24"/>
        </w:rPr>
        <w:tab/>
      </w:r>
      <w:r>
        <w:rPr>
          <w:rFonts w:ascii="Times New Roman" w:hAnsi="Times New Roman" w:cs="Times New Roman"/>
          <w:szCs w:val="24"/>
        </w:rPr>
      </w:r>
      <w:r>
        <w:rPr>
          <w:rFonts w:ascii="Times New Roman" w:hAnsi="Times New Roman" w:cs="Times New Roman"/>
          <w:szCs w:val="24"/>
        </w:rPr>
      </w:r>
    </w:p>
    <w:p>
      <w:pPr>
        <w:pBdr>
          <w:top w:val="none" w:color="000000" w:sz="4" w:space="0"/>
          <w:left w:val="none" w:color="000000" w:sz="4" w:space="0"/>
          <w:bottom w:val="none" w:color="000000" w:sz="4" w:space="0"/>
          <w:right w:val="none" w:color="000000" w:sz="4" w:space="0"/>
        </w:pBdr>
        <w:spacing w:after="180" w:before="36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1. Lợi thế vị trí và kinh tế</w:t>
      </w:r>
      <w:r>
        <w:rPr>
          <w:rFonts w:ascii="Times New Roman" w:hAnsi="Times New Roman" w:cs="Times New Roman"/>
          <w:sz w:val="24"/>
          <w:szCs w:val="24"/>
        </w:rPr>
      </w:r>
      <w:r>
        <w:rPr>
          <w:rFonts w:ascii="Times New Roman" w:hAnsi="Times New Roman" w:cs="Times New Roman"/>
          <w:sz w:val="24"/>
          <w:szCs w:val="24"/>
        </w:rPr>
      </w:r>
    </w:p>
    <w:p>
      <w:pPr>
        <w:pStyle w:val="1037"/>
        <w:numPr>
          <w:ilvl w:val="0"/>
          <w:numId w:val="39"/>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Vị trí chiến lược:</w:t>
      </w:r>
      <w:r>
        <w:rPr>
          <w:rFonts w:ascii="Times New Roman" w:hAnsi="Times New Roman" w:eastAsia="Times New Roman" w:cs="Times New Roman"/>
          <w:color w:val="000000"/>
          <w:sz w:val="24"/>
          <w:szCs w:val="24"/>
          <w:u w:val="none"/>
        </w:rPr>
        <w:t xml:space="preserve"> Nằm trong vùng kinh tế trọng điểm Bắc Bộ, cửa ngõ phía Tây Bắc của Hà Nội.</w:t>
      </w:r>
      <w:r>
        <w:rPr>
          <w:rFonts w:ascii="Times New Roman" w:hAnsi="Times New Roman" w:cs="Times New Roman"/>
          <w:szCs w:val="24"/>
        </w:rPr>
      </w:r>
      <w:r>
        <w:rPr>
          <w:rFonts w:ascii="Times New Roman" w:hAnsi="Times New Roman" w:cs="Times New Roman"/>
          <w:szCs w:val="24"/>
        </w:rPr>
      </w:r>
    </w:p>
    <w:p>
      <w:pPr>
        <w:pStyle w:val="1037"/>
        <w:numPr>
          <w:ilvl w:val="0"/>
          <w:numId w:val="39"/>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Thủ phủ công nghiệp:</w:t>
      </w:r>
      <w:r>
        <w:rPr>
          <w:rFonts w:ascii="Times New Roman" w:hAnsi="Times New Roman" w:eastAsia="Times New Roman" w:cs="Times New Roman"/>
          <w:color w:val="000000"/>
          <w:sz w:val="24"/>
          <w:szCs w:val="24"/>
          <w:u w:val="none"/>
        </w:rPr>
        <w:t xml:space="preserve"> Là trung tâm thu hút vốn FDI hàng đầu miền Bắc với nhiều khu công nghiệp lớn như Khai Quang, Bình Xuyên, Bá Thiện. Điều này tạo ra nhu cầu rất lớn về nhà ở, đặc biệt từ các chuyên gia, kỹ sư và người lao động.</w:t>
      </w:r>
      <w:r>
        <w:rPr>
          <w:rFonts w:ascii="Times New Roman" w:hAnsi="Times New Roman" w:cs="Times New Roman"/>
          <w:szCs w:val="24"/>
        </w:rPr>
      </w:r>
      <w:r>
        <w:rPr>
          <w:rFonts w:ascii="Times New Roman" w:hAnsi="Times New Roman" w:cs="Times New Roman"/>
          <w:szCs w:val="24"/>
        </w:rPr>
      </w:r>
    </w:p>
    <w:p>
      <w:pPr>
        <w:pStyle w:val="1037"/>
        <w:numPr>
          <w:ilvl w:val="0"/>
          <w:numId w:val="39"/>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Du lịch:</w:t>
      </w:r>
      <w:r>
        <w:rPr>
          <w:rFonts w:ascii="Times New Roman" w:hAnsi="Times New Roman" w:eastAsia="Times New Roman" w:cs="Times New Roman"/>
          <w:color w:val="000000"/>
          <w:sz w:val="24"/>
          <w:szCs w:val="24"/>
          <w:u w:val="none"/>
        </w:rPr>
        <w:t xml:space="preserve"> Khu du lịch quốc gia Tam Đảo và hồ Đại Lải thúc đẩy mạnh mẽ phân khúc bất động sản nghỉ dưỡng ven đô và giải trí.</w:t>
      </w: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p>
      <w:pPr>
        <w:pBdr>
          <w:top w:val="none" w:color="000000" w:sz="4" w:space="0"/>
          <w:left w:val="none" w:color="000000" w:sz="4" w:space="0"/>
          <w:bottom w:val="none" w:color="000000" w:sz="4" w:space="0"/>
          <w:right w:val="none" w:color="000000" w:sz="4" w:space="0"/>
        </w:pBdr>
        <w:spacing w:after="180" w:before="36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2. Phân khúc bất động sản nổi bật</w:t>
      </w:r>
      <w:r>
        <w:rPr>
          <w:rFonts w:ascii="Times New Roman" w:hAnsi="Times New Roman" w:cs="Times New Roman"/>
          <w:sz w:val="24"/>
          <w:szCs w:val="24"/>
        </w:rPr>
      </w:r>
      <w:r>
        <w:rPr>
          <w:rFonts w:ascii="Times New Roman" w:hAnsi="Times New Roman" w:cs="Times New Roman"/>
          <w:sz w:val="24"/>
          <w:szCs w:val="24"/>
        </w:rPr>
      </w:r>
    </w:p>
    <w:p>
      <w:pPr>
        <w:pStyle w:val="1037"/>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Đất nền, nhà phố:</w:t>
      </w:r>
      <w:r>
        <w:rPr>
          <w:rFonts w:ascii="Times New Roman" w:hAnsi="Times New Roman" w:eastAsia="Times New Roman" w:cs="Times New Roman"/>
          <w:color w:val="000000"/>
          <w:sz w:val="24"/>
          <w:szCs w:val="24"/>
          <w:u w:val="none"/>
        </w:rPr>
        <w:t xml:space="preserve"> Tập trung tại các khu vực lõi trung tâm như thành phố Vĩnh Yên và thành phố Phúc Yên. Các dự án được quy hoạch bài bản thu hút giới đầu tư nhờ tính thanh khoản tốt.</w:t>
      </w:r>
      <w:r>
        <w:rPr>
          <w:rFonts w:ascii="Times New Roman" w:hAnsi="Times New Roman" w:cs="Times New Roman"/>
          <w:szCs w:val="24"/>
        </w:rPr>
      </w:r>
      <w:r>
        <w:rPr>
          <w:rFonts w:ascii="Times New Roman" w:hAnsi="Times New Roman" w:cs="Times New Roman"/>
          <w:szCs w:val="24"/>
        </w:rPr>
      </w:r>
    </w:p>
    <w:p>
      <w:pPr>
        <w:pStyle w:val="1037"/>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Bất động sản khu công nghiệp/Logistics:</w:t>
      </w:r>
      <w:r>
        <w:rPr>
          <w:rFonts w:ascii="Times New Roman" w:hAnsi="Times New Roman" w:eastAsia="Times New Roman" w:cs="Times New Roman"/>
          <w:color w:val="000000"/>
          <w:sz w:val="24"/>
          <w:szCs w:val="24"/>
          <w:u w:val="none"/>
        </w:rPr>
        <w:t xml:space="preserve"> Đất xây dựng nhà xưởng, kho bãi tại các huyện Bình Xuyên, Tam Dương tiếp tục là điểm sáng thu hút dòng vốn doanh nghiệp.</w:t>
      </w:r>
      <w:r>
        <w:rPr>
          <w:rFonts w:ascii="Times New Roman" w:hAnsi="Times New Roman" w:cs="Times New Roman"/>
          <w:szCs w:val="24"/>
        </w:rPr>
      </w:r>
      <w:r>
        <w:rPr>
          <w:rFonts w:ascii="Times New Roman" w:hAnsi="Times New Roman" w:cs="Times New Roman"/>
          <w:szCs w:val="24"/>
        </w:rPr>
      </w:r>
    </w:p>
    <w:p>
      <w:pPr>
        <w:pStyle w:val="1037"/>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Bất động sản sinh thái, nghỉ dưỡng:</w:t>
      </w:r>
      <w:r>
        <w:rPr>
          <w:rFonts w:ascii="Times New Roman" w:hAnsi="Times New Roman" w:eastAsia="Times New Roman" w:cs="Times New Roman"/>
          <w:color w:val="000000"/>
          <w:sz w:val="24"/>
          <w:szCs w:val="24"/>
          <w:u w:val="none"/>
        </w:rPr>
        <w:t xml:space="preserve"> Các khu biệt thự, condotel quanh khu vực Tam Đảo và Đại Lải là lựa chọn lý tưởng cho xu hướng đầu tư second-home (ngôi nhà thứ hai).</w:t>
      </w: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p>
      <w:pPr>
        <w:pBdr>
          <w:top w:val="none" w:color="000000" w:sz="4" w:space="0"/>
          <w:left w:val="none" w:color="000000" w:sz="4" w:space="0"/>
          <w:bottom w:val="none" w:color="000000" w:sz="4" w:space="0"/>
          <w:right w:val="none" w:color="000000" w:sz="4" w:space="0"/>
        </w:pBdr>
        <w:spacing w:after="180" w:before="360"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3. Quy hoạch và hạ tầng đáng chú ý</w:t>
      </w:r>
      <w:r>
        <w:rPr>
          <w:rFonts w:ascii="Times New Roman" w:hAnsi="Times New Roman" w:cs="Times New Roman"/>
          <w:sz w:val="24"/>
          <w:szCs w:val="24"/>
        </w:rPr>
      </w:r>
      <w:r>
        <w:rPr>
          <w:rFonts w:ascii="Times New Roman" w:hAnsi="Times New Roman" w:cs="Times New Roman"/>
          <w:sz w:val="24"/>
          <w:szCs w:val="24"/>
        </w:rPr>
      </w:r>
    </w:p>
    <w:p>
      <w:pPr>
        <w:pStyle w:val="1037"/>
        <w:numPr>
          <w:ilvl w:val="0"/>
          <w:numId w:val="41"/>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Kết nối giao thông:</w:t>
      </w:r>
      <w:r>
        <w:rPr>
          <w:rFonts w:ascii="Times New Roman" w:hAnsi="Times New Roman" w:eastAsia="Times New Roman" w:cs="Times New Roman"/>
          <w:color w:val="000000"/>
          <w:sz w:val="24"/>
          <w:szCs w:val="24"/>
          <w:u w:val="none"/>
        </w:rPr>
        <w:t xml:space="preserve"> Nâng cấp mở rộng các tuyến huyết mạch như Quốc lộ 2, Quốc lộ 2C và đường cao tốc Nội Bài - Lào Cai, giúp rút ngắn thời gian di chuyển từ Vĩnh Phúc về trung tâm Hà Nội chỉ còn khoảng 45 phút.</w:t>
      </w:r>
      <w:r>
        <w:rPr>
          <w:rFonts w:ascii="Times New Roman" w:hAnsi="Times New Roman" w:cs="Times New Roman"/>
          <w:szCs w:val="24"/>
        </w:rPr>
      </w:r>
      <w:r>
        <w:rPr>
          <w:rFonts w:ascii="Times New Roman" w:hAnsi="Times New Roman" w:cs="Times New Roman"/>
          <w:szCs w:val="24"/>
        </w:rPr>
      </w:r>
    </w:p>
    <w:p>
      <w:pPr>
        <w:pStyle w:val="1037"/>
        <w:numPr>
          <w:ilvl w:val="0"/>
          <w:numId w:val="41"/>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Định hướng phát triển:</w:t>
      </w:r>
      <w:r>
        <w:rPr>
          <w:rFonts w:ascii="Times New Roman" w:hAnsi="Times New Roman" w:eastAsia="Times New Roman" w:cs="Times New Roman"/>
          <w:color w:val="000000"/>
          <w:sz w:val="24"/>
          <w:szCs w:val="24"/>
          <w:u w:val="none"/>
        </w:rPr>
        <w:t xml:space="preserve"> Tỉnh chú trọng phát triển không gian đô thị theo hướng đồng bộ, xanh, thông minh, gắn liền với các công trình tiện ích và dịch vụ thương mại chất lượng cao.</w:t>
      </w:r>
      <w:r>
        <w:rPr>
          <w:rFonts w:ascii="Times New Roman" w:hAnsi="Times New Roman" w:cs="Times New Roman"/>
          <w:szCs w:val="24"/>
        </w:rPr>
      </w:r>
      <w:r>
        <w:rPr>
          <w:rFonts w:ascii="Times New Roman" w:hAnsi="Times New Roman" w:cs="Times New Roman"/>
          <w:szCs w:val="24"/>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21"/>
        <w:gridCol w:w="1953"/>
        <w:gridCol w:w="2258"/>
        <w:gridCol w:w="2700"/>
      </w:tblGrid>
      <w:tr>
        <w:trPr>
          <w:trHeight w:val="189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jc w:val="both"/>
              <w:rPr/>
            </w:pPr>
            <w:r>
              <w:rPr>
                <w:rFonts w:ascii="Times New Roman" w:hAnsi="Times New Roman" w:eastAsia="Times New Roman" w:cs="Times New Roman"/>
                <w:b/>
                <w:color w:val="000000"/>
                <w:sz w:val="24"/>
              </w:rPr>
              <w:t xml:space="preserve">Quyền sử dụng đất tại thửa đất số: 110, tờ bản đồ số: 37, có địa chỉ: Thôn Yên Lạc, xã Đồng Văn, huyện Yên Lạc, tỉnh Vĩnh Phúc (</w:t>
            </w:r>
            <w:r>
              <w:rPr>
                <w:rFonts w:ascii="Times New Roman" w:hAnsi="Times New Roman" w:eastAsia="Times New Roman" w:cs="Times New Roman"/>
                <w:b/>
                <w:i/>
                <w:iCs/>
                <w:color w:val="000000"/>
                <w:sz w:val="24"/>
              </w:rPr>
              <w:t xml:space="preserve">nay là Thôn Yên Lạc, xã Tề Lỗ, tỉnh  Phú Thọ</w:t>
            </w:r>
            <w:r>
              <w:rPr>
                <w:rFonts w:ascii="Times New Roman" w:hAnsi="Times New Roman" w:eastAsia="Times New Roman" w:cs="Times New Roman"/>
                <w:b/>
                <w:color w:val="000000"/>
                <w:sz w:val="24"/>
              </w:rPr>
              <w:t xml:space="preserve">) theo Giấy chứng nhận quyền sử dụng đất quyền sở hữu nhà ở và tài sản khác gắn li</w:t>
            </w:r>
            <w:r>
              <w:rPr>
                <w:rFonts w:ascii="Times New Roman" w:hAnsi="Times New Roman" w:eastAsia="Times New Roman" w:cs="Times New Roman"/>
                <w:b/>
                <w:color w:val="000000"/>
                <w:sz w:val="24"/>
              </w:rPr>
              <w:t xml:space="preserve">ền với đất số: DM 801000, Số vào sổ cấp GCN: CN 02519 do Chi nhánh Văn phòng đăng ký đất đai huyện Yên Lạc cấp ngày 22/11/2023; Chủ sử dụng đất là Ông Nguyễn Ngọc Mạnh và Bà Nguyễn Thị Lệ.</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110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37</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11" w:type="dxa"/>
            <w:vAlign w:val="center"/>
            <w:textDirection w:val="lrTb"/>
            <w:noWrap w:val="false"/>
          </w:tcPr>
          <w:p>
            <w:pPr>
              <w:pBdr/>
              <w:spacing w:after="0" w:before="0" w:line="240" w:lineRule="auto"/>
              <w:ind w:right="61" w:firstLine="0" w:left="142"/>
              <w:jc w:val="both"/>
              <w:rPr>
                <w:bCs/>
                <w:i/>
              </w:rPr>
            </w:pPr>
            <w:r>
              <w:rPr>
                <w:rFonts w:ascii="Times New Roman" w:hAnsi="Times New Roman" w:eastAsia="Times New Roman" w:cs="Times New Roman"/>
                <w:color w:val="000000"/>
                <w:sz w:val="24"/>
              </w:rPr>
              <w:t xml:space="preserve">Thôn Yên Lạc, xã Đồng Văn, huyện Yên Lạc, tỉnh Vĩnh Phúc (n</w:t>
            </w:r>
            <w:r>
              <w:rPr>
                <w:rFonts w:ascii="Times New Roman" w:hAnsi="Times New Roman" w:eastAsia="Times New Roman" w:cs="Times New Roman"/>
                <w:i/>
                <w:iCs/>
                <w:color w:val="000000"/>
                <w:sz w:val="24"/>
              </w:rPr>
              <w:t xml:space="preserve">ay là Thôn Yên Lạc, xã Tề Lỗ, tỉnh  Phú Thọ).</w:t>
            </w:r>
            <w:r>
              <w:rPr>
                <w:i/>
                <w:iCs/>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288,0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Sử dụng riêng</w:t>
            </w:r>
            <w:r/>
          </w:p>
        </w:tc>
      </w:tr>
      <w:tr>
        <w:trPr>
          <w:trHeight w:val="6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2"/>
              </w:rPr>
              <w:t xml:space="preserve">Đất ở: 208m</w:t>
            </w:r>
            <w:r>
              <w:rPr>
                <w:rFonts w:ascii="Times New Roman" w:hAnsi="Times New Roman" w:eastAsia="Times New Roman" w:cs="Times New Roman"/>
                <w:color w:val="000000"/>
                <w:sz w:val="22"/>
                <w:vertAlign w:val="superscript"/>
              </w:rPr>
              <w:t xml:space="preserve">2</w:t>
            </w:r>
            <w:r>
              <w:rPr>
                <w:rFonts w:ascii="Times New Roman" w:hAnsi="Times New Roman" w:eastAsia="Times New Roman" w:cs="Times New Roman"/>
                <w:color w:val="000000"/>
                <w:sz w:val="22"/>
              </w:rPr>
              <w:t xml:space="preserve">; Đất CLN: 80m</w:t>
            </w:r>
            <w:r>
              <w:rPr>
                <w:rFonts w:ascii="Times New Roman" w:hAnsi="Times New Roman" w:eastAsia="Times New Roman" w:cs="Times New Roman"/>
                <w:color w:val="000000"/>
                <w:sz w:val="22"/>
                <w:vertAlign w:val="superscript"/>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Đất ở: lâu dài; Đất CLN: 15/10/2043</w:t>
            </w:r>
            <w:r/>
          </w:p>
        </w:tc>
      </w:tr>
      <w:tr>
        <w:trPr>
          <w:trHeight w:val="6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vMerge w:val="restart"/>
            <w:textDirection w:val="lrTb"/>
            <w:noWrap w:val="false"/>
          </w:tcPr>
          <w:p>
            <w:pPr>
              <w:pBdr/>
              <w:spacing w:after="0" w:before="0" w:line="240" w:lineRule="auto"/>
              <w:ind w:right="61" w:firstLine="0" w:left="142"/>
              <w:rPr>
                <w:rFonts w:ascii="Times New Roman" w:hAnsi="Times New Roman" w:eastAsia="Times New Roman" w:cs="Times New Roman"/>
                <w:color w:val="ff0000"/>
                <w:sz w:val="24"/>
              </w:rPr>
            </w:pPr>
            <w:r>
              <w:rPr>
                <w:rFonts w:ascii="Times New Roman" w:hAnsi="Times New Roman" w:eastAsia="Times New Roman" w:cs="Times New Roman"/>
                <w:color w:val="ff0000"/>
                <w:sz w:val="24"/>
              </w:rPr>
              <w:t xml:space="preserve">Nguồn gốc sử dụng đất:</w:t>
            </w:r>
            <w:r>
              <w:rPr>
                <w:rFonts w:ascii="Times New Roman" w:hAnsi="Times New Roman" w:eastAsia="Times New Roman" w:cs="Times New Roman"/>
                <w:color w:val="ff0000"/>
                <w:sz w:val="24"/>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11" w:type="dxa"/>
            <w:vAlign w:val="center"/>
            <w:vMerge w:val="restart"/>
            <w:textDirection w:val="lrTb"/>
            <w:noWrap w:val="false"/>
          </w:tcPr>
          <w:p>
            <w:pPr>
              <w:pBdr/>
              <w:spacing w:after="0" w:before="0" w:line="240" w:lineRule="auto"/>
              <w:ind w:right="61" w:firstLine="0" w:left="142"/>
              <w:jc w:val="both"/>
              <w:rPr>
                <w:rFonts w:ascii="Times New Roman" w:hAnsi="Times New Roman" w:eastAsia="Times New Roman" w:cs="Times New Roman"/>
                <w:color w:val="ff0000"/>
                <w:sz w:val="24"/>
              </w:rPr>
            </w:pPr>
            <w:r>
              <w:rPr>
                <w:rFonts w:ascii="Times New Roman" w:hAnsi="Times New Roman" w:eastAsia="Times New Roman" w:cs="Times New Roman"/>
                <w:color w:val="ff0000"/>
                <w:sz w:val="24"/>
              </w:rPr>
              <w:t xml:space="preserve">Nhận QSDĐ theo Văn bản thoả thuận nhập tài sản riêng vào tài sản chung đất được Công nhận QSDĐ như giao đất có thu tiền sử dụng đất: 208m</w:t>
            </w:r>
            <w:r>
              <w:rPr>
                <w:rFonts w:ascii="Times New Roman" w:hAnsi="Times New Roman" w:eastAsia="Times New Roman" w:cs="Times New Roman"/>
                <w:color w:val="ff0000"/>
                <w:sz w:val="24"/>
                <w:vertAlign w:val="superscript"/>
              </w:rPr>
              <w:t xml:space="preserve">2</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ff0000"/>
                <w:sz w:val="24"/>
              </w:rPr>
              <w:t xml:space="preserve">Nhận QSDĐ theo Văn bản thoả thuận nhập tài sản riêng vào tài sản chung đất được Công nhận QSDĐ như giao đất có thu tiền sử dụng đất: 80m</w:t>
            </w:r>
            <w:r>
              <w:rPr>
                <w:rFonts w:ascii="Times New Roman" w:hAnsi="Times New Roman" w:eastAsia="Times New Roman" w:cs="Times New Roman"/>
                <w:color w:val="ff0000"/>
                <w:sz w:val="24"/>
                <w:vertAlign w:val="superscript"/>
              </w:rPr>
              <w:t xml:space="preserve">2</w:t>
            </w:r>
            <w:r>
              <w:rPr>
                <w:rFonts w:ascii="Times New Roman" w:hAnsi="Times New Roman" w:eastAsia="Times New Roman" w:cs="Times New Roman"/>
                <w:color w:val="ff0000"/>
                <w:sz w:val="24"/>
              </w:rPr>
              <w:t xml:space="preserve">.</w:t>
            </w:r>
            <w:r>
              <w:rPr>
                <w:rFonts w:ascii="Times New Roman" w:hAnsi="Times New Roman" w:eastAsia="Times New Roman" w:cs="Times New Roman"/>
                <w:color w:val="ff0000"/>
                <w:sz w:val="24"/>
              </w:rPr>
            </w:r>
            <w:r>
              <w:rPr>
                <w:rFonts w:ascii="Times New Roman" w:hAnsi="Times New Roman" w:eastAsia="Times New Roman" w:cs="Times New Roman"/>
                <w:color w:val="ff0000"/>
                <w:sz w:val="24"/>
              </w:rPr>
            </w:r>
          </w:p>
        </w:tc>
      </w:tr>
      <w:tr>
        <w:trPr>
          <w:trHeight w:val="3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Ghi chú: ./.</w:t>
            </w:r>
            <w:r/>
          </w:p>
        </w:tc>
      </w:tr>
      <w:tr>
        <w:trPr>
          <w:trHeight w:val="3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jc w:val="both"/>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42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Về đất:</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Vị trí; Giao thông:</w:t>
            </w:r>
            <w:r/>
          </w:p>
        </w:tc>
      </w:tr>
      <w:tr>
        <w:trPr>
          <w:trHeight w:val="37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1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Thôn Yên Lạc, xã Tề Lỗ, tỉnh Phú Thọ.</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Tiếp giáp DT 303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Lô góc, 02 mặt tiền</w:t>
            </w:r>
            <w:r/>
          </w:p>
        </w:tc>
      </w:tr>
      <w:tr>
        <w:trPr>
          <w:trHeight w:val="127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10m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10m</w:t>
            </w:r>
            <w:r/>
          </w:p>
        </w:tc>
      </w:tr>
      <w:tr>
        <w:trPr>
          <w:trHeight w:val="64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1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Tiếp giáp DT 303</w:t>
            </w:r>
            <w:r/>
          </w:p>
        </w:tc>
      </w:tr>
      <w:tr>
        <w:trPr>
          <w:trHeight w:val="89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1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 Hướng Tây Nam: tiếp giáp đường giao thông rộng 10m;</w:t>
              <w:br/>
              <w:t xml:space="preserve">+ Hướng Tây Bắc: tiếp giáp ngõ giao thông rộng 4,5m;</w:t>
              <w:br/>
              <w:t xml:space="preserve">+ Các hường còn lại: tiếp giáp thửa đất khác.</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jc w:val="center"/>
              <w:rPr/>
            </w:pPr>
            <w:r>
              <mc:AlternateContent>
                <mc:Choice Requires="wpg">
                  <w:drawing>
                    <wp:inline xmlns:wp="http://schemas.openxmlformats.org/drawingml/2006/wordprocessingDrawing" distT="0" distB="0" distL="0" distR="0">
                      <wp:extent cx="5740590" cy="266223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35399" name=""/>
                              <pic:cNvPicPr>
                                <a:picLocks noChangeAspect="1"/>
                              </pic:cNvPicPr>
                              <pic:nvPr/>
                            </pic:nvPicPr>
                            <pic:blipFill rotWithShape="1">
                              <a:blip r:embed="rId17"/>
                              <a:stretch/>
                            </pic:blipFill>
                            <pic:spPr bwMode="auto">
                              <a:xfrm flipH="0" flipV="0">
                                <a:off x="0" y="0"/>
                                <a:ext cx="5740589" cy="26622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2.01pt;height:209.62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288,0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0,0</w:t>
            </w:r>
            <w:r/>
          </w:p>
        </w:tc>
      </w:tr>
      <w:tr>
        <w:trPr>
          <w:trHeight w:val="49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14,0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24,0</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Hình dáng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Tây Nam</w:t>
            </w:r>
            <w:r/>
          </w:p>
        </w:tc>
      </w:tr>
      <w:tr>
        <w:trPr>
          <w:trHeight w:val="49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Ổn định</w:t>
            </w:r>
            <w:r/>
          </w:p>
        </w:tc>
      </w:tr>
      <w:tr>
        <w:trPr>
          <w:trHeight w:val="9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Khá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Tốt </w:t>
            </w:r>
            <w:r/>
          </w:p>
        </w:tc>
      </w:tr>
      <w:tr>
        <w:trPr>
          <w:trHeight w:val="146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1"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3"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8"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color w:val="000000"/>
                <w:sz w:val="24"/>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700" w:type="dxa"/>
            <w:vAlign w:val="center"/>
            <w:textDirection w:val="lrTb"/>
            <w:noWrap w:val="false"/>
          </w:tcPr>
          <w:p>
            <w:pPr>
              <w:pBdr/>
              <w:spacing w:after="0" w:before="0" w:line="240" w:lineRule="auto"/>
              <w:ind w:right="61"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rPr/>
            </w:pPr>
            <w:r>
              <w:rPr>
                <w:rFonts w:ascii="Times New Roman" w:hAnsi="Times New Roman" w:eastAsia="Times New Roman" w:cs="Times New Roman"/>
                <w:b/>
                <w:color w:val="000000"/>
                <w:sz w:val="24"/>
              </w:rPr>
              <w:t xml:space="preserve"> Tài sản gắn liền với đất:</w:t>
            </w:r>
            <w:r/>
          </w:p>
        </w:tc>
      </w:tr>
      <w:tr>
        <w:trPr>
          <w:trHeight w:val="97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32" w:type="dxa"/>
            <w:vAlign w:val="center"/>
            <w:textDirection w:val="lrTb"/>
            <w:noWrap w:val="false"/>
          </w:tcPr>
          <w:p>
            <w:pPr>
              <w:pBdr/>
              <w:spacing w:after="0" w:before="0" w:line="240" w:lineRule="auto"/>
              <w:ind w:right="61" w:firstLine="0" w:left="142"/>
              <w:jc w:val="both"/>
              <w:rPr/>
            </w:pPr>
            <w:r>
              <w:rPr>
                <w:rFonts w:ascii="Times New Roman" w:hAnsi="Times New Roman" w:eastAsia="Times New Roman" w:cs="Times New Roman"/>
                <w:color w:val="000000"/>
                <w:sz w:val="24"/>
              </w:rPr>
              <w:t xml:space="preserve">Tại thời điểm khảo sát, dưới sự hướng dẫn của chủ tài sản, thửa đất có CTXD nhà 03 tầng, diện tích xây dựng khoảng 176m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528m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xây dựng khoảng năm 2011. Công trình chưa được công nhận trên GCN QSDĐ số: DM 801000.</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3"/>
        </w:numPr>
        <w:pBdr/>
        <w:spacing w:after="0" w:before="0" w:line="276"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thửa đất có CTXD nhà 03 tầng, diện tích xây dựng khoảng 176m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528m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xây dựng khoảng năm 2011. Công trình chưa được công nhận trên GCN QSDĐ số: DM 801000</w:t>
      </w:r>
      <w:r>
        <w:t xml:space="preserve">,</w:t>
      </w:r>
      <w:r>
        <w:t xml:space="preserve"> đồng thời, Tổ thẩm định cũng không nhận được bất kỳ giấy tờ pháp lý nào liên quan đến thửa đất. Do vậy, theo đề nghị của Khách hàng/Ngân hàng, Tổ thẩm định không xác định giá trị CTXD trên nhưng vẫn coi đó là một phần không thể thiếu của tài sản thẩm định.</w:t>
      </w: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hỗn hợp</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4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Thôn Yên Lạc, xã Tề Lỗ,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Tề Lỗ,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Tề Lỗ,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Tề Lỗ, tỉnh Phú Thọ</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https://www.facebook.com/share/p/1B8DUh5qde/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https://www.facebook.com/share/p/1BjMLgZcN5/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https://batdongsan.com.vn/ban-dat-duong-dt-303-xa-yen-lac-tinh-phu-tho/ban-at-mat-uong-tl303-te-lo-lo-goc-3-mat-thoang-kinh-doanh-ep-pr45517537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0982.598285</w:t>
            </w:r>
            <w:r>
              <w:rPr>
                <w:sz w:val="22"/>
                <w:szCs w:val="22"/>
              </w:rPr>
              <w:t xml:space="preserve"> </w:t>
            </w:r>
            <w:r>
              <w:rPr>
                <w:sz w:val="22"/>
                <w:szCs w:val="22"/>
              </w:rPr>
              <w:br/>
              <w:t xml:space="preserve">(A.</w:t>
            </w:r>
            <w:r>
              <w:rPr>
                <w:sz w:val="22"/>
                <w:szCs w:val="22"/>
              </w:rPr>
              <w:t xml:space="preserve">Thành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0978.39799</w:t>
            </w:r>
            <w:r>
              <w:rPr>
                <w:sz w:val="22"/>
                <w:szCs w:val="22"/>
              </w:rPr>
              <w:br/>
            </w:r>
            <w:r>
              <w:rPr>
                <w:sz w:val="22"/>
                <w:szCs w:val="22"/>
              </w:rPr>
              <w:t xml:space="preserve">(A.</w:t>
            </w:r>
            <w:r>
              <w:rPr>
                <w:sz w:val="22"/>
                <w:szCs w:val="22"/>
              </w:rPr>
              <w:t xml:space="preserve">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0988.929874</w:t>
            </w:r>
            <w:r>
              <w:rPr>
                <w:sz w:val="22"/>
                <w:szCs w:val="22"/>
              </w:rPr>
              <w:br/>
            </w:r>
            <w:r>
              <w:rPr>
                <w:sz w:val="22"/>
                <w:szCs w:val="22"/>
              </w:rPr>
              <w:t xml:space="preserve">(A.</w:t>
            </w:r>
            <w:r>
              <w:rPr>
                <w:sz w:val="22"/>
                <w:szCs w:val="22"/>
              </w:rPr>
              <w:t xml:space="preserve">Thắng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dich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dich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dich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(208m²), Đất CLN (80m²)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CLN: 15/10/2043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DT 303, xã Tề Lỗ, tỉnh Phú Thọ</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DT 303, xã Tề Lỗ, tỉnh Phú Thọ</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DT 303, xã Tề Lỗ, tỉnh Phú Thọ</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DT 303, xã Tề Lỗ, tỉnh Phú Thọ</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bị đường đâm</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46.920.000.000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42.228.000.000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14.688.000.000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46.920.000.000</w:t>
            </w:r>
            <w:r>
              <w:rPr>
                <w:b/>
                <w:bCs/>
                <w:color w:val="000000"/>
                <w:sz w:val="22"/>
                <w:szCs w:val="22"/>
              </w:rPr>
            </w:r>
            <w:r>
              <w:rPr>
                <w:b/>
                <w:bCs/>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16.320.000.000</w:t>
            </w:r>
            <w:r>
              <w:rPr>
                <w:b/>
                <w:bCs/>
                <w:color w:val="000000"/>
                <w:sz w:val="22"/>
                <w:szCs w:val="22"/>
              </w:rPr>
            </w:r>
            <w:r>
              <w:rPr>
                <w:b/>
                <w:bCs/>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20.500.000.000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42.228.000.000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14.688.000.000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16.400.000.000</w:t>
            </w:r>
            <w:r>
              <w:rPr>
                <w:b/>
                <w:bCs/>
                <w:color w:val="000000"/>
                <w:sz w:val="22"/>
                <w:szCs w:val="22"/>
              </w:rPr>
            </w:r>
            <w:r>
              <w:rPr>
                <w:b/>
                <w:bCs/>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42.228.000.000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14.688.000.000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103.500.000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142.857.143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42.228.000.000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14.688.000.000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16.400.000.000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103.500.000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142.857.143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142.857.143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(208m²), Đất CLN (80m²)</w:t>
            </w:r>
            <w:r>
              <w:rPr>
                <w:color w:val="000000"/>
                <w:sz w:val="22"/>
                <w:szCs w:val="22"/>
              </w:rPr>
            </w:r>
            <w:r>
              <w:rPr>
                <w:color w:val="000000"/>
                <w:sz w:val="22"/>
                <w:szCs w:val="22"/>
              </w:rPr>
            </w:r>
            <w:r>
              <w:rPr>
                <w:color w:val="000000" w:themeColor="text1"/>
                <w:sz w:val="22"/>
                <w:szCs w:val="22"/>
              </w:rPr>
            </w:r>
            <w:r>
              <w:rPr>
                <w:b/>
                <w:bCs/>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-14.285.714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DT 303, xã Tề Lỗ, tỉnh Phú Thọ</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DT 303, xã Tề Lỗ, tỉnh Phú Thọ</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DT 303, xã Tề Lỗ, tỉnh Phú Thọ</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DT 303, xã Tề Lỗ, tỉnh Phú Thọ</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-7.142.857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121.428.572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116.280.000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121.428.572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-15.912.000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-18.571.429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105.570.000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100.368.000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102.857.143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5.714.286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105.264.000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102.465.000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111.384.000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-5.714.286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106.488.000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102.857.143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-7.142.857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100.368.000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95.714.286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bị đường đâm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-17.142.857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85.905.000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78.571.429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85.905.000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85.680.000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78.571.429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83.385.476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52.785.000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70.992.000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75.714.286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17.595.000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36.720.000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64.285.714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-5,77</w:t>
      </w:r>
      <w:r>
        <w:t xml:space="preserve">% đến</w:t>
      </w:r>
      <w:r>
        <w:t xml:space="preserve"> </w:t>
      </w:r>
      <w:r>
        <w:t xml:space="preserve"> </w:t>
      </w:r>
      <w:r>
        <w:t xml:space="preserve">3,02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85.905.000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28.640.727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85.680.000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28.557.144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78.571.429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26.187.857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83.385.728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83.300.000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83.300.000</w:t>
      </w:r>
      <w:r>
        <w:rPr>
          <w:b/>
          <w:bCs/>
          <w:color w:val="000000" w:themeColor="text1"/>
        </w:rPr>
        <w:t xml:space="preserve"> </w:t>
      </w:r>
      <w:r>
        <w:rPr>
          <w:b/>
          <w:bCs/>
        </w:rPr>
        <w:t xml:space="preserve">đồng/m².</w:t>
      </w:r>
      <w:r>
        <w:rPr>
          <w:b/>
          <w:bCs/>
          <w:highlight w:val="none"/>
        </w:rPr>
      </w:r>
      <w:r>
        <w:rPr>
          <w:b/>
          <w:bCs/>
          <w:highlight w:val="none"/>
        </w:rPr>
      </w:r>
    </w:p>
    <w:p>
      <w:pPr>
        <w:pBdr/>
        <w:spacing w:after="120" w:before="120" w:line="276" w:lineRule="auto"/>
        <w:ind/>
        <w:jc w:val="both"/>
        <w:rPr>
          <w:b w:val="0"/>
          <w:bCs w:val="0"/>
          <w:highlight w:val="none"/>
        </w:rPr>
      </w:pPr>
      <w:r>
        <w:rPr>
          <w:b w:val="0"/>
          <w:bCs w:val="0"/>
          <w:highlight w:val="none"/>
        </w:rPr>
        <w:t xml:space="preserve">Tổ thẩm định xác định giá trị đất hỗn hợp = đơn giá đất hỗn hợp </w:t>
      </w:r>
      <w:r>
        <w:rPr>
          <w:rFonts w:ascii="Times New Roman" w:hAnsi="Times New Roman" w:eastAsia="Times New Roman" w:cs="Times New Roman"/>
          <w:b w:val="0"/>
          <w:bCs w:val="0"/>
          <w:color w:val="000000"/>
          <w:spacing w:val="-2"/>
          <w:sz w:val="24"/>
        </w:rPr>
        <w:t xml:space="preserve">(đồng/m</w:t>
      </w:r>
      <w:r>
        <w:rPr>
          <w:rFonts w:ascii="Times New Roman" w:hAnsi="Times New Roman" w:eastAsia="Times New Roman" w:cs="Times New Roman"/>
          <w:b w:val="0"/>
          <w:bCs w:val="0"/>
          <w:color w:val="000000"/>
          <w:spacing w:val="-2"/>
          <w:sz w:val="20"/>
          <w:vertAlign w:val="superscript"/>
        </w:rPr>
        <w:t xml:space="preserve">2</w:t>
      </w:r>
      <w:r>
        <w:rPr>
          <w:rFonts w:ascii="Times New Roman" w:hAnsi="Times New Roman" w:eastAsia="Times New Roman" w:cs="Times New Roman"/>
          <w:b w:val="0"/>
          <w:bCs w:val="0"/>
          <w:color w:val="000000"/>
          <w:spacing w:val="-2"/>
          <w:sz w:val="24"/>
        </w:rPr>
        <w:t xml:space="preserve">)</w:t>
      </w:r>
      <w:r>
        <w:rPr>
          <w:b w:val="0"/>
          <w:bCs w:val="0"/>
          <w:highlight w:val="none"/>
        </w:rPr>
        <w:t xml:space="preserve"> * diện tích (m</w:t>
      </w:r>
      <w:r>
        <w:rPr>
          <w:b w:val="0"/>
          <w:bCs w:val="0"/>
          <w:highlight w:val="none"/>
          <w:vertAlign w:val="superscript"/>
        </w:rPr>
        <w:t xml:space="preserve">2</w:t>
      </w:r>
      <w:r>
        <w:rPr>
          <w:b w:val="0"/>
          <w:bCs w:val="0"/>
          <w:highlight w:val="none"/>
        </w:rPr>
        <w:t xml:space="preserve">) = 83.300.000 </w:t>
      </w:r>
      <w:r>
        <w:rPr>
          <w:rFonts w:ascii="Times New Roman" w:hAnsi="Times New Roman" w:eastAsia="Times New Roman" w:cs="Times New Roman"/>
          <w:b w:val="0"/>
          <w:bCs w:val="0"/>
          <w:color w:val="000000"/>
          <w:spacing w:val="-2"/>
          <w:sz w:val="24"/>
        </w:rPr>
        <w:t xml:space="preserve">(đồng/m</w:t>
      </w:r>
      <w:r>
        <w:rPr>
          <w:rFonts w:ascii="Times New Roman" w:hAnsi="Times New Roman" w:eastAsia="Times New Roman" w:cs="Times New Roman"/>
          <w:b w:val="0"/>
          <w:bCs w:val="0"/>
          <w:color w:val="000000"/>
          <w:spacing w:val="-2"/>
          <w:sz w:val="20"/>
          <w:vertAlign w:val="superscript"/>
        </w:rPr>
        <w:t xml:space="preserve">2</w:t>
      </w:r>
      <w:r>
        <w:rPr>
          <w:rFonts w:ascii="Times New Roman" w:hAnsi="Times New Roman" w:eastAsia="Times New Roman" w:cs="Times New Roman"/>
          <w:b w:val="0"/>
          <w:bCs w:val="0"/>
          <w:color w:val="000000"/>
          <w:spacing w:val="-2"/>
          <w:sz w:val="24"/>
        </w:rPr>
        <w:t xml:space="preserve">)</w:t>
      </w:r>
      <w:r>
        <w:rPr>
          <w:b w:val="0"/>
          <w:bCs w:val="0"/>
          <w:highlight w:val="none"/>
        </w:rPr>
        <w:t xml:space="preserve">*288 </w:t>
      </w:r>
      <w:r>
        <w:rPr>
          <w:rFonts w:ascii="Times New Roman" w:hAnsi="Times New Roman" w:eastAsia="Times New Roman" w:cs="Times New Roman"/>
          <w:b w:val="0"/>
          <w:bCs w:val="0"/>
          <w:color w:val="000000"/>
          <w:spacing w:val="-2"/>
          <w:sz w:val="24"/>
        </w:rPr>
        <w:t xml:space="preserve">(m</w:t>
      </w:r>
      <w:r>
        <w:rPr>
          <w:rFonts w:ascii="Times New Roman" w:hAnsi="Times New Roman" w:eastAsia="Times New Roman" w:cs="Times New Roman"/>
          <w:b w:val="0"/>
          <w:bCs w:val="0"/>
          <w:color w:val="000000"/>
          <w:spacing w:val="-2"/>
          <w:sz w:val="20"/>
          <w:vertAlign w:val="superscript"/>
        </w:rPr>
        <w:t xml:space="preserve">2</w:t>
      </w:r>
      <w:r>
        <w:rPr>
          <w:rFonts w:ascii="Times New Roman" w:hAnsi="Times New Roman" w:eastAsia="Times New Roman" w:cs="Times New Roman"/>
          <w:b w:val="0"/>
          <w:bCs w:val="0"/>
          <w:color w:val="000000"/>
          <w:spacing w:val="-2"/>
          <w:sz w:val="24"/>
        </w:rPr>
        <w:t xml:space="preserve">)</w:t>
      </w:r>
      <w:r>
        <w:rPr>
          <w:b w:val="0"/>
          <w:bCs w:val="0"/>
          <w:highlight w:val="none"/>
        </w:rPr>
        <w:t xml:space="preserve"> = </w:t>
      </w:r>
      <w:r>
        <w:rPr>
          <w:b/>
          <w:bCs/>
        </w:rPr>
        <w:t xml:space="preserve">23.990.400.000</w:t>
      </w:r>
      <w:r>
        <w:rPr>
          <w:b w:val="0"/>
          <w:bCs w:val="0"/>
        </w:rPr>
        <w:t xml:space="preserve"> (đồng)</w:t>
      </w:r>
      <w:r>
        <w:rPr>
          <w:b w:val="0"/>
          <w:bCs w:val="0"/>
          <w:highlight w:val="none"/>
        </w:rPr>
        <w:t xml:space="preserve">.</w:t>
      </w:r>
      <w:r>
        <w:rPr>
          <w:b w:val="0"/>
          <w:bCs w:val="0"/>
          <w:highlight w:val="none"/>
        </w:rPr>
      </w:r>
    </w:p>
    <w:p>
      <w:pPr>
        <w:pStyle w:val="1037"/>
        <w:numPr>
          <w:ilvl w:val="0"/>
          <w:numId w:val="26"/>
        </w:numPr>
        <w:pBdr/>
        <w:tabs>
          <w:tab w:val="center" w:leader="none" w:pos="4762"/>
        </w:tabs>
        <w:spacing w:after="120" w:before="120" w:line="276" w:lineRule="auto"/>
        <w:ind w:hanging="357" w:left="357"/>
        <w:jc w:val="both"/>
        <w:rPr>
          <w:b/>
          <w:bCs/>
        </w:rPr>
      </w:pPr>
      <w:r>
        <w:rPr>
          <w:b/>
          <w:bCs/>
        </w:rPr>
        <w:t xml:space="preserve">Xác định đơn giá đất ở:</w:t>
      </w:r>
      <w:r>
        <w:rPr>
          <w:b/>
          <w:bCs/>
        </w:rPr>
      </w:r>
      <w:r>
        <w:rPr>
          <w:b/>
          <w:bCs/>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44"/>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1984"/>
        <w:gridCol w:w="1843"/>
        <w:gridCol w:w="1843"/>
        <w:gridCol w:w="1843"/>
        <w:gridCol w:w="1843"/>
      </w:tblGrid>
      <w:tr>
        <w:trPr>
          <w:trHeight w:val="3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3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Thôn Yên Lạc, xã Tề Lỗ, tỉnh Phú Thọ</w:t>
            </w:r>
            <w:r/>
          </w:p>
        </w:tc>
        <w:tc>
          <w:tcPr>
            <w:tcBorders>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Tề Lỗ, tỉnh Phú Thọ</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Tề Lỗ, tỉnh Phú Thọ</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Tề Lỗ, tỉnh Phú Thọ</w:t>
            </w:r>
            <w:r/>
          </w:p>
        </w:tc>
      </w:tr>
      <w:tr>
        <w:trPr>
          <w:trHeight w:val="2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shd w:val="clear" w:color="ffffff" w:fill="ffffff"/>
            <w:tcBorders>
              <w:top w:val="single" w:color="000000" w:sz="6" w:space="0"/>
              <w:bottom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https://www.facebook.com/share/p/1B8DUh5qde/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https://www.facebook.com/share/p/1BjMLgZcN5/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https://batdongsan.com.vn/ban-dat-duong-dt-303-xa-yen-lac-tinh-phu-tho/ban-at-mat-uong-tl303-te-lo-lo-goc-3-mat-thoang-kinh-doanh-ep-pr45517537</w:t>
            </w:r>
            <w:r/>
          </w:p>
        </w:tc>
      </w:tr>
      <w:tr>
        <w:trPr>
          <w:trHeight w:val="21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left w:val="single" w:color="000000" w:sz="6" w:space="0"/>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ind/>
              <w:jc w:val="center"/>
              <w:rPr>
                <w:sz w:val="22"/>
                <w:szCs w:val="22"/>
              </w:rPr>
            </w:pPr>
            <w:r>
              <w:rPr>
                <w:color w:val="000000" w:themeColor="text1"/>
                <w:sz w:val="22"/>
                <w:szCs w:val="22"/>
              </w:rPr>
              <w:t xml:space="preserve">0982.598285</w:t>
            </w:r>
            <w:r>
              <w:rPr>
                <w:sz w:val="22"/>
                <w:szCs w:val="22"/>
              </w:rPr>
              <w:t xml:space="preserve"> </w:t>
            </w:r>
            <w:r>
              <w:rPr>
                <w:sz w:val="22"/>
                <w:szCs w:val="22"/>
              </w:rPr>
              <w:br/>
              <w:t xml:space="preserve">(A.</w:t>
            </w:r>
            <w:r>
              <w:rPr>
                <w:sz w:val="22"/>
                <w:szCs w:val="22"/>
              </w:rPr>
              <w:t xml:space="preserve">Thành</w:t>
            </w:r>
            <w:r>
              <w:rPr>
                <w:sz w:val="22"/>
                <w:szCs w:val="22"/>
              </w:rPr>
              <w:t xml:space="preserve">)</w:t>
            </w:r>
            <w:r>
              <w:rPr>
                <w:sz w:val="22"/>
                <w:szCs w:val="22"/>
              </w:rPr>
            </w:r>
            <w:r>
              <w:rPr>
                <w:sz w:val="22"/>
                <w:szCs w:val="22"/>
              </w:rP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ind/>
              <w:jc w:val="center"/>
              <w:rPr>
                <w:sz w:val="22"/>
                <w:szCs w:val="22"/>
              </w:rPr>
            </w:pPr>
            <w:r>
              <w:rPr>
                <w:color w:val="000000" w:themeColor="text1"/>
                <w:sz w:val="22"/>
                <w:szCs w:val="22"/>
              </w:rPr>
              <w:t xml:space="preserve">0978.39799</w:t>
            </w:r>
            <w:r>
              <w:rPr>
                <w:sz w:val="22"/>
                <w:szCs w:val="22"/>
              </w:rPr>
              <w:br/>
            </w:r>
            <w:r>
              <w:rPr>
                <w:sz w:val="22"/>
                <w:szCs w:val="22"/>
              </w:rPr>
              <w:t xml:space="preserve">(A.</w:t>
            </w:r>
            <w:r>
              <w:rPr>
                <w:sz w:val="22"/>
                <w:szCs w:val="22"/>
              </w:rPr>
              <w:t xml:space="preserve">Tuấn</w:t>
            </w:r>
            <w:r>
              <w:rPr>
                <w:sz w:val="22"/>
                <w:szCs w:val="22"/>
              </w:rPr>
              <w:t xml:space="preserve">)</w:t>
            </w:r>
            <w:r>
              <w:rPr>
                <w:sz w:val="22"/>
                <w:szCs w:val="22"/>
              </w:rPr>
            </w:r>
            <w:r>
              <w:rPr>
                <w:sz w:val="22"/>
                <w:szCs w:val="22"/>
              </w:rP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ind/>
              <w:jc w:val="center"/>
              <w:rPr>
                <w:sz w:val="22"/>
                <w:szCs w:val="22"/>
              </w:rPr>
            </w:pPr>
            <w:r>
              <w:rPr>
                <w:color w:val="000000" w:themeColor="text1"/>
                <w:sz w:val="22"/>
                <w:szCs w:val="22"/>
              </w:rPr>
              <w:t xml:space="preserve">0988.929874</w:t>
            </w:r>
            <w:r>
              <w:rPr>
                <w:sz w:val="22"/>
                <w:szCs w:val="22"/>
              </w:rPr>
              <w:br/>
            </w:r>
            <w:r>
              <w:rPr>
                <w:sz w:val="22"/>
                <w:szCs w:val="22"/>
              </w:rPr>
              <w:t xml:space="preserve">(A.</w:t>
            </w:r>
            <w:r>
              <w:rPr>
                <w:sz w:val="22"/>
                <w:szCs w:val="22"/>
              </w:rPr>
              <w:t xml:space="preserve">Thắng</w:t>
            </w:r>
            <w:r>
              <w:rPr>
                <w:sz w:val="22"/>
                <w:szCs w:val="22"/>
              </w:rPr>
              <w:t xml:space="preserve">)</w:t>
            </w:r>
            <w:r>
              <w:rPr>
                <w:sz w:val="22"/>
                <w:szCs w:val="22"/>
              </w:rPr>
            </w:r>
            <w:r>
              <w:rPr>
                <w:sz w:val="22"/>
                <w:szCs w:val="22"/>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r>
      <w:tr>
        <w:trPr>
          <w:trHeight w:val="9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6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4"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shd w:val="clear" w:color="ffffff" w:fill="ffffff"/>
            <w:tcBorders>
              <w:left w:val="single" w:color="000000" w:sz="6" w:space="0"/>
              <w:bottom w:val="single" w:color="000000" w:sz="6" w:space="0"/>
              <w:right w:val="single" w:color="000000" w:sz="4"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single" w:color="000000" w:sz="4" w:space="0"/>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91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6"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đường DT 303, xã Tề Lỗ, tỉnh Phú Thọ</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đường DT 303, xã Tề Lỗ, tỉnh Phú Thọ</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đường DT 303, xã Tề Lỗ, tỉnh Phú Thọ</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đường DT 303, xã Tề Lỗ, tỉnh Phú Thọ</w:t>
            </w:r>
            <w:r/>
          </w:p>
        </w:tc>
      </w:tr>
      <w:tr>
        <w:trPr>
          <w:trHeight w:val="4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 (m)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37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6"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208,0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408,0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114,8</w:t>
            </w:r>
            <w:r>
              <w:rPr>
                <w:color w:val="000000"/>
                <w:sz w:val="22"/>
                <w:szCs w:val="22"/>
              </w:rPr>
            </w:r>
            <w:r>
              <w:rPr>
                <w:color w:val="000000"/>
                <w:sz w:val="22"/>
                <w:szCs w:val="22"/>
              </w:rPr>
            </w:r>
          </w:p>
        </w:tc>
      </w:tr>
      <w:tr>
        <w:trPr>
          <w:trHeight w:val="28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6"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17,0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6"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Lô góc, 02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52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tô phòng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bị đường đâm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w:t>
            </w:r>
            <w:r/>
          </w:p>
        </w:tc>
      </w:tr>
      <w:tr>
        <w:trPr>
          <w:trHeight w:val="120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6"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46.920.000.000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16.320.000.000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20.500.000.000</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shd w:val="clear" w:color="ffffff" w:fill="ffffff"/>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42.228.000.000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14.688.000.000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16.400.000.000</w:t>
            </w:r>
            <w:r/>
          </w:p>
        </w:tc>
      </w:tr>
      <w:tr>
        <w:trPr>
          <w:trHeight w:val="31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tài sản trên đất (đồng) đã bao gồm thang máy</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42.228.000.000  </w:t>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14.688.000.000   </w:t>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left"/>
              <w:rPr>
                <w:b/>
                <w:bCs/>
              </w:rPr>
            </w:pPr>
            <w:r>
              <w:rPr>
                <w:rFonts w:ascii="Times New Roman" w:hAnsi="Times New Roman" w:eastAsia="Times New Roman" w:cs="Times New Roman"/>
                <w:b/>
                <w:bCs/>
                <w:color w:val="000000"/>
                <w:sz w:val="22"/>
              </w:rPr>
              <w:t xml:space="preserve">     16.400.000.000  </w:t>
            </w:r>
            <w:r>
              <w:rPr>
                <w:b/>
                <w:bCs/>
              </w:rPr>
            </w:r>
          </w:p>
        </w:tc>
      </w:tr>
      <w:tr>
        <w:trPr>
          <w:trHeight w:val="57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103.500.000 </w:t>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122.400.000 </w:t>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142.857.143 </w:t>
            </w:r>
            <w:r>
              <w:rPr>
                <w:b/>
                <w:bCs/>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tố phòng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44"/>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1"/>
        <w:gridCol w:w="2165"/>
        <w:gridCol w:w="1386"/>
        <w:gridCol w:w="2068"/>
        <w:gridCol w:w="2083"/>
        <w:gridCol w:w="2083"/>
        <w:gridCol w:w="2084"/>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so sánh 3</w:t>
            </w:r>
            <w:r/>
          </w:p>
        </w:tc>
      </w:tr>
      <w:tr>
        <w:trPr>
          <w:trHeight w:val="8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42.228.000.000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14.688.000.000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16.400.000.000 </w:t>
            </w:r>
            <w:r/>
          </w:p>
        </w:tc>
      </w:tr>
      <w:tr>
        <w:trPr>
          <w:trHeight w:val="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103.500.000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122.400.000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142.857.143 </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5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103.500.000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122.400.000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142.857.143 </w:t>
            </w:r>
            <w:r/>
          </w:p>
        </w:tc>
      </w:tr>
      <w:tr>
        <w:trPr>
          <w:trHeight w:val="110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đường DT 303, xã Tề Lỗ,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đường DT 303, xã Tề Lỗ,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đường DT 303, xã Tề Lỗ, tỉnh Phú Thọ</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đường DT 303, xã Tề Lỗ, tỉnh Phú Thọ</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103.500.000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122.400.000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142.857.143 </w:t>
            </w:r>
            <w:r/>
          </w:p>
        </w:tc>
      </w:tr>
      <w:tr>
        <w:trPr>
          <w:trHeight w:val="38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thông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10,5m</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7m</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7m</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10,5m có vỉa hè</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-7.142.857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108.675.000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128.520.000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135.714.286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
              <w:rPr>
                <w:rFonts w:ascii="Times New Roman" w:hAnsi="Times New Roman" w:eastAsia="Times New Roman" w:cs="Times New Roman"/>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208,0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408,0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114,8</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6.210.000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-14.688.000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-17.142.857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114.885.000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113.832.000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118.571.429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17,0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4.896.000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5.714.286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106.605.000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118.728.000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124.285.714 </w:t>
            </w:r>
            <w:r/>
          </w:p>
        </w:tc>
      </w:tr>
      <w:tr>
        <w:trPr>
          <w:trHeight w:val="519"/>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Lô góc, 02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-7.142.857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101.430.000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112.608.000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117.142.857 </w:t>
            </w: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101.430.000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112.608.000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117.142.857 </w:t>
            </w:r>
            <w:r/>
          </w:p>
        </w:tc>
      </w:tr>
      <w:tr>
        <w:trPr>
          <w:trHeight w:val="57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tô phòng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bị đường đâm</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có</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có</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có</w:t>
            </w:r>
            <w:r/>
          </w:p>
        </w:tc>
      </w:tr>
      <w:tr>
        <w:trPr>
          <w:trHeight w:val="407"/>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r>
      <w:tr>
        <w:trPr>
          <w:trHeight w:val="41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-14.688.000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-17.142.857 </w:t>
            </w:r>
            <w:r/>
          </w:p>
        </w:tc>
      </w:tr>
      <w:tr>
        <w:trPr>
          <w:trHeight w:val="55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89.010.000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97.920.000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100.000.000 </w:t>
            </w:r>
            <w:r/>
          </w:p>
        </w:tc>
      </w:tr>
      <w:tr>
        <w:trPr>
          <w:trHeight w:val="28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89.010.000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97.920.000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100.000.000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2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95.643.333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w:t>
            </w:r>
            <w:r/>
          </w:p>
        </w:tc>
      </w:tr>
      <w:tr>
        <w:trPr>
          <w:trHeight w:val="8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37.260.000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46.512.000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54.285.714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5%-12%</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4%-12%</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4%-12%</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21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0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14.490.000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24.480.000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42.857.143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-6,9</w:t>
      </w:r>
      <w:r>
        <w:t xml:space="preserve">% đến</w:t>
      </w:r>
      <w:r>
        <w:t xml:space="preserve"> </w:t>
      </w:r>
      <w:r>
        <w:t xml:space="preserve"> </w:t>
      </w:r>
      <w:r>
        <w:t xml:space="preserve">4,6%,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highlight w:val="none"/>
          <w:u w:val="single"/>
        </w:rPr>
      </w:r>
      <w:r>
        <w:rPr>
          <w:b/>
          <w:bCs/>
          <w:u w:val="single"/>
        </w:rPr>
      </w:r>
      <w:r>
        <w:rPr>
          <w:b/>
          <w:bCs/>
          <w:highlight w:val="none"/>
          <w:u w:val="single"/>
        </w:rPr>
      </w:r>
    </w:p>
    <w:p>
      <w:pPr>
        <w:pBdr/>
        <w:spacing w:after="120" w:before="120" w:line="276" w:lineRule="auto"/>
        <w:ind/>
        <w:jc w:val="both"/>
        <w:rPr>
          <w:b/>
          <w:bCs/>
          <w:highlight w:val="none"/>
          <w:u w:val="single"/>
        </w:rPr>
      </w:pPr>
      <w:r>
        <w:rPr>
          <w:b/>
          <w:bCs/>
          <w:u w:val="single"/>
        </w:rPr>
      </w:r>
      <w:r>
        <w:rPr>
          <w:b/>
          <w:bCs/>
          <w:i/>
          <w:iCs/>
          <w:u w:val="single"/>
        </w:rPr>
        <w:t xml:space="preserve">Về thống nhất mức giá chỉ dẫn</w:t>
      </w:r>
      <w:r>
        <w:rPr>
          <w:b/>
          <w:bCs/>
          <w:i/>
          <w:iCs/>
          <w:u w:val="single"/>
        </w:rPr>
        <w:t xml:space="preserve">:</w:t>
      </w:r>
      <w:r>
        <w:rPr>
          <w:b/>
          <w:bCs/>
          <w:highlight w:val="none"/>
          <w:u w:val="single"/>
        </w:rPr>
      </w: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89.010.000 </w:t>
            </w: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29.670.000 </w:t>
            </w: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97.920.000 </w:t>
            </w: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32.640.000 </w:t>
            </w: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100.000.000 </w:t>
            </w: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33,33%</w:t>
            </w: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33.333.333 </w:t>
            </w: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95.643.333 </w:t>
            </w: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95.600.000 </w:t>
            </w:r>
            <w:r/>
          </w:p>
        </w:tc>
      </w:tr>
    </w:tbl>
    <w:p>
      <w:pPr>
        <w:pBdr/>
        <w:spacing w:after="120" w:before="120" w:line="324"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95.600.000</w:t>
      </w:r>
      <w:r>
        <w:rPr>
          <w:b/>
          <w:bCs/>
          <w:color w:val="000000" w:themeColor="text1"/>
        </w:rPr>
        <w:t xml:space="preserve"> </w:t>
      </w:r>
      <w:r>
        <w:rPr>
          <w:b/>
          <w:bCs/>
        </w:rPr>
        <w:t xml:space="preserve">đồng/m².</w:t>
      </w:r>
      <w:r>
        <w:rPr>
          <w:b/>
          <w:bCs/>
          <w:highlight w:val="none"/>
        </w:rPr>
      </w:r>
      <w:r>
        <w:rPr>
          <w:b/>
          <w:bCs/>
          <w:highlight w:val="none"/>
        </w:rPr>
      </w:r>
    </w:p>
    <w:p>
      <w:pPr>
        <w:pBdr/>
        <w:spacing w:after="120" w:before="120" w:line="324" w:lineRule="auto"/>
        <w:ind/>
        <w:jc w:val="both"/>
        <w:rPr>
          <w:b w:val="0"/>
          <w:bCs w:val="0"/>
          <w:highlight w:val="none"/>
        </w:rPr>
      </w:pPr>
      <w:r>
        <w:rPr>
          <w:b w:val="0"/>
          <w:bCs w:val="0"/>
          <w:highlight w:val="none"/>
        </w:rPr>
        <w:t xml:space="preserve">Tổ thẩm định xác định giá trị đất ở = đơn giá đất ở </w:t>
      </w:r>
      <w:r>
        <w:rPr>
          <w:rFonts w:ascii="Times New Roman" w:hAnsi="Times New Roman" w:eastAsia="Times New Roman" w:cs="Times New Roman"/>
          <w:b w:val="0"/>
          <w:bCs w:val="0"/>
          <w:color w:val="000000"/>
          <w:spacing w:val="-2"/>
          <w:sz w:val="24"/>
        </w:rPr>
        <w:t xml:space="preserve">(đồng/m</w:t>
      </w:r>
      <w:r>
        <w:rPr>
          <w:rFonts w:ascii="Times New Roman" w:hAnsi="Times New Roman" w:eastAsia="Times New Roman" w:cs="Times New Roman"/>
          <w:b w:val="0"/>
          <w:bCs w:val="0"/>
          <w:color w:val="000000"/>
          <w:spacing w:val="-2"/>
          <w:sz w:val="20"/>
          <w:vertAlign w:val="superscript"/>
        </w:rPr>
        <w:t xml:space="preserve">2</w:t>
      </w:r>
      <w:r>
        <w:rPr>
          <w:rFonts w:ascii="Times New Roman" w:hAnsi="Times New Roman" w:eastAsia="Times New Roman" w:cs="Times New Roman"/>
          <w:b w:val="0"/>
          <w:bCs w:val="0"/>
          <w:color w:val="000000"/>
          <w:spacing w:val="-2"/>
          <w:sz w:val="24"/>
        </w:rPr>
        <w:t xml:space="preserve">)</w:t>
      </w:r>
      <w:r>
        <w:rPr>
          <w:b w:val="0"/>
          <w:bCs w:val="0"/>
          <w:highlight w:val="none"/>
        </w:rPr>
        <w:t xml:space="preserve"> * diện tích (m</w:t>
      </w:r>
      <w:r>
        <w:rPr>
          <w:b w:val="0"/>
          <w:bCs w:val="0"/>
          <w:highlight w:val="none"/>
          <w:vertAlign w:val="superscript"/>
        </w:rPr>
        <w:t xml:space="preserve">2</w:t>
      </w:r>
      <w:r>
        <w:rPr>
          <w:b w:val="0"/>
          <w:bCs w:val="0"/>
          <w:highlight w:val="none"/>
        </w:rPr>
        <w:t xml:space="preserve">) = </w:t>
      </w:r>
      <w:r>
        <w:rPr>
          <w:rFonts w:ascii="Times New Roman" w:hAnsi="Times New Roman" w:eastAsia="Times New Roman" w:cs="Times New Roman"/>
          <w:b w:val="0"/>
          <w:bCs w:val="0"/>
          <w:color w:val="000000"/>
          <w:sz w:val="22"/>
        </w:rPr>
        <w:t xml:space="preserve">95.600.000</w:t>
      </w:r>
      <w:r>
        <w:rPr>
          <w:b w:val="0"/>
          <w:bCs w:val="0"/>
          <w:highlight w:val="none"/>
        </w:rPr>
        <w:t xml:space="preserve"> </w:t>
      </w:r>
      <w:r>
        <w:rPr>
          <w:rFonts w:ascii="Times New Roman" w:hAnsi="Times New Roman" w:eastAsia="Times New Roman" w:cs="Times New Roman"/>
          <w:b w:val="0"/>
          <w:bCs w:val="0"/>
          <w:color w:val="000000"/>
          <w:spacing w:val="-2"/>
          <w:sz w:val="24"/>
        </w:rPr>
        <w:t xml:space="preserve">(đồng/m</w:t>
      </w:r>
      <w:r>
        <w:rPr>
          <w:rFonts w:ascii="Times New Roman" w:hAnsi="Times New Roman" w:eastAsia="Times New Roman" w:cs="Times New Roman"/>
          <w:b w:val="0"/>
          <w:bCs w:val="0"/>
          <w:color w:val="000000"/>
          <w:spacing w:val="-2"/>
          <w:sz w:val="20"/>
          <w:vertAlign w:val="superscript"/>
        </w:rPr>
        <w:t xml:space="preserve">2</w:t>
      </w:r>
      <w:r>
        <w:rPr>
          <w:rFonts w:ascii="Times New Roman" w:hAnsi="Times New Roman" w:eastAsia="Times New Roman" w:cs="Times New Roman"/>
          <w:b w:val="0"/>
          <w:bCs w:val="0"/>
          <w:color w:val="000000"/>
          <w:spacing w:val="-2"/>
          <w:sz w:val="24"/>
        </w:rPr>
        <w:t xml:space="preserve">)</w:t>
      </w:r>
      <w:r>
        <w:rPr>
          <w:b w:val="0"/>
          <w:bCs w:val="0"/>
          <w:highlight w:val="none"/>
        </w:rPr>
        <w:t xml:space="preserve"> * 208 </w:t>
      </w:r>
      <w:r>
        <w:rPr>
          <w:rFonts w:ascii="Times New Roman" w:hAnsi="Times New Roman" w:eastAsia="Times New Roman" w:cs="Times New Roman"/>
          <w:b w:val="0"/>
          <w:bCs w:val="0"/>
          <w:color w:val="000000"/>
          <w:spacing w:val="-2"/>
          <w:sz w:val="24"/>
        </w:rPr>
        <w:t xml:space="preserve">(m</w:t>
      </w:r>
      <w:r>
        <w:rPr>
          <w:rFonts w:ascii="Times New Roman" w:hAnsi="Times New Roman" w:eastAsia="Times New Roman" w:cs="Times New Roman"/>
          <w:b w:val="0"/>
          <w:bCs w:val="0"/>
          <w:color w:val="000000"/>
          <w:spacing w:val="-2"/>
          <w:sz w:val="20"/>
          <w:vertAlign w:val="superscript"/>
        </w:rPr>
        <w:t xml:space="preserve">2</w:t>
      </w:r>
      <w:r>
        <w:rPr>
          <w:rFonts w:ascii="Times New Roman" w:hAnsi="Times New Roman" w:eastAsia="Times New Roman" w:cs="Times New Roman"/>
          <w:b w:val="0"/>
          <w:bCs w:val="0"/>
          <w:color w:val="000000"/>
          <w:spacing w:val="-2"/>
          <w:sz w:val="24"/>
        </w:rPr>
        <w:t xml:space="preserve">)</w:t>
      </w:r>
      <w:r>
        <w:rPr>
          <w:b w:val="0"/>
          <w:bCs w:val="0"/>
          <w:highlight w:val="none"/>
        </w:rPr>
        <w:t xml:space="preserve"> = </w:t>
      </w:r>
      <w:r>
        <w:rPr>
          <w:b/>
          <w:bCs/>
        </w:rPr>
        <w:t xml:space="preserve">19.884.800.000</w:t>
      </w:r>
      <w:r>
        <w:rPr>
          <w:b w:val="0"/>
          <w:bCs w:val="0"/>
        </w:rPr>
        <w:t xml:space="preserve"> (đồng)</w:t>
      </w:r>
      <w:r>
        <w:rPr>
          <w:b w:val="0"/>
          <w:bCs w:val="0"/>
          <w:highlight w:val="none"/>
        </w:rPr>
        <w:t xml:space="preserve">.</w:t>
      </w:r>
      <w:r>
        <w:rPr>
          <w:b w:val="0"/>
          <w:bCs w:val="0"/>
          <w:highlight w:val="none"/>
        </w:rPr>
      </w:r>
    </w:p>
    <w:p>
      <w:pPr>
        <w:pBdr/>
        <w:spacing w:after="120" w:before="120" w:line="324" w:lineRule="auto"/>
        <w:ind/>
        <w:jc w:val="both"/>
        <w:rPr>
          <w:b/>
          <w:bCs/>
          <w:highlight w:val="none"/>
        </w:rPr>
      </w:pPr>
      <w:r>
        <w:rPr>
          <w:b/>
          <w:bCs/>
          <w:highlight w:val="none"/>
        </w:rPr>
        <w:t xml:space="preserve">3. Xác định đơn giá đất trồng cây lâu năm:</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line="324" w:lineRule="auto"/>
        <w:ind w:right="0" w:firstLine="0" w:left="0"/>
        <w:jc w:val="both"/>
        <w:rPr>
          <w:rFonts w:ascii="Times New Roman" w:hAnsi="Times New Roman" w:eastAsia="Times New Roman" w:cs="Times New Roman"/>
          <w:b w:val="0"/>
          <w:bCs w:val="0"/>
          <w:color w:val="000000"/>
          <w:spacing w:val="-2"/>
          <w:sz w:val="24"/>
          <w:szCs w:val="24"/>
        </w:rPr>
      </w:pPr>
      <w:r>
        <w:rPr>
          <w:rFonts w:ascii="Times New Roman" w:hAnsi="Times New Roman" w:eastAsia="Times New Roman" w:cs="Times New Roman"/>
          <w:b w:val="0"/>
          <w:bCs w:val="0"/>
          <w:color w:val="000000"/>
          <w:sz w:val="24"/>
        </w:rPr>
        <w:t xml:space="preserve">Khu vực tài sản thẩm định tọa lạc hạn chế giao dịch đất trồng cây lâu năm mà hầu như chỉ có các giao dịch đất hỗn hợp (đất ở và đất trồng cây lâu năm...), và giao dịch đất ở. Tổ thẩm định xác định giá trị thị trường đất CLN = Giá trị thửa đất hỗn hợp - Giá t</w:t>
      </w:r>
      <w:r>
        <w:rPr>
          <w:rFonts w:ascii="Times New Roman" w:hAnsi="Times New Roman" w:eastAsia="Times New Roman" w:cs="Times New Roman"/>
          <w:b w:val="0"/>
          <w:bCs w:val="0"/>
          <w:color w:val="000000"/>
          <w:sz w:val="24"/>
        </w:rPr>
        <w:t xml:space="preserve">rị đất ở = </w:t>
      </w:r>
      <w:r>
        <w:rPr>
          <w:b w:val="0"/>
          <w:bCs w:val="0"/>
        </w:rPr>
        <w:t xml:space="preserve">23.990.400.000</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pacing w:val="-2"/>
          <w:sz w:val="24"/>
        </w:rPr>
        <w:t xml:space="preserve">đồng - </w:t>
      </w:r>
      <w:r>
        <w:rPr>
          <w:b w:val="0"/>
          <w:bCs w:val="0"/>
        </w:rPr>
        <w:t xml:space="preserve">19.884.800.000</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pacing w:val="-2"/>
          <w:sz w:val="24"/>
        </w:rPr>
        <w:t xml:space="preserve">đồng = </w:t>
      </w:r>
      <w:r>
        <w:rPr>
          <w:rFonts w:ascii="Times New Roman" w:hAnsi="Times New Roman" w:eastAsia="Times New Roman" w:cs="Times New Roman"/>
          <w:b w:val="0"/>
          <w:bCs w:val="0"/>
          <w:color w:val="000000"/>
          <w:sz w:val="22"/>
        </w:rPr>
        <w:t xml:space="preserve"> </w:t>
      </w:r>
      <w:r>
        <w:rPr>
          <w:rFonts w:ascii="Times New Roman" w:hAnsi="Times New Roman" w:eastAsia="Times New Roman" w:cs="Times New Roman"/>
          <w:b/>
          <w:bCs/>
          <w:color w:val="000000"/>
          <w:sz w:val="22"/>
        </w:rPr>
        <w:t xml:space="preserve">4.105.600.000</w:t>
      </w:r>
      <w:r>
        <w:rPr>
          <w:rFonts w:ascii="Times New Roman" w:hAnsi="Times New Roman" w:eastAsia="Times New Roman" w:cs="Times New Roman"/>
          <w:b/>
          <w:bCs/>
          <w:color w:val="000000"/>
          <w:sz w:val="24"/>
        </w:rPr>
        <w:t xml:space="preserve"> đồng.</w:t>
      </w:r>
      <w:r>
        <w:rPr>
          <w:rFonts w:ascii="Times New Roman" w:hAnsi="Times New Roman" w:eastAsia="Times New Roman" w:cs="Times New Roman"/>
          <w:b/>
          <w:bCs/>
          <w:color w:val="000000"/>
          <w:spacing w:val="-2"/>
          <w:sz w:val="24"/>
          <w:szCs w:val="24"/>
        </w:rPr>
      </w:r>
      <w:r>
        <w:rPr>
          <w:rFonts w:ascii="Times New Roman" w:hAnsi="Times New Roman" w:eastAsia="Times New Roman" w:cs="Times New Roman"/>
          <w:b w:val="0"/>
          <w:bCs w:val="0"/>
          <w:color w:val="000000"/>
          <w:spacing w:val="-2"/>
          <w:sz w:val="24"/>
          <w:szCs w:val="24"/>
        </w:rPr>
      </w:r>
    </w:p>
    <w:p>
      <w:pPr>
        <w:pBdr>
          <w:top w:val="none" w:color="000000" w:sz="4" w:space="0"/>
          <w:left w:val="none" w:color="000000" w:sz="4" w:space="0"/>
          <w:bottom w:val="none" w:color="000000" w:sz="4" w:space="0"/>
          <w:right w:val="none" w:color="000000" w:sz="4" w:space="0"/>
        </w:pBdr>
        <w:spacing w:line="324" w:lineRule="auto"/>
        <w:ind w:right="0" w:firstLine="0" w:left="0"/>
        <w:jc w:val="both"/>
        <w:rPr>
          <w:b/>
          <w:bCs/>
        </w:rPr>
      </w:pPr>
      <w:r>
        <w:rPr>
          <w:rFonts w:ascii="Times New Roman" w:hAnsi="Times New Roman" w:eastAsia="Times New Roman" w:cs="Times New Roman"/>
          <w:b w:val="0"/>
          <w:bCs w:val="0"/>
          <w:color w:val="000000"/>
          <w:sz w:val="24"/>
        </w:rPr>
        <w:t xml:space="preserve">Do đó, Tổ thẩm định xác định đơn giá QSDĐ đất trồng cây lâu năm = 4.105.600.000 đồng/80m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rPr>
        <w:t xml:space="preserve"> = </w:t>
      </w:r>
      <w:r>
        <w:rPr>
          <w:rFonts w:ascii="Times New Roman" w:hAnsi="Times New Roman" w:eastAsia="Times New Roman" w:cs="Times New Roman"/>
          <w:b/>
          <w:bCs/>
          <w:i w:val="0"/>
          <w:iCs w:val="0"/>
          <w:color w:val="000000"/>
          <w:sz w:val="24"/>
        </w:rPr>
        <w:t xml:space="preserve">51.300.000 đồng/m</w:t>
      </w:r>
      <w:r>
        <w:rPr>
          <w:rFonts w:ascii="Times New Roman" w:hAnsi="Times New Roman" w:eastAsia="Times New Roman" w:cs="Times New Roman"/>
          <w:b/>
          <w:bCs/>
          <w:i w:val="0"/>
          <w:iCs w:val="0"/>
          <w:color w:val="000000"/>
          <w:sz w:val="20"/>
          <w:vertAlign w:val="superscript"/>
        </w:rPr>
        <w:t xml:space="preserve">2</w:t>
      </w:r>
      <w:r>
        <w:rPr>
          <w:rFonts w:ascii="Times New Roman" w:hAnsi="Times New Roman" w:eastAsia="Times New Roman" w:cs="Times New Roman"/>
          <w:b/>
          <w:bCs/>
          <w:i w:val="0"/>
          <w:iCs w:val="0"/>
          <w:color w:val="000000"/>
          <w:sz w:val="24"/>
        </w:rPr>
        <w:t xml:space="preserve"> (</w:t>
      </w:r>
      <w:r>
        <w:rPr>
          <w:rFonts w:ascii="Times New Roman" w:hAnsi="Times New Roman" w:eastAsia="Times New Roman" w:cs="Times New Roman"/>
          <w:b/>
          <w:bCs/>
          <w:color w:val="000000"/>
          <w:sz w:val="24"/>
        </w:rPr>
        <w:t xml:space="preserve">làm tròn)</w:t>
      </w:r>
      <w:r>
        <w:rPr>
          <w:b/>
          <w:bCs/>
        </w:rPr>
        <w:t xml:space="preserve">.</w:t>
      </w:r>
      <w:r>
        <w:rPr>
          <w:b/>
          <w:bCs/>
        </w:rPr>
      </w:r>
    </w:p>
    <w:p>
      <w:pPr>
        <w:pBdr/>
        <w:spacing w:after="120" w:before="120" w:line="324" w:lineRule="auto"/>
        <w:ind w:right="0" w:hanging="360" w:left="360"/>
        <w:jc w:val="both"/>
        <w:rPr>
          <w:b/>
          <w:lang w:val="pt-BR"/>
        </w:rPr>
      </w:pPr>
      <w:r>
        <w:rPr>
          <w:b/>
          <w:lang w:val="pt-BR"/>
        </w:rPr>
        <w:t xml:space="preserve">4. Kết quả thẩm định giá:</w:t>
      </w:r>
      <w:r>
        <w:rPr>
          <w:b/>
          <w:lang w:val="pt-BR"/>
        </w:rPr>
      </w:r>
      <w:r>
        <w:rPr>
          <w:b/>
          <w:lang w:val="pt-BR"/>
        </w:rPr>
      </w:r>
    </w:p>
    <w:p>
      <w:pPr>
        <w:pStyle w:val="1037"/>
        <w:pBdr/>
        <w:tabs>
          <w:tab w:val="left" w:leader="none" w:pos="993"/>
        </w:tabs>
        <w:spacing w:after="120" w:before="120" w:line="324"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p>
    <w:tbl>
      <w:tblPr>
        <w:tblW w:w="498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3084"/>
        <w:gridCol w:w="1667"/>
        <w:gridCol w:w="181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8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6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1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6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110, tờ bản đồ số: 37, có địa chỉ: Thôn Yên Lạc, xã Đồng Văn, huyện Yên Lạc, tỉnh Vĩnh Phúc (</w:t>
            </w:r>
            <w:r>
              <w:rPr>
                <w:b/>
                <w:bCs/>
                <w:i/>
                <w:iCs/>
                <w:color w:val="000000"/>
              </w:rPr>
              <w:t xml:space="preserve">nay là Thôn Yên Lạc, xã Tề Lỗ, tỉnh  Phú Thọ</w:t>
            </w:r>
            <w:r>
              <w:rPr>
                <w:b/>
                <w:bCs/>
                <w:color w:val="000000"/>
              </w:rPr>
              <w:t xml:space="preserve">) theo Giấy c</w:t>
            </w:r>
            <w:r>
              <w:rPr>
                <w:b/>
                <w:bCs/>
                <w:color w:val="000000"/>
              </w:rPr>
              <w:t xml:space="preserve">hứng nhận quyền sử dụng đất quyền sở hữu nhà ở và tài sản khác gắn liền với đất số: DM 801000, Số vào sổ cấp GCN: CN 02519 do Chi nhánh Văn phòng đăng ký đất đai huyện Yên Lạc cấp ngày 22/11/2023; chủ sử dụng đất là Ông Nguyễn Ngọc Mạnh và Bà Nguyễn Thị Lệ</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084"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1667" w:type="dxa"/>
            <w:vAlign w:val="center"/>
            <w:textDirection w:val="lrTb"/>
            <w:noWrap/>
          </w:tcPr>
          <w:p>
            <w:pPr>
              <w:pBdr/>
              <w:spacing w:after="40" w:before="40" w:line="288" w:lineRule="auto"/>
              <w:ind/>
              <w:jc w:val="center"/>
              <w:rPr>
                <w:color w:val="000000"/>
              </w:rPr>
            </w:pPr>
            <w:r>
              <w:rPr>
                <w:color w:val="000000" w:themeColor="text1"/>
              </w:rPr>
              <w:t xml:space="preserve">208,0</w:t>
            </w:r>
            <w:r>
              <w:rPr>
                <w:color w:val="000000"/>
              </w:rPr>
            </w:r>
            <w:r>
              <w:rPr>
                <w:color w:val="000000"/>
              </w:rPr>
            </w:r>
          </w:p>
        </w:tc>
        <w:tc>
          <w:tcPr>
            <w:shd w:val="clear" w:color="000000" w:fill="ffffff"/>
            <w:tcBorders/>
            <w:tcW w:w="1816" w:type="dxa"/>
            <w:vAlign w:val="center"/>
            <w:textDirection w:val="lrTb"/>
            <w:noWrap w:val="false"/>
          </w:tcPr>
          <w:p>
            <w:pPr>
              <w:pBdr/>
              <w:spacing w:after="40" w:before="40" w:line="288" w:lineRule="auto"/>
              <w:ind/>
              <w:jc w:val="center"/>
              <w:rPr/>
            </w:pPr>
            <w:r>
              <w:rPr>
                <w:color w:val="000000" w:themeColor="text1"/>
              </w:rPr>
              <w:t xml:space="preserve">95.600.000</w:t>
            </w:r>
            <w:r/>
            <w:r/>
          </w:p>
        </w:tc>
        <w:tc>
          <w:tcPr>
            <w:shd w:val="clear" w:color="000000" w:fill="ffffff"/>
            <w:tcBorders/>
            <w:tcW w:w="2229" w:type="dxa"/>
            <w:vAlign w:val="center"/>
            <w:textDirection w:val="lrTb"/>
            <w:noWrap w:val="false"/>
          </w:tcPr>
          <w:p>
            <w:pPr>
              <w:pBdr/>
              <w:spacing w:after="40" w:before="40" w:line="288" w:lineRule="auto"/>
              <w:ind/>
              <w:jc w:val="right"/>
              <w:rPr/>
            </w:pPr>
            <w:r>
              <w:rPr>
                <w:color w:val="000000" w:themeColor="text1"/>
              </w:rPr>
              <w:t xml:space="preserve">19.844.800.000</w:t>
            </w:r>
            <w: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084"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667" w:type="dxa"/>
            <w:vAlign w:val="center"/>
            <w:textDirection w:val="lrTb"/>
            <w:noWrap/>
          </w:tcPr>
          <w:p>
            <w:pPr>
              <w:pBdr/>
              <w:spacing w:after="40" w:before="40" w:line="288" w:lineRule="auto"/>
              <w:ind/>
              <w:jc w:val="center"/>
              <w:rPr>
                <w:color w:val="000000"/>
              </w:rPr>
            </w:pPr>
            <w:r>
              <w:rPr>
                <w:color w:val="000000" w:themeColor="text1"/>
              </w:rPr>
              <w:t xml:space="preserve">80,0</w:t>
            </w:r>
            <w:r>
              <w:rPr>
                <w:color w:val="000000"/>
              </w:rPr>
            </w:r>
            <w:r>
              <w:rPr>
                <w:color w:val="000000"/>
              </w:rPr>
            </w:r>
          </w:p>
        </w:tc>
        <w:tc>
          <w:tcPr>
            <w:shd w:val="clear" w:color="000000" w:fill="ffffff"/>
            <w:tcBorders/>
            <w:tcW w:w="1816" w:type="dxa"/>
            <w:vAlign w:val="center"/>
            <w:textDirection w:val="lrTb"/>
            <w:noWrap w:val="false"/>
          </w:tcPr>
          <w:p>
            <w:pPr>
              <w:pBdr/>
              <w:spacing w:after="40" w:before="40" w:line="288" w:lineRule="auto"/>
              <w:ind/>
              <w:jc w:val="center"/>
              <w:rPr/>
            </w:pPr>
            <w:r>
              <w:rPr>
                <w:color w:val="000000" w:themeColor="text1"/>
              </w:rPr>
              <w:t xml:space="preserve">51.300.000</w:t>
            </w:r>
            <w:r/>
            <w:r/>
          </w:p>
        </w:tc>
        <w:tc>
          <w:tcPr>
            <w:shd w:val="clear" w:color="000000" w:fill="ffffff"/>
            <w:tcBorders/>
            <w:tcW w:w="2229" w:type="dxa"/>
            <w:vAlign w:val="center"/>
            <w:textDirection w:val="lrTb"/>
            <w:noWrap w:val="false"/>
          </w:tcPr>
          <w:p>
            <w:pPr>
              <w:pBdr/>
              <w:spacing w:after="40" w:before="40" w:line="288" w:lineRule="auto"/>
              <w:ind/>
              <w:jc w:val="right"/>
              <w:rPr/>
            </w:pPr>
            <w:r>
              <w:rPr>
                <w:color w:val="000000" w:themeColor="text1"/>
              </w:rPr>
              <w:t xml:space="preserve">4.104.000.000</w:t>
            </w:r>
            <w:r/>
            <w:r/>
          </w:p>
        </w:tc>
      </w:tr>
      <w:tr>
        <w:trPr>
          <w:trHeight w:val="20"/>
        </w:trPr>
        <w:tc>
          <w:tcPr>
            <w:gridSpan w:val="4"/>
            <w:tcBorders/>
            <w:tcW w:w="726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rPr>
                <w:b/>
                <w:bCs/>
              </w:rPr>
              <w:t xml:space="preserve">23.988.800.000</w:t>
            </w:r>
            <w:r>
              <w:rPr>
                <w:b/>
                <w:bCs/>
                <w:color w:val="000000"/>
              </w:rPr>
            </w:r>
            <w:r>
              <w:rPr>
                <w:b/>
                <w:bCs/>
                <w:color w:val="000000"/>
              </w:rPr>
            </w:r>
          </w:p>
        </w:tc>
      </w:tr>
      <w:tr>
        <w:trPr>
          <w:trHeight w:val="20"/>
        </w:trPr>
        <w:tc>
          <w:tcPr>
            <w:gridSpan w:val="4"/>
            <w:tcBorders/>
            <w:tcW w:w="7260"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vMerge w:val="restart"/>
            <w:textDirection w:val="lrTb"/>
            <w:noWrap/>
          </w:tcPr>
          <w:p>
            <w:pPr>
              <w:pBdr/>
              <w:spacing w:after="40" w:before="40" w:line="288" w:lineRule="auto"/>
              <w:ind/>
              <w:jc w:val="right"/>
              <w:rPr>
                <w:b/>
                <w:bCs/>
              </w:rPr>
            </w:pPr>
            <w:r>
              <w:rPr>
                <w:b/>
                <w:bCs/>
              </w:rPr>
              <w:t xml:space="preserve">23.989.000.000</w:t>
            </w:r>
            <w:r>
              <w:rPr>
                <w:b/>
                <w:bCs/>
              </w:rPr>
            </w:r>
            <w:r>
              <w:rPr>
                <w:b/>
                <w:bCs/>
              </w:rPr>
            </w:r>
          </w:p>
        </w:tc>
      </w:tr>
      <w:tr>
        <w:trPr>
          <w:trHeight w:val="20"/>
        </w:trPr>
        <w:tc>
          <w:tcPr>
            <w:gridSpan w:val="5"/>
            <w:tcBorders/>
            <w:tcW w:w="9489"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ba tỷ, chín trăm tám mươi chín triệu đồng</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54"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54"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5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54"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54"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54"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54"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54"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54"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54"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5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54"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5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5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5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25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5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tabs>
          <w:tab w:val="left" w:leader="none" w:pos="993"/>
        </w:tabs>
        <w:spacing w:after="120" w:before="120" w:line="254" w:lineRule="auto"/>
        <w:ind w:hanging="357" w:left="357"/>
        <w:jc w:val="both"/>
        <w:rPr>
          <w:b/>
          <w:bCs/>
          <w:lang w:val="pt-BR"/>
        </w:rPr>
      </w:pPr>
      <w:r>
        <w:rPr>
          <w:b/>
          <w:highlight w:val="none"/>
          <w:lang w:val="pt-BR" w:bidi="pt-BR"/>
        </w:rPr>
      </w:r>
      <w:r>
        <w:rPr>
          <w:rFonts w:ascii="Times New Roman" w:hAnsi="Times New Roman" w:eastAsia="Times New Roman" w:cs="Times New Roman"/>
          <w:color w:val="000000"/>
          <w:sz w:val="24"/>
        </w:rPr>
        <w:t xml:space="preserve">Tại thời điểm khảo sát, dưới sự hướng dẫn của chủ tài sản, thửa đất có CTXD nhà 03 tầng, diện tích xây dựng khoảng 176m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528m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xây dựng khoảng năm 2011. Công trình chưa được công nhận trên GCN QSDĐ số: DM 801000</w:t>
      </w:r>
      <w:r>
        <w:t xml:space="preserve">, đồng thời, Tổ thẩm định cũng không nhận được bất kỳ giấy tờ pháp lý nào liên quan đến thửa đất. Do vậy, theo đề nghị của Khách hàng/Ngân hàng, Tổ thẩm định không xác định giá trị CTXD trên nhưng vẫn coi đó là một phần không thể thiếu của tài sản thẩm định</w:t>
      </w:r>
      <w:r>
        <w:rPr>
          <w:b/>
          <w:bCs/>
          <w:lang w:val="pt-BR"/>
        </w:rPr>
        <w:t xml:space="preserve">.</w:t>
      </w:r>
      <w:r>
        <w:rPr>
          <w:b/>
          <w:bCs/>
          <w:lang w:val="pt-BR"/>
        </w:rPr>
      </w:r>
    </w:p>
    <w:p>
      <w:pPr>
        <w:pStyle w:val="1037"/>
        <w:numPr>
          <w:ilvl w:val="0"/>
          <w:numId w:val="5"/>
        </w:numPr>
        <w:pBdr/>
        <w:spacing w:after="120" w:before="120" w:line="254"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54"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spacing w:after="120" w:before="120" w:line="25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5"/>
        </w:numPr>
        <w:pBdr/>
        <w:tabs>
          <w:tab w:val="left" w:leader="none" w:pos="993"/>
        </w:tabs>
        <w:spacing w:after="120" w:before="120" w:line="254"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7"/>
        <w:numPr>
          <w:ilvl w:val="0"/>
          <w:numId w:val="3"/>
        </w:numPr>
        <w:pBdr/>
        <w:tabs>
          <w:tab w:val="left" w:leader="none" w:pos="993"/>
        </w:tabs>
        <w:spacing w:after="120" w:before="120" w:line="25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54"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54"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5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54"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54"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275/2026/0761/VFI-CT.44.A</w:t>
      </w:r>
      <w:r>
        <w:rPr>
          <w:color w:val="ff0000"/>
          <w:lang w:val="vi-VN"/>
        </w:rPr>
        <w:t xml:space="preserve"> </w:t>
      </w:r>
      <w:r>
        <w:rPr>
          <w:color w:val="000000" w:themeColor="text1"/>
        </w:rPr>
        <w:t xml:space="preserve">ngày 19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275/2026/0761/VFI-BC.44.A</w:t>
      </w:r>
      <w:r>
        <w:rPr>
          <w:i/>
          <w:lang w:val="pt-BR"/>
        </w:rPr>
        <w:t xml:space="preserve"> ngày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14"/>
        <w:gridCol w:w="4811"/>
      </w:tblGrid>
      <w:tr>
        <w:trPr/>
        <w:tc>
          <w:tcPr>
            <w:tcBorders/>
            <w:tcW w:w="4714"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9709" cy="18597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83583" name=""/>
                              <pic:cNvPicPr>
                                <a:picLocks noChangeAspect="1"/>
                              </pic:cNvPicPr>
                              <pic:nvPr/>
                            </pic:nvPicPr>
                            <pic:blipFill rotWithShape="1">
                              <a:blip r:embed="rId18"/>
                              <a:stretch/>
                            </pic:blipFill>
                            <pic:spPr bwMode="auto">
                              <a:xfrm flipH="0" flipV="0">
                                <a:off x="0" y="0"/>
                                <a:ext cx="2479708" cy="1859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5.25pt;height:146.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81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0796" cy="201059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97462" name=""/>
                              <pic:cNvPicPr>
                                <a:picLocks noChangeAspect="1"/>
                              </pic:cNvPicPr>
                              <pic:nvPr/>
                            </pic:nvPicPr>
                            <pic:blipFill rotWithShape="1">
                              <a:blip r:embed="rId19"/>
                              <a:stretch/>
                            </pic:blipFill>
                            <pic:spPr bwMode="auto">
                              <a:xfrm flipH="0" flipV="0">
                                <a:off x="0" y="0"/>
                                <a:ext cx="2680795" cy="20105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1.09pt;height:158.3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14"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1173" cy="21008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4841" name=""/>
                              <pic:cNvPicPr>
                                <a:picLocks noChangeAspect="1"/>
                              </pic:cNvPicPr>
                              <pic:nvPr/>
                            </pic:nvPicPr>
                            <pic:blipFill rotWithShape="1">
                              <a:blip r:embed="rId20"/>
                              <a:stretch/>
                            </pic:blipFill>
                            <pic:spPr bwMode="auto">
                              <a:xfrm flipH="0" flipV="0">
                                <a:off x="0" y="0"/>
                                <a:ext cx="2801172" cy="2100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56pt;height:165.4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81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7550" cy="218816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2069" name=""/>
                              <pic:cNvPicPr>
                                <a:picLocks noChangeAspect="1"/>
                              </pic:cNvPicPr>
                              <pic:nvPr/>
                            </pic:nvPicPr>
                            <pic:blipFill rotWithShape="1">
                              <a:blip r:embed="rId21"/>
                              <a:stretch/>
                            </pic:blipFill>
                            <pic:spPr bwMode="auto">
                              <a:xfrm flipH="0" flipV="0">
                                <a:off x="0" y="0"/>
                                <a:ext cx="2917549" cy="21881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73pt;height:172.3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bl>
    <w:p>
      <w:pPr>
        <w:pBdr/>
        <w:spacing w:after="200" w:line="276" w:lineRule="auto"/>
        <w:ind/>
        <w:jc w:val="center"/>
        <w:rPr>
          <w:highlight w:val="none"/>
        </w:rPr>
      </w:pPr>
      <w:r>
        <w:br w:type="page" w:clear="all"/>
      </w:r>
      <w:r>
        <mc:AlternateContent>
          <mc:Choice Requires="wpg">
            <w:drawing>
              <wp:inline xmlns:wp="http://schemas.openxmlformats.org/drawingml/2006/wordprocessingDrawing" distT="0" distB="0" distL="0" distR="0">
                <wp:extent cx="5764914" cy="393633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71780" name=""/>
                        <pic:cNvPicPr>
                          <a:picLocks noChangeAspect="1"/>
                        </pic:cNvPicPr>
                        <pic:nvPr/>
                      </pic:nvPicPr>
                      <pic:blipFill rotWithShape="1">
                        <a:blip r:embed="rId22"/>
                        <a:stretch/>
                      </pic:blipFill>
                      <pic:spPr bwMode="auto">
                        <a:xfrm flipH="0" flipV="0">
                          <a:off x="0" y="0"/>
                          <a:ext cx="5764914" cy="3936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53.93pt;height:309.95pt;mso-wrap-distance-left:0.00pt;mso-wrap-distance-top:0.00pt;mso-wrap-distance-right:0.00pt;mso-wrap-distance-bottom:0.00pt;z-index:1;" stroked="false">
                <v:imagedata r:id="rId22" o:title=""/>
                <o:lock v:ext="edit" rotation="t"/>
              </v:shape>
            </w:pict>
          </mc:Fallback>
        </mc:AlternateContent>
      </w:r>
      <w:r>
        <w:rPr>
          <w:highlight w:val="none"/>
        </w:rPr>
      </w:r>
    </w:p>
    <w:p>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48375" cy="423709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42731" name=""/>
                        <pic:cNvPicPr>
                          <a:picLocks noChangeAspect="1"/>
                        </pic:cNvPicPr>
                        <pic:nvPr/>
                      </pic:nvPicPr>
                      <pic:blipFill rotWithShape="1">
                        <a:blip r:embed="rId23"/>
                        <a:stretch/>
                      </pic:blipFill>
                      <pic:spPr bwMode="auto">
                        <a:xfrm>
                          <a:off x="0" y="0"/>
                          <a:ext cx="6048374" cy="42370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333.63pt;mso-wrap-distance-left:0.00pt;mso-wrap-distance-top:0.00pt;mso-wrap-distance-right:0.00pt;mso-wrap-distance-bottom:0.00pt;z-index:1;" stroked="false">
                <v:imagedata r:id="rId23" o:title=""/>
                <o:lock v:ext="edit" rotation="t"/>
              </v:shape>
            </w:pict>
          </mc:Fallback>
        </mc:AlternateContent>
      </w:r>
      <w:r>
        <w:rPr>
          <w:highlight w:val="none"/>
        </w:rPr>
      </w:r>
      <w:r/>
    </w:p>
    <w:p>
      <w:pPr>
        <w:pBdr/>
        <w:shd w:val="nil" w:color="auto"/>
        <w:spacing/>
        <w:ind/>
        <w:rPr>
          <w:b/>
          <w:bCs/>
          <w:highlight w:val="none"/>
        </w:rPr>
      </w:pPr>
      <w:r>
        <w:rPr>
          <w:b/>
          <w:highlight w:val="none"/>
        </w:rPr>
        <w:br w:type="page" w:clear="all"/>
      </w:r>
      <w:r>
        <w:rPr>
          <w:b/>
          <w:bCs/>
          <w:highlight w:val="none"/>
        </w:rPr>
      </w:r>
      <w:r>
        <w:rPr>
          <w:b/>
          <w:bCs/>
          <w:highlight w:val="none"/>
        </w:rPr>
      </w:r>
    </w:p>
    <w:p>
      <w:pPr>
        <w:pBdr/>
        <w:shd w:val="nil" w:color="000000"/>
        <w:spacing/>
        <w:ind/>
        <w:jc w:val="center"/>
        <w:rPr>
          <w:b/>
          <w:bCs/>
          <w:highlight w:val="none"/>
          <w:lang w:val="pt-BR" w:bidi="pt-BR"/>
        </w:rPr>
      </w:pPr>
      <w:r>
        <w:rPr>
          <w:b/>
          <w:highlight w:val="none"/>
          <w:lang w:val="pt-BR" w:bidi="pt-BR"/>
        </w:rPr>
        <w:t xml:space="preserve">BIÊN BẢN KHẢO SÁT</w:t>
      </w:r>
      <w:r>
        <w:rPr>
          <w:bCs/>
          <w:i/>
          <w:lang w:val="pt-BR"/>
        </w:rPr>
      </w:r>
      <w:r>
        <w:rPr>
          <w:b/>
          <w:bCs/>
          <w:highlight w:val="none"/>
          <w:lang w:val="pt-BR" w:bidi="pt-BR"/>
        </w:rPr>
      </w:r>
    </w:p>
    <w:p>
      <w:pPr>
        <w:pBdr/>
        <w:shd w:val="nil" w:color="000000"/>
        <w:spacing/>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240386" cy="832051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84626" name=""/>
                        <pic:cNvPicPr>
                          <a:picLocks noChangeAspect="1"/>
                        </pic:cNvPicPr>
                        <pic:nvPr/>
                      </pic:nvPicPr>
                      <pic:blipFill rotWithShape="1">
                        <a:blip r:embed="rId24"/>
                        <a:stretch/>
                      </pic:blipFill>
                      <pic:spPr bwMode="auto">
                        <a:xfrm flipH="0" flipV="0">
                          <a:off x="0" y="0"/>
                          <a:ext cx="6240385" cy="8320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91.37pt;height:655.16pt;mso-wrap-distance-left:0.00pt;mso-wrap-distance-top:0.00pt;mso-wrap-distance-right:0.00pt;mso-wrap-distance-bottom:0.00pt;z-index:1;" stroked="false">
                <v:imagedata r:id="rId24" o:title=""/>
                <o:lock v:ext="edit" rotation="t"/>
              </v:shape>
            </w:pict>
          </mc:Fallback>
        </mc:AlternateContent>
      </w:r>
      <w:r>
        <w:rPr>
          <w:b/>
          <w:highlight w:val="none"/>
          <w:lang w:val="pt-BR" w:bidi="pt-BR"/>
        </w:rPr>
      </w:r>
      <w:r>
        <w:rPr>
          <w:bCs/>
          <w:i/>
          <w:lang w:val="pt-BR"/>
        </w:rPr>
      </w:r>
    </w:p>
    <w:p>
      <w:pPr>
        <w:pBdr/>
        <w:shd w:val="nil" w:color="auto"/>
        <w:spacing/>
        <w:ind/>
        <w:rPr>
          <w:b/>
          <w:bCs/>
          <w:highlight w:val="none"/>
        </w:rPr>
      </w:pPr>
      <w:r>
        <w:rPr>
          <w:b/>
          <w:highlight w:val="none"/>
        </w:rPr>
        <w:br w:type="page" w:clear="all"/>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275/2026/0761/VFI-BC.44.A</w:t>
      </w:r>
      <w:r>
        <w:rPr>
          <w:i/>
          <w:lang w:val="pt-BR"/>
        </w:rPr>
        <w:t xml:space="preserve"> ngày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https://www.facebook.com/share/p/1B8DUh5qde/</w:t>
            </w:r>
            <w:r>
              <w:rPr>
                <w:color w:val="000000" w:themeColor="text1"/>
                <w:sz w:val="22"/>
                <w:szCs w:val="22"/>
              </w:rPr>
              <w:br/>
              <w:t xml:space="preserve">0982.598285</w:t>
            </w:r>
            <w:r>
              <w:rPr>
                <w:sz w:val="22"/>
                <w:szCs w:val="22"/>
              </w:rPr>
              <w:t xml:space="preserve"> </w:t>
            </w:r>
            <w:r>
              <w:rPr>
                <w:sz w:val="22"/>
                <w:szCs w:val="22"/>
              </w:rPr>
              <w:br/>
              <w:t xml:space="preserve">(A.Thành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46.920.000.000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42.228.000.000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(408m²)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mặt đường DT 303, xã tề Lỗ, tỉnh Phú Thọ</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0385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9038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4.8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4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https://www.facebook.com/share/p/1BjMLgZcN5/</w:t>
            </w:r>
            <w:r>
              <w:rPr>
                <w:color w:val="000000" w:themeColor="text1"/>
                <w:sz w:val="22"/>
                <w:szCs w:val="22"/>
              </w:rPr>
              <w:br/>
              <w:t xml:space="preserve">0978.39799</w:t>
            </w:r>
            <w:r>
              <w:rPr>
                <w:sz w:val="22"/>
                <w:szCs w:val="22"/>
              </w:rPr>
              <w:t xml:space="preserve"> </w:t>
            </w:r>
            <w:r>
              <w:rPr>
                <w:sz w:val="22"/>
                <w:szCs w:val="22"/>
              </w:rPr>
              <w:br/>
              <w:t xml:space="preserve">(A.Tuấn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14.688.000.000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Tiếp giáp mặt đường DT 303, xã tề Lỗ, tỉnh Phú Thọ</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5342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9534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11.2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https://batdongsan.com.vn/ban-dat-duong-dt-303-xa-yen-lac-tinh-phu-tho/ban-at-mat-uong-tl303-te-lo-lo-goc-3-mat-thoang-kinh-doanh-ep-pr45517537</w:t>
            </w:r>
            <w:r>
              <w:rPr>
                <w:color w:val="000000" w:themeColor="text1"/>
                <w:sz w:val="22"/>
                <w:szCs w:val="22"/>
              </w:rPr>
              <w:br/>
            </w:r>
            <w:r>
              <w:rPr>
                <w:sz w:val="22"/>
                <w:szCs w:val="22"/>
              </w:rPr>
              <w:t xml:space="preserve">SĐT: </w:t>
            </w:r>
            <w:r>
              <w:rPr>
                <w:color w:val="000000" w:themeColor="text1"/>
                <w:sz w:val="22"/>
                <w:szCs w:val="22"/>
              </w:rPr>
              <w:t xml:space="preserve">0988.929874</w:t>
            </w:r>
            <w:r>
              <w:rPr>
                <w:sz w:val="22"/>
                <w:szCs w:val="22"/>
              </w:rPr>
              <w:t xml:space="preserve"> </w:t>
            </w:r>
            <w:r>
              <w:rPr>
                <w:sz w:val="22"/>
                <w:szCs w:val="22"/>
              </w:rPr>
              <w:br/>
              <w:t xml:space="preserve">(A.Thắng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(114.8m²)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Tiếp giáp mặt đường DT 303, xã tề Lỗ, tỉnh Phú Thọ</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651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3165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18.6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r/>
          </w:p>
          <w:p>
            <w:pPr>
              <w:pBdr/>
              <w:spacing/>
              <w:ind/>
              <w:jc w:val="center"/>
              <w:rPr/>
            </w:pPr>
            <w:r/>
            <w:r/>
            <w:r/>
          </w:p>
          <w:p>
            <w:pPr>
              <w:pBdr/>
              <w:spacing/>
              <w:ind/>
              <w:jc w:val="center"/>
              <w:rPr/>
            </w:pPr>
            <w: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r/>
            <w:r>
              <w:rPr>
                <w:b/>
                <w:bCs/>
              </w:rPr>
            </w:r>
            <w:r>
              <w:rPr>
                <w:b/>
                <w:bCs/>
              </w:rPr>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E1AE67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95E2E2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645658E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331E727"/>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282</cp:revision>
  <dcterms:created xsi:type="dcterms:W3CDTF">2025-09-15T09:58:00Z</dcterms:created>
  <dcterms:modified xsi:type="dcterms:W3CDTF">2026-05-19T11:21:27Z</dcterms:modified>
</cp:coreProperties>
</file>