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highlight w:val="yellow"/>
        </w:rPr>
      </w:pPr>
      <w:r>
        <w:rPr>
          <w:b/>
          <w:sz w:val="28"/>
          <w:highlight w:val="yellow"/>
        </w:rPr>
      </w:r>
      <w:r>
        <w:rPr>
          <w:b/>
          <w:sz w:val="28"/>
          <w:highlight w:val="yellow"/>
        </w:rPr>
      </w:r>
      <w:r>
        <w:rPr>
          <w:b/>
          <w:sz w:val="28"/>
          <w:highlight w:val="yellow"/>
        </w:rPr>
      </w:r>
    </w:p>
    <w:p>
      <w:pPr>
        <w:pBdr/>
        <w:spacing/>
        <w:ind w:right="-1"/>
        <w:jc w:val="center"/>
        <w:rPr>
          <w:b/>
          <w:sz w:val="28"/>
          <w:highlight w:val="yellow"/>
        </w:rPr>
      </w:pPr>
      <w:r>
        <w:rPr>
          <w:b/>
          <w:sz w:val="28"/>
          <w:highlight w:val="yellow"/>
        </w:rPr>
      </w:r>
      <w:r>
        <w:rPr>
          <w:b/>
          <w:sz w:val="28"/>
          <w:highlight w:val="yellow"/>
        </w:rPr>
      </w:r>
      <w:r>
        <w:rPr>
          <w:b/>
          <w:sz w:val="28"/>
          <w:highlight w:val="yellow"/>
        </w:rPr>
      </w:r>
    </w:p>
    <w:p>
      <w:pPr>
        <w:pBdr/>
        <w:spacing/>
        <w:ind w:right="-1"/>
        <w:jc w:val="center"/>
        <w:rPr>
          <w:b/>
          <w:sz w:val="28"/>
          <w:highlight w:val="yellow"/>
        </w:rPr>
      </w:pPr>
      <w:r>
        <w:rPr>
          <w:b/>
          <w:sz w:val="28"/>
          <w:highlight w:val="yellow"/>
        </w:rPr>
      </w:r>
      <w:r>
        <w:rPr>
          <w:b/>
          <w:sz w:val="28"/>
          <w:highlight w:val="yellow"/>
        </w:rPr>
      </w:r>
      <w:r>
        <w:rPr>
          <w:b/>
          <w:sz w:val="28"/>
          <w:highlight w:val="yellow"/>
        </w:rPr>
      </w:r>
    </w:p>
    <w:p>
      <w:pPr>
        <w:pBdr/>
        <w:spacing/>
        <w:ind w:right="-1"/>
        <w:jc w:val="center"/>
        <w:rPr>
          <w:b/>
          <w:sz w:val="28"/>
          <w:highlight w:val="yellow"/>
        </w:rPr>
      </w:pPr>
      <w:r>
        <w:rPr>
          <w:b/>
          <w:sz w:val="28"/>
          <w:highlight w:val="yellow"/>
        </w:rPr>
      </w:r>
      <w:r>
        <w:rPr>
          <w:b/>
          <w:sz w:val="28"/>
          <w:highlight w:val="yellow"/>
        </w:rPr>
      </w:r>
      <w:r>
        <w:rPr>
          <w:b/>
          <w:sz w:val="28"/>
          <w:highlight w:val="yellow"/>
        </w:rPr>
      </w:r>
    </w:p>
    <w:p>
      <w:pPr>
        <w:pBdr/>
        <w:spacing/>
        <w:ind w:right="-1"/>
        <w:jc w:val="center"/>
        <w:rPr>
          <w:b/>
          <w:sz w:val="28"/>
          <w:highlight w:val="yellow"/>
        </w:rPr>
      </w:pPr>
      <w:r>
        <w:rPr>
          <w:b/>
          <w:sz w:val="28"/>
          <w:highlight w:val="yellow"/>
        </w:rPr>
      </w:r>
      <w:r>
        <w:rPr>
          <w:b/>
          <w:sz w:val="28"/>
          <w:highlight w:val="yellow"/>
        </w:rPr>
      </w:r>
      <w:r>
        <w:rPr>
          <w:b/>
          <w:sz w:val="28"/>
          <w:highlight w:val="yellow"/>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690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690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275/2026/1275/VFI-CT.T003.A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Bà </w:t>
                            </w:r>
                            <w:r>
                              <w:rPr>
                                <w:rFonts w:ascii="Times New Roman Bold" w:hAnsi="Times New Roman Bold"/>
                                <w:b/>
                                <w:color w:val="000000" w:themeColor="text1"/>
                                <w:lang w:val="pt-BR"/>
                              </w:rPr>
                              <w:t xml:space="preserve">Nguyễn Thị Thu Giang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1080, tờ bản đồ số: 30, địa chỉ: TDP Trung Thành, phường Định Trung, thành phố Vĩnh Yên, tỉnh Vĩnh Phúc</w:t>
                            </w:r>
                            <w:r>
                              <w:rPr>
                                <w:color w:val="ff0000"/>
                                <w:highlight w:val="white"/>
                              </w:rPr>
                              <w:t xml:space="preserve"> </w:t>
                            </w:r>
                            <w:r>
                              <w:rPr>
                                <w:i/>
                                <w:iCs/>
                                <w:color w:val="ff0000"/>
                                <w:highlight w:val="white"/>
                              </w:rPr>
                              <w:t xml:space="preserve">(Nay là phường Vĩnh Phúc, tỉnh Phú Thọ)</w:t>
                            </w:r>
                            <w:r>
                              <w:rPr>
                                <w:color w:val="ff0000"/>
                              </w:rPr>
                              <w:t xml:space="preserve"> </w:t>
                            </w:r>
                            <w:r>
                              <w:rPr>
                                <w:color w:val="000000"/>
                              </w:rPr>
                              <w:t xml:space="preserve">theo Giấ</w:t>
                            </w:r>
                            <w:r>
                              <w:rPr>
                                <w:color w:val="000000"/>
                              </w:rPr>
                              <w:t xml:space="preserve">y </w:t>
                            </w:r>
                            <w:r>
                              <w:rPr>
                                <w:color w:val="000000"/>
                              </w:rPr>
                              <w:t xml:space="preserve">ch</w:t>
                            </w:r>
                            <w:r>
                              <w:rPr>
                                <w:color w:val="000000"/>
                              </w:rPr>
                              <w:t xml:space="preserve">ứng nhận quyền sử dụng đất, quyền sở hữu nhà ở và tài sản khác gắn liền với đất số: </w:t>
                            </w:r>
                            <w:r>
                              <w:rPr>
                                <w:color w:val="000000"/>
                                <w:highlight w:val="white"/>
                              </w:rPr>
                              <w:t xml:space="preserve">DQ</w:t>
                            </w:r>
                            <w:r>
                              <w:rPr>
                                <w:color w:val="000000"/>
                                <w:highlight w:val="white"/>
                              </w:rPr>
                              <w:t xml:space="preserve"> 87</w:t>
                            </w:r>
                            <w:r>
                              <w:rPr>
                                <w:color w:val="000000"/>
                              </w:rPr>
                              <w:t xml:space="preserve">0893, số vào sổ cấp GCN: CN 3155 do Chi nhánh Văn phòng đăng ký đất đai TP Vĩnh Yên cấp ngày 31/12/2024; Chủ sử dụng đất là Ông Đỗ Anh Toàn và Bà Nguyễn Thị Thu Giang.</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3.1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275/2026/1275/VFI-CT.T003.A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Bà </w:t>
                      </w:r>
                      <w:r>
                        <w:rPr>
                          <w:rFonts w:ascii="Times New Roman Bold" w:hAnsi="Times New Roman Bold"/>
                          <w:b/>
                          <w:color w:val="000000" w:themeColor="text1"/>
                          <w:lang w:val="pt-BR"/>
                        </w:rPr>
                        <w:t xml:space="preserve">Nguyễn Thị Thu Giang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1080, tờ bản đồ số: 30, địa chỉ: TDP Trung Thành, phường Định Trung, thành phố Vĩnh Yên, tỉnh Vĩnh Phúc</w:t>
                      </w:r>
                      <w:r>
                        <w:rPr>
                          <w:color w:val="ff0000"/>
                          <w:highlight w:val="white"/>
                        </w:rPr>
                        <w:t xml:space="preserve"> </w:t>
                      </w:r>
                      <w:r>
                        <w:rPr>
                          <w:i/>
                          <w:iCs/>
                          <w:color w:val="ff0000"/>
                          <w:highlight w:val="white"/>
                        </w:rPr>
                        <w:t xml:space="preserve">(Nay là phường Vĩnh Phúc, tỉnh Phú Thọ)</w:t>
                      </w:r>
                      <w:r>
                        <w:rPr>
                          <w:color w:val="ff0000"/>
                        </w:rPr>
                        <w:t xml:space="preserve"> </w:t>
                      </w:r>
                      <w:r>
                        <w:rPr>
                          <w:color w:val="000000"/>
                        </w:rPr>
                        <w:t xml:space="preserve">theo Giấ</w:t>
                      </w:r>
                      <w:r>
                        <w:rPr>
                          <w:color w:val="000000"/>
                        </w:rPr>
                        <w:t xml:space="preserve">y </w:t>
                      </w:r>
                      <w:r>
                        <w:rPr>
                          <w:color w:val="000000"/>
                        </w:rPr>
                        <w:t xml:space="preserve">ch</w:t>
                      </w:r>
                      <w:r>
                        <w:rPr>
                          <w:color w:val="000000"/>
                        </w:rPr>
                        <w:t xml:space="preserve">ứng nhận quyền sử dụng đất, quyền sở hữu nhà ở và tài sản khác gắn liền với đất số: </w:t>
                      </w:r>
                      <w:r>
                        <w:rPr>
                          <w:color w:val="000000"/>
                          <w:highlight w:val="white"/>
                        </w:rPr>
                        <w:t xml:space="preserve">DQ</w:t>
                      </w:r>
                      <w:r>
                        <w:rPr>
                          <w:color w:val="000000"/>
                          <w:highlight w:val="white"/>
                        </w:rPr>
                        <w:t xml:space="preserve"> 87</w:t>
                      </w:r>
                      <w:r>
                        <w:rPr>
                          <w:color w:val="000000"/>
                        </w:rPr>
                        <w:t xml:space="preserve">0893, số vào sổ cấp GCN: CN 3155 do Chi nhánh Văn phòng đăng ký đất đai TP Vĩnh Yên cấp ngày 31/12/2024; Chủ sử dụng đất là Ông Đỗ Anh Toàn và Bà Nguyễn Thị Thu Giang.</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4-23</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w:t>
            </w:r>
            <w:r>
              <w:rPr>
                <w:b/>
                <w:bCs/>
              </w:rPr>
            </w:r>
            <w:r>
              <w:rPr>
                <w:b/>
                <w:bCs/>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bCs/>
                <w:lang w:val="pt-BR"/>
              </w:rPr>
            </w:pPr>
            <w:r>
              <w:rPr>
                <w:bCs/>
                <w:lang w:val="pt-BR"/>
              </w:rPr>
              <w:t xml:space="preserve">Phụ lục 2: Thông tin thu thập thị trường + Hồ sơ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24-35</w:t>
            </w:r>
            <w:r>
              <w:rPr>
                <w:b/>
                <w:bCs/>
              </w:rPr>
            </w:r>
            <w:r>
              <w:rPr>
                <w:b/>
                <w:bCs/>
              </w:rPr>
            </w:r>
          </w:p>
        </w:tc>
      </w:tr>
    </w:tbl>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55" w:type="dxa"/>
        <w:tblW w:w="9823" w:type="dxa"/>
        <w:tblBorders/>
        <w:tblLayout w:type="fixed"/>
        <w:tblLook w:val="04A0" w:firstRow="1" w:lastRow="0" w:firstColumn="1" w:lastColumn="0" w:noHBand="0" w:noVBand="1"/>
      </w:tblPr>
      <w:tblGrid>
        <w:gridCol w:w="2835"/>
        <w:gridCol w:w="6988"/>
      </w:tblGrid>
      <w:tr>
        <w:trPr>
          <w:trHeight w:val="1507"/>
        </w:trPr>
        <w:tc>
          <w:tcPr>
            <w:tcBorders/>
            <w:tcW w:w="2835" w:type="dxa"/>
            <w:textDirection w:val="lrTb"/>
            <w:noWrap w:val="false"/>
          </w:tcPr>
          <w:p>
            <w:pPr>
              <w:pBdr/>
              <w:spacing w:line="360" w:lineRule="auto"/>
              <w:ind w:hanging="108"/>
              <w:rPr>
                <w:i/>
                <w:szCs w:val="26"/>
                <w:lang w:eastAsia="zh-CN"/>
              </w:rPr>
            </w:pPr>
            <w:r>
              <w:rPr>
                <w:i/>
                <w:szCs w:val="26"/>
              </w:rPr>
            </w: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183414" name="Picture 3" descr="Logo, company name&#10;&#10;Description automatically generated"/>
                              <pic:cNvPicPr>
                                <a:picLocks noChangeAspect="1"/>
                              </pic:cNvPicPr>
                              <pic:nvPr/>
                            </pic:nvPicPr>
                            <pic:blipFill rotWithShape="1">
                              <a:blip r:embed="rId14"/>
                              <a:stretch/>
                            </pic:blipFill>
                            <pic:spPr bwMode="auto">
                              <a:xfrm>
                                <a:off x="0" y="0"/>
                                <a:ext cx="1017904" cy="92201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9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581"/>
        </w:trPr>
        <w:tc>
          <w:tcPr>
            <w:shd w:val="clear" w:color="auto" w:fill="auto"/>
            <w:tcBorders/>
            <w:tcMar>
              <w:left w:w="108" w:type="dxa"/>
              <w:top w:w="0" w:type="dxa"/>
              <w:right w:w="108" w:type="dxa"/>
              <w:bottom w:w="0" w:type="dxa"/>
            </w:tcMar>
            <w:tcW w:w="2835" w:type="dxa"/>
            <w:textDirection w:val="lrTb"/>
            <w:noWrap w:val="false"/>
          </w:tcPr>
          <w:p>
            <w:pPr>
              <w:pStyle w:val="1038"/>
              <w:pBdr/>
              <w:spacing w:after="60"/>
              <w:ind/>
              <w:rPr>
                <w:color w:val="000000" w:themeColor="text1"/>
                <w:sz w:val="24"/>
                <w:szCs w:val="24"/>
              </w:rPr>
            </w:pPr>
            <w:r>
              <w:rPr>
                <w:rStyle w:val="1037"/>
                <w:rFonts w:ascii="Times New Roman" w:hAnsi="Times New Roman"/>
                <w:color w:val="000000" w:themeColor="text1"/>
                <w:lang w:val="pt-BR"/>
              </w:rPr>
              <w:t xml:space="preserve">Số: </w:t>
            </w:r>
            <w:r>
              <w:rPr>
                <w:rStyle w:val="1037"/>
                <w:rFonts w:ascii="Times New Roman" w:hAnsi="Times New Roman"/>
                <w:color w:val="000000" w:themeColor="text1"/>
                <w:lang w:val="pt-BR"/>
              </w:rPr>
              <w:t xml:space="preserve">275/2026/1275/VFI-CT.T003.A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988" w:type="dxa"/>
            <w:textDirection w:val="lrTb"/>
            <w:noWrap w:val="false"/>
          </w:tcPr>
          <w:p>
            <w:pPr>
              <w:pStyle w:val="1038"/>
              <w:pBdr/>
              <w:spacing w:after="60"/>
              <w:ind w:right="-56"/>
              <w:jc w:val="right"/>
              <w:rPr>
                <w:color w:val="000000" w:themeColor="text1"/>
                <w:sz w:val="24"/>
                <w:szCs w:val="24"/>
                <w:lang w:val="vi-VN"/>
              </w:rPr>
            </w:pPr>
            <w:r>
              <w:rPr>
                <w:rStyle w:val="1037"/>
                <w:rFonts w:ascii="Times New Roman" w:hAnsi="Times New Roman"/>
                <w:i/>
                <w:color w:val="auto"/>
              </w:rPr>
              <w:t xml:space="preserve">TP. Hà Nội</w:t>
            </w:r>
            <w:r>
              <w:rPr>
                <w:rStyle w:val="1037"/>
                <w:rFonts w:ascii="Times New Roman" w:hAnsi="Times New Roman"/>
                <w:i/>
                <w:color w:val="auto"/>
                <w:lang w:val="vi-VN"/>
              </w:rPr>
              <w:t xml:space="preserve">, </w:t>
            </w:r>
            <w:r>
              <w:rPr>
                <w:rStyle w:val="1037"/>
                <w:rFonts w:ascii="Times New Roman" w:hAnsi="Times New Roman"/>
                <w:i/>
                <w:color w:val="000000" w:themeColor="text1"/>
                <w:lang w:val="vi-VN"/>
              </w:rPr>
              <w:t xml:space="preserve">ngày 17 tháng 8 năm 2026</w:t>
            </w:r>
            <w:r>
              <w:rPr>
                <w:color w:val="000000" w:themeColor="text1"/>
                <w:sz w:val="24"/>
                <w:szCs w:val="24"/>
                <w:lang w:val="vi-VN"/>
              </w:rPr>
            </w:r>
            <w:r>
              <w:rPr>
                <w:color w:val="000000" w:themeColor="text1"/>
                <w:sz w:val="24"/>
                <w:szCs w:val="24"/>
                <w:lang w:val="vi-VN"/>
              </w:rPr>
            </w:r>
          </w:p>
        </w:tc>
      </w:tr>
    </w:tbl>
    <w:p>
      <w:pPr>
        <w:pStyle w:val="1038"/>
        <w:pBdr/>
        <w:spacing w:after="120" w:before="200" w:line="288" w:lineRule="auto"/>
        <w:ind/>
        <w:jc w:val="center"/>
        <w:rPr>
          <w:rStyle w:val="1037"/>
          <w:rFonts w:ascii="Times New Roman" w:hAnsi="Times New Roman"/>
          <w:b/>
          <w:bCs/>
          <w:color w:val="auto"/>
          <w:sz w:val="30"/>
          <w:szCs w:val="30"/>
          <w:lang w:val="vi-VN"/>
        </w:rPr>
      </w:pPr>
      <w:r>
        <w:rPr>
          <w:rStyle w:val="1037"/>
          <w:rFonts w:ascii="Times New Roman" w:hAnsi="Times New Roman"/>
          <w:b/>
          <w:bCs/>
          <w:color w:val="auto"/>
          <w:sz w:val="30"/>
          <w:szCs w:val="30"/>
          <w:lang w:val="vi-VN"/>
        </w:rPr>
        <w:t xml:space="preserve">CHỨNG THƯ THẨM ĐỊNH GIÁ</w:t>
      </w:r>
      <w:r>
        <w:rPr>
          <w:rStyle w:val="1037"/>
          <w:rFonts w:ascii="Times New Roman" w:hAnsi="Times New Roman"/>
          <w:b/>
          <w:bCs/>
          <w:color w:val="auto"/>
          <w:sz w:val="30"/>
          <w:szCs w:val="30"/>
          <w:lang w:val="vi-VN"/>
        </w:rPr>
      </w:r>
      <w:r>
        <w:rPr>
          <w:rStyle w:val="103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Bà </w:t>
      </w:r>
      <w:r>
        <w:rPr>
          <w:rFonts w:ascii="Times New Roman Bold" w:hAnsi="Times New Roman Bold"/>
          <w:b/>
          <w:color w:val="000000" w:themeColor="text1"/>
          <w:lang w:val="pt-BR"/>
        </w:rPr>
        <w:t xml:space="preserve">Nguyễn Thị Thu Giang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275/2026/1275/VFI-HĐTĐ.T003.A</w:t>
      </w:r>
      <w:r>
        <w:rPr>
          <w:spacing w:val="-4"/>
          <w:lang w:val="vi-VN"/>
        </w:rPr>
        <w:t xml:space="preserve"> ký ngày </w:t>
      </w:r>
      <w:r>
        <w:rPr>
          <w:color w:val="000000" w:themeColor="text1"/>
          <w:spacing w:val="-4"/>
        </w:rPr>
        <w:t xml:space="preserve">12 tháng 8 năm 2026</w:t>
      </w:r>
      <w:r>
        <w:rPr>
          <w:spacing w:val="-4"/>
          <w:lang w:val="vi-VN"/>
        </w:rPr>
        <w:t xml:space="preserve"> </w:t>
      </w:r>
      <w:r>
        <w:rPr>
          <w:spacing w:val="-4"/>
          <w:lang w:val="vi-VN"/>
        </w:rPr>
        <w:t xml:space="preserve">giữa </w:t>
      </w:r>
      <w:r>
        <w:rPr>
          <w:color w:val="000000" w:themeColor="text1"/>
          <w:spacing w:val="-4"/>
        </w:rPr>
        <w:t xml:space="preserve">Bà Nguyễn Thị Thu Giang</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275/2026/1275/VFI-BC.T003.A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17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ayout w:type="fixed"/>
        <w:tblLook w:val="04A0" w:firstRow="1" w:lastRow="0" w:firstColumn="1" w:lastColumn="0" w:noHBand="0" w:noVBand="1"/>
      </w:tblPr>
      <w:tblGrid>
        <w:gridCol w:w="2296"/>
        <w:gridCol w:w="216"/>
        <w:gridCol w:w="7013"/>
      </w:tblGrid>
      <w:tr>
        <w:trPr>
          <w:trHeight w:val="20"/>
        </w:trPr>
        <w:tc>
          <w:tcPr>
            <w:shd w:val="clear" w:color="auto" w:fill="auto"/>
            <w:tcBorders/>
            <w:tcW w:w="2296"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16"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013" w:type="dxa"/>
            <w:vAlign w:val="center"/>
            <w:textDirection w:val="lrTb"/>
            <w:noWrap w:val="false"/>
          </w:tcPr>
          <w:p>
            <w:pPr>
              <w:pBdr/>
              <w:tabs>
                <w:tab w:val="center" w:leader="none" w:pos="3208"/>
              </w:tabs>
              <w:spacing/>
              <w:ind/>
              <w:rPr/>
            </w:pPr>
            <w:r>
              <w:rPr>
                <w:b/>
                <w:bCs/>
              </w:rPr>
              <w:t xml:space="preserve">Bà Nguyễn Thị Thu Giang</w:t>
            </w:r>
            <w:r>
              <w:tab/>
            </w:r>
            <w:r/>
          </w:p>
        </w:tc>
      </w:tr>
      <w:tr>
        <w:trPr>
          <w:trHeight w:val="20"/>
        </w:trPr>
        <w:tc>
          <w:tcPr>
            <w:shd w:val="clear" w:color="auto" w:fill="auto"/>
            <w:tcBorders/>
            <w:tcW w:w="2296"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16"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013"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026186005045</w:t>
            </w:r>
            <w:r>
              <w:rPr>
                <w:color w:val="ff0000"/>
                <w:lang w:val="pt-BR"/>
              </w:rPr>
            </w:r>
            <w:r>
              <w:rPr>
                <w:color w:val="ff0000"/>
                <w:lang w:val="pt-BR"/>
              </w:rPr>
            </w:r>
          </w:p>
        </w:tc>
      </w:tr>
      <w:tr>
        <w:trPr>
          <w:trHeight w:val="20"/>
        </w:trPr>
        <w:tc>
          <w:tcPr>
            <w:shd w:val="clear" w:color="auto" w:fill="auto"/>
            <w:tcBorders/>
            <w:tcW w:w="2296"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16"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013"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1986</w:t>
            </w:r>
            <w:r>
              <w:rPr>
                <w:color w:val="ff0000"/>
                <w:lang w:val="pt-BR"/>
              </w:rPr>
            </w:r>
            <w:r>
              <w:rPr>
                <w:color w:val="ff0000"/>
                <w:lang w:val="pt-BR"/>
              </w:rPr>
            </w:r>
          </w:p>
        </w:tc>
      </w:tr>
      <w:tr>
        <w:trPr>
          <w:trHeight w:val="20"/>
        </w:trPr>
        <w:tc>
          <w:tcPr>
            <w:shd w:val="clear" w:color="auto" w:fill="auto"/>
            <w:tcBorders/>
            <w:tcW w:w="2296"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16"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013"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TDP Trung Thành, Vĩnh Phúc, Phú Thọ</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Bdr/>
        <w:spacing w:after="120" w:before="120" w:line="276"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rPr>
        <w:t xml:space="preserve">Quyền sử dụng đất tại Thửa đất số: 1080, tờ bản đồ số: 30, địa chỉ: TDP Trung Thành, phường Định Trung, thành phố Vĩnh Yên, tỉnh Vĩnh Phúc</w:t>
      </w:r>
      <w:r>
        <w:rPr>
          <w:color w:val="ff0000"/>
          <w:highlight w:val="white"/>
        </w:rPr>
        <w:t xml:space="preserve"> </w:t>
      </w:r>
      <w:r>
        <w:rPr>
          <w:i/>
          <w:iCs/>
          <w:color w:val="ff0000"/>
          <w:highlight w:val="white"/>
        </w:rPr>
        <w:t xml:space="preserve">(Nay là phường Vĩnh Phúc, tỉnh Phú Thọ)</w:t>
      </w:r>
      <w:r>
        <w:rPr>
          <w:color w:val="ff0000"/>
        </w:rPr>
        <w:t xml:space="preserve"> </w:t>
      </w:r>
      <w:r>
        <w:rPr>
          <w:color w:val="000000"/>
        </w:rPr>
        <w:t xml:space="preserve">theo Giấ</w:t>
      </w:r>
      <w:r>
        <w:rPr>
          <w:color w:val="000000"/>
        </w:rPr>
        <w:t xml:space="preserve">y </w:t>
      </w:r>
      <w:r>
        <w:rPr>
          <w:color w:val="000000"/>
        </w:rPr>
        <w:t xml:space="preserve">ch</w:t>
      </w:r>
      <w:r>
        <w:rPr>
          <w:color w:val="000000"/>
        </w:rPr>
        <w:t xml:space="preserve">ứng nhận quyền sử dụng đất, quyền sở hữu nhà ở và tài sản khác gắn liền với đất số</w:t>
      </w:r>
      <w:r>
        <w:rPr>
          <w:color w:val="000000"/>
          <w:highlight w:val="white"/>
        </w:rPr>
        <w:t xml:space="preserve">: </w:t>
      </w:r>
      <w:r>
        <w:rPr>
          <w:color w:val="000000"/>
          <w:highlight w:val="white"/>
        </w:rPr>
        <w:t xml:space="preserve">DQ</w:t>
      </w:r>
      <w:r>
        <w:rPr>
          <w:color w:val="000000"/>
          <w:highlight w:val="white"/>
        </w:rPr>
        <w:t xml:space="preserve"> 870</w:t>
      </w:r>
      <w:r>
        <w:rPr>
          <w:color w:val="000000"/>
        </w:rPr>
        <w:t xml:space="preserve">893, số vào sổ cấp GCN: CN 3155 do Chi nhánh Văn phòng đăng ký đất đai TP Vĩnh Yên cấp ngày 31/12/2024; Chủ sử dụng đất là Ông Đỗ Anh Toàn và Bà Nguyễn Thị Thu Giang</w:t>
      </w:r>
      <w:r>
        <w:rPr>
          <w:color w:val="000000" w:themeColor="text1"/>
        </w:rPr>
        <w:t xml:space="preserve">.</w:t>
      </w:r>
      <w:r>
        <w:rPr>
          <w:b/>
          <w:bCs/>
        </w:rPr>
      </w:r>
      <w:r>
        <w:rPr>
          <w:b/>
          <w:bCs/>
        </w:rPr>
      </w:r>
    </w:p>
    <w:p>
      <w:pPr>
        <w:pBdr/>
        <w:spacing w:after="120" w:before="120" w:line="276"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8/2026</w:t>
      </w:r>
      <w:r>
        <w:rPr>
          <w:bCs/>
          <w:lang w:val="nl-NL"/>
        </w:rPr>
        <w:t xml:space="preserve">.</w:t>
      </w:r>
      <w:r>
        <w:rPr>
          <w:b/>
          <w:bCs/>
        </w:rPr>
      </w:r>
      <w:r>
        <w:rPr>
          <w:b/>
          <w:bCs/>
        </w:rPr>
      </w:r>
    </w:p>
    <w:p>
      <w:pPr>
        <w:pBdr/>
        <w:tabs>
          <w:tab w:val="left" w:leader="none" w:pos="851"/>
        </w:tabs>
        <w:spacing w:after="120" w:before="120" w:line="276"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276"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276"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276"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276"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6"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276"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6"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276"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8/2026</w:t>
      </w:r>
      <w:r>
        <w:rPr>
          <w:lang w:val="vi-VN"/>
        </w:rPr>
        <w:t xml:space="preserve"> ước tính</w:t>
      </w:r>
      <w:r>
        <w:t xml:space="preserve"> </w:t>
      </w:r>
      <w:r>
        <w:rPr>
          <w:lang w:val="vi-VN"/>
        </w:rPr>
        <w:t xml:space="preserve">như sau:</w:t>
      </w:r>
      <w:r/>
    </w:p>
    <w:tbl>
      <w:tblPr>
        <w:tblW w:w="501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4"/>
        <w:gridCol w:w="920"/>
        <w:gridCol w:w="1419"/>
        <w:gridCol w:w="1585"/>
        <w:gridCol w:w="1466"/>
        <w:gridCol w:w="1667"/>
        <w:gridCol w:w="1903"/>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gridSpan w:val="2"/>
            <w:shd w:val="clear" w:color="000000" w:fill="ffffff"/>
            <w:tcBorders/>
            <w:tcW w:w="2659"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667"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667" w:type="dxa"/>
            <w:vAlign w:val="center"/>
            <w:textDirection w:val="lrTb"/>
            <w:noWrap w:val="false"/>
          </w:tcPr>
          <w:p>
            <w:pPr>
              <w:pBdr/>
              <w:spacing/>
              <w:ind/>
              <w:jc w:val="center"/>
              <w:rPr>
                <w:b/>
                <w:bCs/>
              </w:rPr>
            </w:pPr>
            <w:r>
              <w:rPr>
                <w:b/>
                <w:bCs/>
              </w:rPr>
              <w:t xml:space="preserve">Hệ số/CLCL (%)</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5"/>
            <w:shd w:val="clear" w:color="000000" w:fill="ffffff"/>
            <w:tcBorders/>
            <w:tcW w:w="7057" w:type="dxa"/>
            <w:vAlign w:val="center"/>
            <w:textDirection w:val="lrTb"/>
            <w:noWrap w:val="false"/>
          </w:tcPr>
          <w:p>
            <w:pPr>
              <w:pBdr/>
              <w:spacing w:after="40" w:before="40" w:line="276" w:lineRule="auto"/>
              <w:ind/>
              <w:jc w:val="both"/>
              <w:rPr>
                <w:b/>
                <w:bCs/>
              </w:rPr>
            </w:pPr>
            <w:r>
              <w:rPr>
                <w:b/>
                <w:bCs/>
                <w:color w:val="000000"/>
              </w:rPr>
            </w:r>
            <w:r>
              <w:rPr>
                <w:b/>
                <w:bCs/>
                <w:color w:val="000000"/>
              </w:rPr>
              <w:t xml:space="preserve">Quyền sử dụng đất tại Thửa đất số: 1080, tờ bản đồ số: 30, địa chỉ: TDP Trung Thành, phường Định Trung, thành phố Vĩnh Yên, tỉnh Vĩnh Phúc</w:t>
            </w:r>
            <w:r>
              <w:rPr>
                <w:b/>
                <w:bCs/>
                <w:color w:val="ff0000"/>
                <w:highlight w:val="white"/>
              </w:rPr>
              <w:t xml:space="preserve"> </w:t>
            </w:r>
            <w:r>
              <w:rPr>
                <w:b/>
                <w:bCs/>
                <w:i/>
                <w:iCs/>
                <w:color w:val="ff0000"/>
                <w:highlight w:val="white"/>
              </w:rPr>
              <w:t xml:space="preserve">(Nay là phường Vĩnh Phúc, tỉnh Phú Thọ)</w:t>
            </w:r>
            <w:r>
              <w:rPr>
                <w:b/>
                <w:bCs/>
                <w:color w:val="ff0000"/>
              </w:rPr>
              <w:t xml:space="preserve"> </w:t>
            </w:r>
            <w:r>
              <w:rPr>
                <w:b/>
                <w:bCs/>
                <w:color w:val="000000"/>
              </w:rPr>
              <w:t xml:space="preserve">theo Giấ</w:t>
            </w:r>
            <w:r>
              <w:rPr>
                <w:b/>
                <w:bCs/>
                <w:color w:val="000000"/>
              </w:rPr>
              <w:t xml:space="preserve">y </w:t>
            </w:r>
            <w:r>
              <w:rPr>
                <w:b/>
                <w:bCs/>
                <w:color w:val="000000"/>
              </w:rPr>
              <w:t xml:space="preserve">ch</w:t>
            </w:r>
            <w:r>
              <w:rPr>
                <w:b/>
                <w:bCs/>
                <w:color w:val="000000"/>
              </w:rPr>
              <w:t xml:space="preserve">ứng nhận quyền sử dụng đất, quyền sở hữu nhà ở và tài sản khác gắn liền với đất số: DQ 870893, số vào sổ cấp GCN: CN 3155 do Chi nhánh Văn phòng đăng ký đất đai TP Vĩnh Yên cấp ngày 31/12/2024; Chủ sử dụng đất là Ông Đỗ Anh Toàn và Bà Nguyễn Thị Thu Giang.</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01</w:t>
            </w:r>
            <w:r>
              <w:rPr>
                <w:b w:val="0"/>
                <w:bCs w:val="0"/>
              </w:rPr>
            </w:r>
            <w:r>
              <w:rPr>
                <w:b w:val="0"/>
                <w:bCs w:val="0"/>
              </w:rPr>
            </w:r>
          </w:p>
        </w:tc>
        <w:tc>
          <w:tcPr>
            <w:gridSpan w:val="2"/>
            <w:shd w:val="clear" w:color="000000" w:fill="ffffff"/>
            <w:tcBorders/>
            <w:tcW w:w="2659" w:type="dxa"/>
            <w:vAlign w:val="center"/>
            <w:textDirection w:val="lrTb"/>
            <w:noWrap w:val="false"/>
          </w:tcPr>
          <w:p>
            <w:pPr>
              <w:pBdr/>
              <w:spacing w:after="40" w:before="40" w:line="288" w:lineRule="auto"/>
              <w:ind/>
              <w:rPr>
                <w:b w:val="0"/>
                <w:bCs w:val="0"/>
              </w:rPr>
            </w:pPr>
            <w:r>
              <w:rPr>
                <w:b w:val="0"/>
                <w:bCs w:val="0"/>
              </w:rPr>
              <w:t xml:space="preserve">Đất hỗn hợp (</w:t>
            </w:r>
            <w:r>
              <w:rPr>
                <w:b w:val="0"/>
                <w:bCs w:val="0"/>
                <w:i/>
                <w:iCs/>
              </w:rPr>
              <w:t xml:space="preserve">Đất ODDT + Đất CLN).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311,7</w:t>
            </w:r>
            <w:r>
              <w:rPr>
                <w:color w:val="000000"/>
              </w:rPr>
            </w:r>
            <w:r>
              <w:rPr>
                <w:color w:val="000000"/>
              </w:rPr>
            </w:r>
          </w:p>
        </w:tc>
        <w:tc>
          <w:tcPr>
            <w:shd w:val="clear" w:color="000000" w:fill="ffffff"/>
            <w:tcBorders/>
            <w:tcW w:w="1667" w:type="dxa"/>
            <w:vAlign w:val="center"/>
            <w:textDirection w:val="lrTb"/>
            <w:noWrap w:val="false"/>
          </w:tcPr>
          <w:p>
            <w:pPr>
              <w:pBdr/>
              <w:spacing w:after="40" w:before="40" w:line="288" w:lineRule="auto"/>
              <w:ind/>
              <w:jc w:val="center"/>
              <w:rPr/>
            </w:pPr>
            <w:r>
              <w:rPr>
                <w:color w:val="000000" w:themeColor="text1"/>
              </w:rPr>
              <w:t xml:space="preserve">11.500.000</w:t>
            </w:r>
            <w:r/>
          </w:p>
        </w:tc>
        <w:tc>
          <w:tcPr>
            <w:shd w:val="clear" w:color="000000" w:fill="ffffff"/>
            <w:tcBorders/>
            <w:tcW w:w="1667" w:type="dxa"/>
            <w:vAlign w:val="center"/>
            <w:textDirection w:val="lrTb"/>
            <w:noWrap w:val="false"/>
          </w:tcPr>
          <w:p>
            <w:pPr>
              <w:pBdr/>
              <w:spacing/>
              <w:ind/>
              <w:jc w:val="center"/>
              <w:rPr>
                <w:color w:val="000000" w:themeColor="text1"/>
              </w:rPr>
            </w:pPr>
            <w:r>
              <w:rPr>
                <w:color w:val="000000" w:themeColor="text1"/>
              </w:rPr>
              <w:t xml:space="preserve">100%</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right"/>
              <w:rPr/>
            </w:pPr>
            <w:r>
              <w:rPr>
                <w:color w:val="000000" w:themeColor="text1"/>
              </w:rPr>
              <w:t xml:space="preserve">3.584.550.000</w:t>
            </w: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0</w:t>
            </w:r>
            <w:r>
              <w:rPr>
                <w:b w:val="0"/>
                <w:bCs w:val="0"/>
              </w:rPr>
            </w:r>
            <w:r>
              <w:rPr>
                <w:b w:val="0"/>
                <w:bCs w:val="0"/>
              </w:rPr>
            </w:r>
          </w:p>
        </w:tc>
        <w:tc>
          <w:tcPr>
            <w:gridSpan w:val="2"/>
            <w:shd w:val="clear" w:color="000000" w:fill="ffffff"/>
            <w:tcBorders/>
            <w:tcW w:w="2659" w:type="dxa"/>
            <w:vAlign w:val="center"/>
            <w:textDirection w:val="lrTb"/>
            <w:noWrap w:val="false"/>
          </w:tcPr>
          <w:p>
            <w:pPr>
              <w:pBdr/>
              <w:spacing w:after="40" w:before="40" w:line="288" w:lineRule="auto"/>
              <w:ind/>
              <w:rPr>
                <w:b w:val="0"/>
                <w:bCs w:val="0"/>
              </w:rPr>
            </w:pPr>
            <w:r>
              <w:rPr>
                <w:b w:val="0"/>
                <w:bCs w:val="0"/>
              </w:rPr>
              <w:t xml:space="preserve">Nhà 02 tầng.</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192,0</w:t>
            </w:r>
            <w:r>
              <w:rPr>
                <w:color w:val="000000"/>
              </w:rPr>
            </w:r>
            <w:r>
              <w:rPr>
                <w:color w:val="000000"/>
              </w:rPr>
            </w:r>
          </w:p>
        </w:tc>
        <w:tc>
          <w:tcPr>
            <w:shd w:val="clear" w:color="000000" w:fill="ffffff"/>
            <w:tcBorders/>
            <w:tcW w:w="1667" w:type="dxa"/>
            <w:vAlign w:val="center"/>
            <w:textDirection w:val="lrTb"/>
            <w:noWrap w:val="false"/>
          </w:tcPr>
          <w:p>
            <w:pPr>
              <w:pBdr/>
              <w:spacing w:after="40" w:before="40" w:line="288" w:lineRule="auto"/>
              <w:ind/>
              <w:jc w:val="center"/>
              <w:rPr/>
            </w:pPr>
            <w:r>
              <w:rPr>
                <w:color w:val="000000" w:themeColor="text1"/>
              </w:rPr>
              <w:t xml:space="preserve">7.213.418</w:t>
            </w:r>
            <w:r/>
          </w:p>
        </w:tc>
        <w:tc>
          <w:tcPr>
            <w:shd w:val="clear" w:color="000000" w:fill="ffffff"/>
            <w:tcBorders/>
            <w:tcW w:w="1667" w:type="dxa"/>
            <w:vAlign w:val="center"/>
            <w:textDirection w:val="lrTb"/>
            <w:noWrap w:val="false"/>
          </w:tcPr>
          <w:p>
            <w:pPr>
              <w:pBdr/>
              <w:spacing/>
              <w:ind/>
              <w:jc w:val="center"/>
              <w:rPr>
                <w:color w:val="000000" w:themeColor="text1"/>
              </w:rPr>
            </w:pPr>
            <w:r>
              <w:rPr>
                <w:color w:val="000000" w:themeColor="text1"/>
              </w:rPr>
              <w:t xml:space="preserve">65%</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right"/>
              <w:rPr/>
            </w:pPr>
            <w:r>
              <w:rPr>
                <w:color w:val="000000" w:themeColor="text1"/>
              </w:rPr>
              <w:t xml:space="preserve">900.234.566</w:t>
            </w:r>
            <w:r/>
          </w:p>
        </w:tc>
      </w:tr>
      <w:tr>
        <w:trPr>
          <w:trHeight w:val="20"/>
        </w:trPr>
        <w:tc>
          <w:tcPr>
            <w:gridSpan w:val="5"/>
            <w:tcBorders/>
            <w:tcW w:w="607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667" w:type="dxa"/>
            <w:vAlign w:val="center"/>
            <w:textDirection w:val="lrTb"/>
            <w:noWrap/>
          </w:tcPr>
          <w:p>
            <w:pPr>
              <w:pBdr/>
              <w:spacing/>
              <w:ind/>
              <w:rPr/>
            </w:pPr>
            <w:r/>
            <w:r/>
          </w:p>
        </w:tc>
        <w:tc>
          <w:tcPr>
            <w:tcBorders/>
            <w:tcW w:w="2164" w:type="dxa"/>
            <w:vAlign w:val="center"/>
            <w:textDirection w:val="lrTb"/>
            <w:noWrap/>
          </w:tcPr>
          <w:p>
            <w:pPr>
              <w:pBdr/>
              <w:spacing w:after="40" w:before="40" w:line="288" w:lineRule="auto"/>
              <w:ind/>
              <w:jc w:val="right"/>
              <w:rPr>
                <w:b/>
                <w:bCs/>
                <w:color w:val="000000"/>
              </w:rPr>
            </w:pPr>
            <w:r>
              <w:rPr>
                <w:b/>
                <w:bCs/>
              </w:rPr>
              <w:t xml:space="preserve">4.484.784.566</w:t>
            </w:r>
            <w:r>
              <w:rPr>
                <w:b/>
                <w:bCs/>
                <w:color w:val="000000"/>
              </w:rPr>
            </w:r>
            <w:r>
              <w:rPr>
                <w:b/>
                <w:bCs/>
                <w:color w:val="000000"/>
              </w:rPr>
            </w:r>
          </w:p>
        </w:tc>
      </w:tr>
      <w:tr>
        <w:trPr>
          <w:trHeight w:val="20"/>
        </w:trPr>
        <w:tc>
          <w:tcPr>
            <w:gridSpan w:val="5"/>
            <w:tcBorders/>
            <w:tcW w:w="6076"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667" w:type="dxa"/>
            <w:vAlign w:val="center"/>
            <w:textDirection w:val="lrTb"/>
            <w:noWrap/>
          </w:tcPr>
          <w:p>
            <w:pPr>
              <w:pBdr/>
              <w:spacing/>
              <w:ind/>
              <w:rPr>
                <w:b/>
                <w:bCs/>
                <w:color w:val="000000"/>
              </w:rPr>
            </w:pPr>
            <w:r>
              <w:rPr>
                <w:b/>
                <w:bCs/>
                <w:color w:val="000000"/>
              </w:rPr>
            </w:r>
            <w:r>
              <w:rPr>
                <w:b/>
                <w:bCs/>
                <w:color w:val="000000"/>
              </w:rPr>
            </w:r>
            <w:r>
              <w:rPr>
                <w:b/>
                <w:bCs/>
                <w:color w:val="000000"/>
              </w:rPr>
            </w:r>
          </w:p>
        </w:tc>
        <w:tc>
          <w:tcPr>
            <w:tcBorders/>
            <w:tcW w:w="2164" w:type="dxa"/>
            <w:vAlign w:val="center"/>
            <w:textDirection w:val="lrTb"/>
            <w:noWrap/>
          </w:tcPr>
          <w:p>
            <w:pPr>
              <w:pBdr/>
              <w:spacing w:after="40" w:before="40" w:line="288" w:lineRule="auto"/>
              <w:ind/>
              <w:jc w:val="right"/>
              <w:rPr>
                <w:b/>
                <w:bCs/>
                <w:color w:val="000000"/>
              </w:rPr>
            </w:pPr>
            <w:r>
              <w:rPr>
                <w:b/>
                <w:bCs/>
                <w:color w:val="000000"/>
              </w:rPr>
              <w:t xml:space="preserve">4.485.000.000</w:t>
            </w:r>
            <w:r>
              <w:rPr>
                <w:b/>
                <w:bCs/>
                <w:color w:val="000000"/>
              </w:rPr>
            </w:r>
            <w:r>
              <w:rPr>
                <w:b/>
                <w:bCs/>
                <w:color w:val="000000"/>
              </w:rPr>
            </w:r>
          </w:p>
        </w:tc>
      </w:tr>
      <w:tr>
        <w:trPr>
          <w:trHeight w:val="20"/>
        </w:trPr>
        <w:tc>
          <w:tcPr>
            <w:gridSpan w:val="7"/>
            <w:tcBorders/>
            <w:tcW w:w="9554"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bốn trăm tám mươi lăm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65" w:type="dxa"/>
        <w:tblBorders/>
        <w:tblLayout w:type="fixed"/>
        <w:tblLook w:val="04A0" w:firstRow="1" w:lastRow="0" w:firstColumn="1" w:lastColumn="0" w:noHBand="0" w:noVBand="1"/>
      </w:tblPr>
      <w:tblGrid>
        <w:gridCol w:w="108"/>
        <w:gridCol w:w="2330"/>
        <w:gridCol w:w="7527"/>
      </w:tblGrid>
      <w:tr>
        <w:trPr>
          <w:trHeight w:val="1541"/>
        </w:trPr>
        <w:tc>
          <w:tcPr>
            <w:gridSpan w:val="2"/>
            <w:tcBorders/>
            <w:tcW w:w="243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752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743"/>
        </w:trPr>
        <w:tc>
          <w:tcPr>
            <w:shd w:val="clear" w:color="auto" w:fill="auto"/>
            <w:tcBorders/>
            <w:tcMar>
              <w:left w:w="108" w:type="dxa"/>
              <w:top w:w="0" w:type="dxa"/>
              <w:right w:w="108" w:type="dxa"/>
              <w:bottom w:w="0" w:type="dxa"/>
            </w:tcMar>
            <w:tcW w:w="2330" w:type="dxa"/>
            <w:textDirection w:val="lrTb"/>
            <w:noWrap w:val="false"/>
          </w:tcPr>
          <w:p>
            <w:pPr>
              <w:pStyle w:val="1038"/>
              <w:pBdr/>
              <w:spacing w:after="60"/>
              <w:ind/>
              <w:rPr>
                <w:color w:val="000000" w:themeColor="text1"/>
                <w:sz w:val="24"/>
                <w:szCs w:val="24"/>
              </w:rPr>
            </w:pPr>
            <w:r>
              <w:rPr>
                <w:rStyle w:val="1037"/>
                <w:rFonts w:ascii="Times New Roman" w:hAnsi="Times New Roman"/>
                <w:color w:val="000000" w:themeColor="text1"/>
                <w:lang w:val="pt-BR"/>
              </w:rPr>
              <w:t xml:space="preserve">Số: </w:t>
            </w:r>
            <w:r>
              <w:rPr>
                <w:rStyle w:val="1037"/>
                <w:rFonts w:ascii="Times New Roman" w:hAnsi="Times New Roman"/>
                <w:color w:val="000000" w:themeColor="text1"/>
                <w:lang w:val="pt-BR"/>
              </w:rPr>
              <w:t xml:space="preserve">275/2026/1275/VFI-BC.T003.A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7527" w:type="dxa"/>
            <w:textDirection w:val="lrTb"/>
            <w:noWrap w:val="false"/>
          </w:tcPr>
          <w:p>
            <w:pPr>
              <w:pStyle w:val="1038"/>
              <w:pBdr/>
              <w:spacing w:after="60"/>
              <w:ind w:right="-56"/>
              <w:jc w:val="right"/>
              <w:rPr>
                <w:color w:val="000000" w:themeColor="text1"/>
                <w:sz w:val="24"/>
                <w:szCs w:val="24"/>
                <w:lang w:val="vi-VN"/>
              </w:rPr>
            </w:pPr>
            <w:r>
              <w:rPr>
                <w:rStyle w:val="1037"/>
                <w:rFonts w:ascii="Times New Roman" w:hAnsi="Times New Roman"/>
                <w:i/>
                <w:color w:val="auto"/>
              </w:rPr>
              <w:t xml:space="preserve">TP. Hà Nội</w:t>
            </w:r>
            <w:r>
              <w:rPr>
                <w:rStyle w:val="1037"/>
                <w:rFonts w:ascii="Times New Roman" w:hAnsi="Times New Roman"/>
                <w:i/>
                <w:color w:val="auto"/>
                <w:lang w:val="vi-VN"/>
              </w:rPr>
              <w:t xml:space="preserve">, </w:t>
            </w:r>
            <w:r>
              <w:rPr>
                <w:rStyle w:val="1037"/>
                <w:rFonts w:ascii="Times New Roman" w:hAnsi="Times New Roman"/>
                <w:i/>
                <w:color w:val="000000" w:themeColor="text1"/>
                <w:lang w:val="vi-VN"/>
              </w:rPr>
              <w:t xml:space="preserve">ngày 17 tháng 8 năm 2026</w:t>
            </w:r>
            <w:r>
              <w:rPr>
                <w:color w:val="000000" w:themeColor="text1"/>
                <w:sz w:val="24"/>
                <w:szCs w:val="24"/>
                <w:lang w:val="vi-VN"/>
              </w:rPr>
            </w:r>
            <w:r>
              <w:rPr>
                <w:color w:val="000000" w:themeColor="text1"/>
                <w:sz w:val="24"/>
                <w:szCs w:val="24"/>
                <w:lang w:val="vi-VN"/>
              </w:rPr>
            </w:r>
          </w:p>
        </w:tc>
      </w:tr>
    </w:tbl>
    <w:p>
      <w:pPr>
        <w:pStyle w:val="103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275/2026/1275/VFI-CT.T003.A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17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3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Bà Nguyễn Thị Thu Giang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026186005045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1986</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TDP Trung Thành, Vĩnh Phúc, Phú Thọ</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Quyền sử dụng đất tại Thửa đất số: 1080, tờ bản đồ số: 30, địa chỉ: TDP Trung Thành, phường Định Trung, thành phố Vĩnh Yên, tỉnh Vĩnh Phúc</w:t>
            </w:r>
            <w:r>
              <w:rPr>
                <w:color w:val="ff0000"/>
                <w:highlight w:val="white"/>
              </w:rPr>
              <w:t xml:space="preserve"> </w:t>
            </w:r>
            <w:r>
              <w:rPr>
                <w:i/>
                <w:iCs/>
                <w:color w:val="ff0000"/>
                <w:highlight w:val="white"/>
              </w:rPr>
              <w:t xml:space="preserve">(Nay là phường Vĩnh Phúc, tỉnh Phú Thọ)</w:t>
            </w:r>
            <w:r>
              <w:rPr>
                <w:color w:val="ff0000"/>
              </w:rPr>
              <w:t xml:space="preserve"> </w:t>
            </w:r>
            <w:r>
              <w:rPr>
                <w:color w:val="000000"/>
              </w:rPr>
              <w:t xml:space="preserve">theo Giấ</w:t>
            </w:r>
            <w:r>
              <w:rPr>
                <w:color w:val="000000"/>
              </w:rPr>
              <w:t xml:space="preserve">y </w:t>
            </w:r>
            <w:r>
              <w:rPr>
                <w:color w:val="000000"/>
              </w:rPr>
              <w:t xml:space="preserve">ch</w:t>
            </w:r>
            <w:r>
              <w:rPr>
                <w:color w:val="000000"/>
              </w:rPr>
              <w:t xml:space="preserve">ứng nhận quyền sử dụng đất, quyền sở hữu nhà ở và tài sản khác gắn liền với đất số: DQ 870893, số vào sổ cấp GCN: CN 3155 do Chi nhánh Văn phòng đăng ký đất đai TP Vĩnh Yên cấp ngày 31/12/2024; Chủ sử dụng đất là Ông Đỗ Anh Toàn và Bà Nguyễn Thị Thu Giang.</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val="0"/>
                <w:i w:val="0"/>
                <w:color w:val="000000" w:themeColor="text1"/>
              </w:rPr>
            </w:pPr>
            <w:r>
              <w:rPr>
                <w:color w:val="000000" w:themeColor="text1"/>
                <w:lang w:val="pt-BR"/>
              </w:rPr>
            </w:r>
            <w:r>
              <w:rPr>
                <w:i w:val="0"/>
                <w:iCs w:val="0"/>
                <w:color w:val="000000" w:themeColor="text1"/>
                <w:highlight w:val="none"/>
              </w:rPr>
              <w:t xml:space="preserve">P</w:t>
            </w:r>
            <w:r>
              <w:rPr>
                <w:i w:val="0"/>
                <w:iCs w:val="0"/>
                <w:color w:val="000000" w:themeColor="text1"/>
                <w:highlight w:val="white"/>
              </w:rPr>
              <w:t xml:space="preserve">hường Vĩnh Phúc, tỉnh Phú Thọ</w:t>
            </w:r>
            <w:r>
              <w:rPr>
                <w:i w:val="0"/>
                <w:iCs w:val="0"/>
                <w:color w:val="000000" w:themeColor="text1"/>
                <w:lang w:val="pt-BR"/>
              </w:rPr>
              <w:t xml:space="preserve">.</w:t>
            </w:r>
            <w:r>
              <w:rPr>
                <w:bCs w:val="0"/>
                <w:i w:val="0"/>
                <w:color w:val="000000" w:themeColor="text1"/>
              </w:rPr>
            </w:r>
            <w:r>
              <w:rPr>
                <w:bCs w:val="0"/>
                <w:i w:val="0"/>
                <w:color w:val="000000" w:themeColor="text1"/>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(21.3232789, 105.5918141)</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9"/>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9"/>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9"/>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9"/>
        <w:numPr>
          <w:ilvl w:val="0"/>
          <w:numId w:val="2"/>
        </w:numPr>
        <w:pBdr/>
        <w:tabs>
          <w:tab w:val="left" w:leader="none" w:pos="993"/>
        </w:tabs>
        <w:spacing w:after="120" w:before="120" w:line="276" w:lineRule="auto"/>
        <w:ind/>
        <w:jc w:val="both"/>
        <w:rPr>
          <w:i/>
          <w:iCs/>
          <w:color w:val="ff0000"/>
        </w:rPr>
      </w:pPr>
      <w:r>
        <w:rPr>
          <w:bCs/>
          <w:color w:val="ff0000"/>
          <w:lang w:val="pt-BR"/>
        </w:rPr>
      </w:r>
      <w:r>
        <w:rPr>
          <w:color w:val="ff0000"/>
        </w:rPr>
        <w:t xml:space="preserve">Giấ</w:t>
      </w:r>
      <w:r>
        <w:rPr>
          <w:color w:val="ff0000"/>
        </w:rPr>
        <w:t xml:space="preserve">y </w:t>
      </w:r>
      <w:r>
        <w:rPr>
          <w:color w:val="ff0000"/>
        </w:rPr>
        <w:t xml:space="preserve">ch</w:t>
      </w:r>
      <w:r>
        <w:rPr>
          <w:color w:val="ff0000"/>
        </w:rPr>
        <w:t xml:space="preserve">ứng nhận quyền sử dụng đất, quyền sở hữu nhà ở và tài sản khác gắn liền với đất số: DQ 870893, số vào sổ cấp GCN: CN 3155 do Chi nhánh Văn phòng đăng ký đất đai TP Vĩnh Yên cấp ngày 31/12/2024; Chủ sử dụng đất là Ông Đỗ Anh Toàn và Bà Nguyễn Thị Thu Giang</w:t>
      </w:r>
      <w:r>
        <w:rPr>
          <w:color w:val="ff0000"/>
          <w:lang w:val="pt-BR"/>
        </w:rPr>
        <w:t xml:space="preserve">.</w:t>
      </w:r>
      <w:r>
        <w:rPr>
          <w:i/>
          <w:iCs/>
          <w:color w:val="ff0000"/>
        </w:rPr>
      </w:r>
      <w:r>
        <w:rPr>
          <w:i/>
          <w:iCs/>
          <w:color w:val="ff0000"/>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275/2026/1275/VFI-HĐTĐ.T003.A ngày 12/8/2026 giữa Nguyễn Thị Thu Giang với Công ty Cổ phần Thẩm định và Đầu tư Tài chính Hoa Sen;</w:t>
      </w:r>
      <w:r>
        <w:rPr>
          <w:b/>
          <w:lang w:val="pt-BR"/>
        </w:rPr>
      </w:r>
      <w:r>
        <w:rPr>
          <w:b/>
          <w:lang w:val="pt-BR"/>
        </w:rPr>
      </w:r>
    </w:p>
    <w:p>
      <w:pPr>
        <w:pStyle w:val="103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rPr>
      </w:r>
      <w:r>
        <w:rPr>
          <w:b/>
          <w:bCs/>
          <w:highlight w:val="white"/>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i/>
          <w:iCs/>
          <w:lang w:val="pt-BR"/>
        </w:rPr>
      </w:r>
      <w:r>
        <w:rPr>
          <w:rFonts w:ascii="Times New Roman" w:hAnsi="Times New Roman" w:eastAsia="Times New Roman" w:cs="Times New Roman"/>
          <w:color w:val="000000"/>
          <w:sz w:val="24"/>
        </w:rPr>
        <w:t xml:space="preserve">Tài sản thẩm định giá nằm tại TDP Trung Thành, phường Định Trung, thành phố Vĩnh Yên, tỉnh Vĩnh Phúc. Tại thời điểm thẩm định giá năm 2026, khu vực Định Trung nằm trong không gian phát triển đô thị của thành phố Vĩnh Yên, đồng thời có sự liên kết với các k</w:t>
      </w:r>
      <w:r>
        <w:rPr>
          <w:rFonts w:ascii="Times New Roman" w:hAnsi="Times New Roman" w:eastAsia="Times New Roman" w:cs="Times New Roman"/>
          <w:color w:val="000000"/>
          <w:sz w:val="24"/>
        </w:rPr>
        <w:t xml:space="preserve">hu vực dân cư, nhà ở và dịch vụ đang được quy hoạch, đầu tư phát triển.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Theo hệ thống thông tin quy hoạch xây dựng, khu vực thành phố Vĩnh Yên có nhiều đồ án quy hoạch đô thị và phát triển nhà ở. Trong đó, Quy hoạch phân khu A4 tỷ lệ 1/2.000 phát triển khu đô thị trung tâm có quy mô khoảng 1.797,18 ha, dân số dự kiến khoảng 80</w:t>
      </w:r>
      <w:r>
        <w:rPr>
          <w:rFonts w:ascii="Times New Roman" w:hAnsi="Times New Roman" w:eastAsia="Times New Roman" w:cs="Times New Roman"/>
          <w:color w:val="000000"/>
          <w:sz w:val="24"/>
        </w:rPr>
        <w:t xml:space="preserve">.000 người, với các chức năng chủ yếu gồm trung tâm hành chính, kinh tế, văn hóa, giáo dục, nhà ở, dịch vụ công cộng, du lịch và đầu mối giao thông. Bên cạnh đó, Quy hoạch phân khu B2 tỷ lệ 1/2.000 có quy mô khoảng 1.253,58 ha, dân số dự kiến khoảng 65.000</w:t>
      </w:r>
      <w:r>
        <w:rPr>
          <w:rFonts w:ascii="Times New Roman" w:hAnsi="Times New Roman" w:eastAsia="Times New Roman" w:cs="Times New Roman"/>
          <w:color w:val="000000"/>
          <w:sz w:val="24"/>
        </w:rPr>
        <w:t xml:space="preserve"> người, được xác định là khu đô thị mới phát triển nhà ở và dịch vụ tại khu vực phía Nam thành phố Vĩnh Yên. Các đồ án trên cho thấy định hướng phát triển đô thị, nhà ở và dịch vụ tại Vĩnh Yên tiếp tục được chú trọng.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Riêng đối với khu vực Định Trung, hệ thống quản lý quy hoạch của tỉnh ghi nhận nhiều đồ án quy hoạch liên quan đến phát triển và chỉnh trang đô thị, trong đó có Quy hoạch chi tiết 1/500 cải tạo chỉnh trang và phát triển đô thị khu số 19 xã Định Trung, Quy </w:t>
      </w:r>
      <w:r>
        <w:rPr>
          <w:rFonts w:ascii="Times New Roman" w:hAnsi="Times New Roman" w:eastAsia="Times New Roman" w:cs="Times New Roman"/>
          <w:color w:val="000000"/>
          <w:sz w:val="24"/>
        </w:rPr>
        <w:t xml:space="preserve">hoạch khu nhà ở đô thị đồi Hai Đai tại xã Định Trung và các đồ án điều chỉnh liên quan. Việc tồn tại các đồ án quy hoạch nhà ở, chỉnh trang và phát triển đô thị là một trong những yếu tố cần xem xét khi đánh giá đặc điểm và triển vọng của thị trường bất độ</w:t>
      </w:r>
      <w:r>
        <w:rPr>
          <w:rFonts w:ascii="Times New Roman" w:hAnsi="Times New Roman" w:eastAsia="Times New Roman" w:cs="Times New Roman"/>
          <w:color w:val="000000"/>
          <w:sz w:val="24"/>
        </w:rPr>
        <w:t xml:space="preserve">ng sản tại khu vực.</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Thị trường bất động sản khu vực Định Trung năm 2026 tương đối đa dạng, trong đó đất ở trong khu dân cư là phân khúc có thông tin chào bán tương đối phổ biến. Qua khảo sát thông tin thị trường, trong năm 2026 có các bất động sản tại Định Trung được chào bán</w:t>
      </w:r>
      <w:r>
        <w:rPr>
          <w:rFonts w:ascii="Times New Roman" w:hAnsi="Times New Roman" w:eastAsia="Times New Roman" w:cs="Times New Roman"/>
          <w:color w:val="000000"/>
          <w:sz w:val="24"/>
        </w:rPr>
        <w:t xml:space="preserve"> với mức giá tham khảo dao động đáng kể tùy thuộc vào vị trí, diện tích, mặt tiền, khả năng tiếp cận ô tô và đặc điểm cụ thể của thửa đất. Chẳng hạn, có tin chào bán thửa đất diện tích 100 m² với giá 2,15 tỷ đồng, tương đương khoảng 21,5 triệu đồng/m²; thử</w:t>
      </w:r>
      <w:r>
        <w:rPr>
          <w:rFonts w:ascii="Times New Roman" w:hAnsi="Times New Roman" w:eastAsia="Times New Roman" w:cs="Times New Roman"/>
          <w:color w:val="000000"/>
          <w:sz w:val="24"/>
        </w:rPr>
        <w:t xml:space="preserve">a khoảng 118,1 m² với giá 1,69 tỷ đồng, tương đương khoảng 14,31 triệu đồng/m²; và thửa khoảng 89 m² với giá 950 triệu đồng, tương đương khoảng 10,67 triệu đồng/m². Các mức giá trên là giá chào bán được công bố trên thị trường và không được mặc nhiên coi l</w:t>
      </w:r>
      <w:r>
        <w:rPr>
          <w:rFonts w:ascii="Times New Roman" w:hAnsi="Times New Roman" w:eastAsia="Times New Roman" w:cs="Times New Roman"/>
          <w:color w:val="000000"/>
          <w:sz w:val="24"/>
        </w:rPr>
        <w:t xml:space="preserve">à giá giao dịch thành công.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Nhìn chung, trong năm 2026, thị trường bất động sản tại Định Trung có sự phân hóa theo vị trí và đặc điểm của từng bất động sản. Các thửa đất có vị trí thuận lợi, đường giao thông rộng, khả năng tiếp cận bằng ô tô, gần các tuyến đường chính, có hình dạng t</w:t>
      </w:r>
      <w:r>
        <w:rPr>
          <w:rFonts w:ascii="Times New Roman" w:hAnsi="Times New Roman" w:eastAsia="Times New Roman" w:cs="Times New Roman"/>
          <w:color w:val="000000"/>
          <w:sz w:val="24"/>
        </w:rPr>
        <w:t xml:space="preserve">ương đối vuông vắn, mặt tiền phù hợp, pháp lý đầy đủ và thuận lợi cho việc xây dựng nhà ở thường có khả năng tiếp cận thị trường và thanh khoản tốt hơn. Ngược lại, các bất động sản nằm sâu trong khu dân cư, đường giao thông nhỏ, hình dạng bất lợi hoặc có h</w:t>
      </w:r>
      <w:r>
        <w:rPr>
          <w:rFonts w:ascii="Times New Roman" w:hAnsi="Times New Roman" w:eastAsia="Times New Roman" w:cs="Times New Roman"/>
          <w:color w:val="000000"/>
          <w:sz w:val="24"/>
        </w:rPr>
        <w:t xml:space="preserve">ạn chế về pháp lý và khả năng sử dụng thường có mức độ hấp dẫn thấp hơn.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Đối với tài sản thẩm định giá tại TDP Trung Thành, việc xác định giá trị thị trường cần xem xét đồng thời các yếu tố về vị trí, khoảng cách đến các tuyến đường chính, chiều rộng đường tiếp giáp, khả năng tiếp cận bằng phương tiện giao thông, diện tích, kíc</w:t>
      </w:r>
      <w:r>
        <w:rPr>
          <w:rFonts w:ascii="Times New Roman" w:hAnsi="Times New Roman" w:eastAsia="Times New Roman" w:cs="Times New Roman"/>
          <w:color w:val="000000"/>
          <w:sz w:val="24"/>
        </w:rPr>
        <w:t xml:space="preserve">h thước và hình dạng thửa đất, chiều rộng mặt tiền, mục đích sử dụng đất, thời hạn sử dụng, tình trạng pháp lý và các tiện ích xung quanh.</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Do giá chào bán trên thị trường có thể khác biệt so với giá giao dịch thực tế, các thông tin chào bán chỉ được sử dụng làm nguồn tham khảo ban đầu. Khi áp dụng phương pháp so sánh để xác định giá trị tài sản, cần ưu tiên các giao dịch hoặc thông tin có độ </w:t>
      </w:r>
      <w:r>
        <w:rPr>
          <w:rFonts w:ascii="Times New Roman" w:hAnsi="Times New Roman" w:eastAsia="Times New Roman" w:cs="Times New Roman"/>
          <w:color w:val="000000"/>
          <w:sz w:val="24"/>
        </w:rPr>
        <w:t xml:space="preserve">tin cậy cao, có đặc điểm tương đồng với tài sản thẩm định giá và được kiểm tra, xác minh tại thời điểm khảo sát. Đồng thời, cần thực hiện điều chỉnh phù hợp đối với các khác biệt về vị trí, diện tích, mặt tiền, hình dạng, điều kiện giao thông, pháp lý, mục</w:t>
      </w:r>
      <w:r>
        <w:rPr>
          <w:rFonts w:ascii="Times New Roman" w:hAnsi="Times New Roman" w:eastAsia="Times New Roman" w:cs="Times New Roman"/>
          <w:color w:val="000000"/>
          <w:sz w:val="24"/>
        </w:rPr>
        <w:t xml:space="preserve"> đích sử dụng và các yếu tố khác có ảnh hưởng đến giá trị.</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Trên cơ sở các thông tin quy hoạch, phát triển nhà ở, hạ tầng và khảo sát thị trường nêu trên, có thể nhận định khu vực Định Trung tiếp tục nằm trong quá trình phát triển và hoàn thiện không gian đô thị. Tuy nhiên, mức giá và khả năng thanh khoản của từng </w:t>
      </w:r>
      <w:r>
        <w:rPr>
          <w:rFonts w:ascii="Times New Roman" w:hAnsi="Times New Roman" w:eastAsia="Times New Roman" w:cs="Times New Roman"/>
          <w:color w:val="000000"/>
          <w:sz w:val="24"/>
        </w:rPr>
        <w:t xml:space="preserve">bất động sản vẫn phụ thuộc chủ yếu vào vị trí và đặc điểm cụ thể của tài sản. Vì vậy, khi xác định giá trị thị trường tại thời điểm năm 2026, cần ưu tiên lựa chọn các bất động sản so sánh có vị trí và đặc điểm tương đồng trong khu vực Định Trung và các khu</w:t>
      </w:r>
      <w:r>
        <w:rPr>
          <w:rFonts w:ascii="Times New Roman" w:hAnsi="Times New Roman" w:eastAsia="Times New Roman" w:cs="Times New Roman"/>
          <w:color w:val="000000"/>
          <w:sz w:val="24"/>
        </w:rPr>
        <w:t xml:space="preserve"> vực lân cận, đồng thời phân tích và điều chỉnh đầy đủ các yếu tố khác biệt trước khi đưa ra kết luận về giá trị.</w:t>
      </w:r>
      <w:r>
        <w:rPr>
          <w:rFonts w:ascii="Times New Roman" w:hAnsi="Times New Roman" w:eastAsia="Times New Roman" w:cs="Times New Roman"/>
          <w:sz w:val="24"/>
        </w:rPr>
      </w:r>
      <w:r>
        <w:rPr>
          <w:rFonts w:ascii="Times New Roman" w:hAnsi="Times New Roman" w:eastAsia="Times New Roman" w:cs="Times New Roman"/>
          <w:sz w:val="24"/>
        </w:rPr>
      </w:r>
    </w:p>
    <w:p>
      <w:pPr>
        <w:pStyle w:val="1039"/>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b/>
                <w:bCs/>
                <w:color w:val="000000"/>
              </w:rPr>
              <w:t xml:space="preserve">Quyền sử dụng đất tại Thửa đất số: 1080, tờ bản đồ số: 30, địa chỉ: TDP Trung Thành, phường Định Trung, thành phố Vĩnh Yên, tỉnh Vĩnh Phúc</w:t>
            </w:r>
            <w:r>
              <w:rPr>
                <w:b/>
                <w:bCs/>
                <w:color w:val="ff0000"/>
                <w:highlight w:val="white"/>
              </w:rPr>
              <w:t xml:space="preserve"> </w:t>
            </w:r>
            <w:r>
              <w:rPr>
                <w:b/>
                <w:bCs/>
                <w:i/>
                <w:iCs/>
                <w:color w:val="ff0000"/>
                <w:highlight w:val="white"/>
              </w:rPr>
              <w:t xml:space="preserve">(Nay là phường Vĩnh Phúc, tỉnh Phú Thọ)</w:t>
            </w:r>
            <w:r>
              <w:rPr>
                <w:b/>
                <w:bCs/>
                <w:color w:val="ff0000"/>
              </w:rPr>
              <w:t xml:space="preserve"> </w:t>
            </w:r>
            <w:r>
              <w:rPr>
                <w:b/>
                <w:bCs/>
                <w:color w:val="000000"/>
              </w:rPr>
              <w:t xml:space="preserve">theo Giấ</w:t>
            </w:r>
            <w:r>
              <w:rPr>
                <w:b/>
                <w:bCs/>
                <w:color w:val="000000"/>
              </w:rPr>
              <w:t xml:space="preserve">y </w:t>
            </w:r>
            <w:r>
              <w:rPr>
                <w:b/>
                <w:bCs/>
                <w:color w:val="000000"/>
              </w:rPr>
              <w:t xml:space="preserve">ch</w:t>
            </w:r>
            <w:r>
              <w:rPr>
                <w:b/>
                <w:bCs/>
                <w:color w:val="000000"/>
              </w:rPr>
              <w:t xml:space="preserve">ứng nhận quyền sử dụng đất, quyền sở hữu nhà ở và tài sản khác gắn liền với đất số: DQ 870893, số vào sổ cấp GCN: CN 3155 do Chi nhánh Văn phòng đăng ký đất đai TP Vĩnh Yên cấp ngày 31/12/2024; Chủ sử dụng đất là Ông Đỗ Anh Toàn và Bà Nguyễn Thị Thu Giang.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1080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color w:val="000000"/>
              </w:rPr>
            </w:r>
            <w:r>
              <w:rPr>
                <w:b w:val="0"/>
                <w:bCs w:val="0"/>
                <w:color w:val="000000"/>
              </w:rPr>
              <w:t xml:space="preserve">TDP Trung Thành, phường Định Trung, thành phố Vĩnh Yên, tỉnh Vĩnh Phúc</w:t>
            </w:r>
            <w:r>
              <w:rPr>
                <w:b w:val="0"/>
                <w:bCs w:val="0"/>
                <w:color w:val="ff0000"/>
                <w:highlight w:val="white"/>
              </w:rPr>
              <w:t xml:space="preserve"> </w:t>
            </w:r>
            <w:r>
              <w:rPr>
                <w:b w:val="0"/>
                <w:bCs w:val="0"/>
                <w:i/>
                <w:iCs/>
                <w:color w:val="ff0000"/>
                <w:highlight w:val="white"/>
              </w:rPr>
              <w:t xml:space="preserve">(Nay là phường Vĩnh Phúc, tỉnh Phú Thọ)</w:t>
            </w:r>
            <w:r>
              <w:rPr>
                <w:b w:val="0"/>
                <w:bCs w:val="0"/>
                <w:i/>
                <w:iCs/>
                <w:color w:val="ff0000"/>
                <w:highlight w:val="none"/>
              </w:rPr>
              <w:t xml:space="preserve">.</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311,7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ff0000"/>
              </w:rPr>
            </w:pPr>
            <w:r>
              <w:rPr>
                <w:color w:val="000000"/>
              </w:rPr>
              <w:t xml:space="preserve">Sử dụng</w:t>
            </w:r>
            <w:r>
              <w:rPr>
                <w:color w:val="ff0000"/>
              </w:rPr>
              <w:t xml:space="preserve"> chung</w:t>
            </w:r>
            <w:r>
              <w:rPr>
                <w:color w:val="ff0000"/>
              </w:rPr>
            </w:r>
            <w:r>
              <w:rPr>
                <w:color w:val="ff0000"/>
              </w:rPr>
            </w:r>
          </w:p>
        </w:tc>
      </w:tr>
      <w:tr>
        <w:trPr>
          <w:trHeight w:val="1124"/>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p>
            <w:pPr>
              <w:pBdr/>
              <w:spacing/>
              <w:ind/>
              <w:jc w:val="center"/>
              <w:rPr>
                <w:color w:val="000000"/>
              </w:rPr>
            </w:pPr>
            <w:r>
              <w:rPr>
                <w:color w:val="000000"/>
              </w:rPr>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ODT: 100 m</w:t>
            </w:r>
            <w:r>
              <w:rPr>
                <w:color w:val="000000" w:themeColor="text1"/>
                <w:vertAlign w:val="superscript"/>
              </w:rPr>
              <w:t xml:space="preserve">2</w:t>
            </w:r>
            <w:r>
              <w:rPr>
                <w:color w:val="000000" w:themeColor="text1"/>
              </w:rPr>
              <w:t xml:space="preserve">; Đất CLN: 211,7m</w:t>
            </w:r>
            <w:r>
              <w:rPr>
                <w:color w:val="000000" w:themeColor="text1"/>
                <w:vertAlign w:val="superscript"/>
              </w:rPr>
              <w:t xml:space="preserve">2</w:t>
            </w:r>
            <w:r>
              <w:rPr>
                <w:color w:val="000000"/>
              </w:rPr>
            </w:r>
            <w:r>
              <w:rPr>
                <w:color w:val="000000"/>
              </w:rPr>
            </w:r>
          </w:p>
        </w:tc>
        <w:tc>
          <w:tcPr>
            <w:tcBorders/>
            <w:tcW w:w="2126" w:type="dxa"/>
            <w:vAlign w:val="center"/>
            <w:vMerge w:val="restart"/>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vMerge w:val="restart"/>
            <w:textDirection w:val="lrTb"/>
            <w:noWrap w:val="false"/>
          </w:tcPr>
          <w:p>
            <w:pPr>
              <w:pBdr/>
              <w:spacing/>
              <w:ind/>
              <w:jc w:val="center"/>
              <w:rPr>
                <w:color w:val="000000" w:themeColor="text1"/>
              </w:rPr>
            </w:pPr>
            <w:r>
              <w:rPr>
                <w:color w:val="000000" w:themeColor="text1"/>
              </w:rPr>
              <w:t xml:space="preserve">Đất ODT: Lâu dài; Đất CLN:  </w:t>
            </w:r>
            <w:r>
              <w:rPr>
                <w:color w:val="000000" w:themeColor="text1"/>
              </w:rPr>
              <w:t xml:space="preserve">Đến 15/10/2043</w:t>
            </w:r>
            <w:r>
              <w:rPr>
                <w:color w:val="000000" w:themeColor="text1"/>
              </w:rPr>
            </w:r>
            <w:r>
              <w:rPr>
                <w:color w:val="000000" w:themeColor="text1"/>
              </w:rPr>
            </w:r>
          </w:p>
        </w:tc>
      </w:tr>
      <w:tr>
        <w:trPr>
          <w:trHeight w:val="1124"/>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ff0000"/>
              </w:rPr>
            </w:pPr>
            <w:r>
              <w:rPr>
                <w:color w:val="ff0000"/>
              </w:rPr>
              <w:t xml:space="preserve">Nguồn gốc sử dụng:</w:t>
            </w:r>
            <w:r>
              <w:rPr>
                <w:color w:val="ff0000"/>
              </w:rPr>
            </w:r>
            <w:r>
              <w:rPr>
                <w:color w:val="ff0000"/>
              </w:rPr>
            </w:r>
          </w:p>
        </w:tc>
        <w:tc>
          <w:tcPr>
            <w:gridSpan w:val="3"/>
            <w:tcBorders/>
            <w:tcW w:w="6259" w:type="dxa"/>
            <w:vAlign w:val="center"/>
            <w:vMerge w:val="restart"/>
            <w:textDirection w:val="lrTb"/>
            <w:noWrap w:val="false"/>
          </w:tcPr>
          <w:p>
            <w:pPr>
              <w:pBdr/>
              <w:spacing/>
              <w:ind/>
              <w:jc w:val="both"/>
              <w:rPr>
                <w:color w:val="ff0000"/>
              </w:rPr>
            </w:pPr>
            <w:r>
              <w:rPr>
                <w:color w:val="ff0000"/>
              </w:rPr>
              <w:t xml:space="preserve">Nhận chuyển nhượng đất được Công nhận QSDĐ như giao đất có thu tiền sử dụng đất: 100m</w:t>
            </w:r>
            <w:r>
              <w:rPr>
                <w:color w:val="ff0000"/>
                <w:vertAlign w:val="superscript"/>
              </w:rPr>
              <w:t xml:space="preserve">2</w:t>
            </w:r>
            <w:r>
              <w:rPr>
                <w:color w:val="ff0000"/>
              </w:rPr>
              <w:t xml:space="preserve">; </w:t>
            </w:r>
            <w:r>
              <w:rPr>
                <w:color w:val="ff0000"/>
              </w:rPr>
              <w:t xml:space="preserve">Nhận chuyển nhượng đất được Công nhận QSDĐ như giao đất không thu tiền sử dụng đất: 211,7m</w:t>
            </w:r>
            <w:r>
              <w:rPr>
                <w:color w:val="ff0000"/>
                <w:vertAlign w:val="superscript"/>
              </w:rPr>
              <w:t xml:space="preserve">2</w:t>
            </w:r>
            <w:r>
              <w:rPr>
                <w:color w:val="ff0000"/>
              </w:rPr>
              <w:t xml:space="preserve">.</w:t>
            </w:r>
            <w:r>
              <w:rPr>
                <w:color w:val="ff0000"/>
              </w:rPr>
            </w:r>
            <w:r>
              <w:rPr>
                <w:color w:val="ff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abs>
                <w:tab w:val="left" w:leader="none" w:pos="117"/>
              </w:tabs>
              <w:spacing/>
              <w:ind/>
              <w:jc w:val="both"/>
              <w:rPr>
                <w:color w:val="000000"/>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 xác định vị t</w:t>
            </w:r>
            <w:r>
              <w:rPr>
                <w:rFonts w:ascii="Times New Roman" w:hAnsi="Times New Roman" w:eastAsia="Times New Roman" w:cs="Times New Roman"/>
                <w:color w:val="000000"/>
                <w:sz w:val="24"/>
              </w:rPr>
              <w:t xml:space="preserve">rí tài sản thuộc quy hoạch đất ở.</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r>
            <w:r>
              <w:rPr>
                <w:b/>
                <w:bCs/>
                <w:color w:val="000000"/>
              </w:rPr>
            </w:r>
            <w:r>
              <w:rPr>
                <w:b/>
                <w:bCs/>
                <w:color w:val="000000"/>
              </w:rPr>
            </w:r>
          </w:p>
        </w:tc>
        <w:tc>
          <w:tcPr>
            <w:gridSpan w:val="4"/>
            <w:tcBorders/>
            <w:tcW w:w="8781" w:type="dxa"/>
            <w:vAlign w:val="center"/>
            <w:vMerge w:val="restart"/>
            <w:textDirection w:val="lrTb"/>
            <w:noWrap w:val="false"/>
          </w:tcPr>
          <w:p>
            <w:pPr>
              <w:pBdr/>
              <w:spacing/>
              <w:ind/>
              <w:rPr>
                <w:b/>
                <w:bCs/>
                <w:color w:val="000000"/>
              </w:rPr>
            </w:pPr>
            <w:r>
              <w:rPr>
                <w:b/>
                <w:bCs/>
                <w:color w:val="000000"/>
              </w:rPr>
            </w:r>
            <w:r>
              <mc:AlternateContent>
                <mc:Choice Requires="wpg">
                  <w:drawing>
                    <wp:inline xmlns:wp="http://schemas.openxmlformats.org/drawingml/2006/wordprocessingDrawing" distT="0" distB="0" distL="0" distR="0">
                      <wp:extent cx="5562600" cy="277046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21423" name=""/>
                              <pic:cNvPicPr>
                                <a:picLocks noChangeAspect="1"/>
                              </pic:cNvPicPr>
                              <pic:nvPr/>
                            </pic:nvPicPr>
                            <pic:blipFill rotWithShape="1">
                              <a:blip r:embed="rId17"/>
                              <a:stretch/>
                            </pic:blipFill>
                            <pic:spPr bwMode="auto">
                              <a:xfrm flipH="0" flipV="0">
                                <a:off x="0" y="0"/>
                                <a:ext cx="5562599" cy="27704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8.00pt;height:218.15pt;mso-wrap-distance-left:0.00pt;mso-wrap-distance-top:0.00pt;mso-wrap-distance-right:0.00pt;mso-wrap-distance-bottom:0.00pt;z-index:1;" stroked="false">
                      <v:imagedata r:id="rId17" o:title=""/>
                      <o:lock v:ext="edit" rotation="t"/>
                    </v:shape>
                  </w:pict>
                </mc:Fallback>
              </mc:AlternateConten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ngõ </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02 mặt ngõ</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tiếp đường mặt ngõ.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firstLine="0" w:left="0"/>
              <w:rPr>
                <w:color w:val="000000" w:themeColor="text1"/>
                <w:highlight w:val="none"/>
              </w:rPr>
            </w:pPr>
            <w:r>
              <w:rPr>
                <w:color w:val="000000" w:themeColor="text1"/>
              </w:rPr>
              <w:t xml:space="preserve">+ Hướng Tây Nam: tiếp giáp đường mặt ngõ; </w:t>
            </w:r>
            <w:r>
              <w:rPr>
                <w:color w:val="000000" w:themeColor="text1"/>
                <w:highlight w:val="none"/>
              </w:rPr>
            </w:r>
            <w:r>
              <w:rPr>
                <w:color w:val="000000" w:themeColor="text1"/>
                <w:highlight w:val="none"/>
              </w:rPr>
            </w:r>
          </w:p>
          <w:p>
            <w:pPr>
              <w:pBdr/>
              <w:spacing/>
              <w:ind w:firstLine="0" w:left="0"/>
              <w:rPr>
                <w:color w:val="ff0000"/>
              </w:rPr>
            </w:pPr>
            <w:r>
              <w:rPr>
                <w:color w:val="000000" w:themeColor="text1"/>
                <w:highlight w:val="none"/>
              </w:rPr>
              <w:t xml:space="preserve">+ Hướng Tây Bắc: tiếp giáp đường </w:t>
            </w:r>
            <w:r>
              <w:rPr>
                <w:color w:val="ff0000"/>
                <w:highlight w:val="none"/>
              </w:rPr>
              <w:t xml:space="preserve">và thửa đất khác;</w:t>
            </w:r>
            <w:r>
              <w:rPr>
                <w:color w:val="ff0000"/>
              </w:rPr>
            </w:r>
            <w:r>
              <w:rPr>
                <w:color w:val="ff0000"/>
              </w:rPr>
            </w:r>
          </w:p>
          <w:p>
            <w:pPr>
              <w:pBdr/>
              <w:spacing/>
              <w:ind w:firstLine="0" w:left="0"/>
              <w:rPr>
                <w:color w:val="ff0000"/>
              </w:rPr>
            </w:pPr>
            <w:r>
              <w:rPr>
                <w:color w:val="ff0000"/>
                <w:highlight w:val="none"/>
              </w:rPr>
              <w:t xml:space="preserve">+ Các hướng còn lại: tiếp giáp các thửa đất khác.</w:t>
            </w:r>
            <w:r>
              <w:rPr>
                <w:color w:val="ff0000"/>
              </w:rPr>
            </w:r>
            <w:r>
              <w:rPr>
                <w:color w:val="ff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(21.3232789, 105.5918141)</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458755" cy="2295525"/>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458754" cy="22955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9.82pt;height:180.75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311,7</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12,4</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~23,06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rFonts w:ascii="Times New Roman" w:hAnsi="Times New Roman" w:eastAsia="Times New Roman" w:cs="Times New Roman"/>
                <w:color w:val="000000"/>
                <w:sz w:val="24"/>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ff0000"/>
                <w:highlight w:val="yellow"/>
              </w:rPr>
            </w:pPr>
            <w:r>
              <w:rPr>
                <w:color w:val="000000"/>
              </w:rPr>
              <w:t xml:space="preserve">+</w:t>
            </w:r>
            <w:r>
              <w:rPr>
                <w:color w:val="ff0000"/>
              </w:rPr>
              <w:t xml:space="preserve"> Tại thời điểm thẩm định, trên bất động sản là ngôi nhà Nhà 02 tầng (</w:t>
            </w:r>
            <w:r>
              <w:rPr>
                <w:i/>
                <w:iCs/>
                <w:color w:val="ff0000"/>
              </w:rPr>
              <w:t xml:space="preserve">DTXD là khoảng 96m</w:t>
            </w:r>
            <w:r>
              <w:rPr>
                <w:i/>
                <w:iCs/>
                <w:color w:val="ff0000"/>
                <w:vertAlign w:val="superscript"/>
              </w:rPr>
              <w:t xml:space="preserve">2</w:t>
            </w:r>
            <w:r>
              <w:rPr>
                <w:i/>
                <w:iCs/>
                <w:color w:val="ff0000"/>
              </w:rPr>
              <w:t xml:space="preserve">; tổng diện tích sàn là khoảng 192m</w:t>
            </w:r>
            <w:r>
              <w:rPr>
                <w:i/>
                <w:iCs/>
                <w:color w:val="ff0000"/>
                <w:vertAlign w:val="superscript"/>
              </w:rPr>
              <w:t xml:space="preserve">2</w:t>
            </w:r>
            <w:r>
              <w:rPr>
                <w:color w:val="ff0000"/>
                <w:vertAlign w:val="baseline"/>
              </w:rPr>
              <w:t xml:space="preserve">), xây dựng năm 2009</w:t>
            </w:r>
            <w:r>
              <w:rPr>
                <w:color w:val="ff0000"/>
              </w:rPr>
              <w:t xml:space="preserve">. </w:t>
            </w:r>
            <w:r>
              <w:rPr>
                <w:color w:val="ff0000"/>
                <w:highlight w:val="white"/>
              </w:rPr>
              <w:t xml:space="preserve">Kết cấu</w:t>
            </w:r>
            <w:r>
              <w:rPr>
                <w:color w:val="ff0000"/>
                <w:highlight w:val="none"/>
              </w:rPr>
              <w:t xml:space="preserve"> BTCT, tường gạch xây, nền gạch men, mái lợp ngói. Hiện, ngôi nhà đang sử dụng để ở bình thường.</w:t>
            </w:r>
            <w:r>
              <w:rPr>
                <w:color w:val="ff0000"/>
                <w:highlight w:val="yellow"/>
              </w:rPr>
            </w:r>
            <w:r>
              <w:rPr>
                <w:color w:val="ff0000"/>
                <w:highlight w:val="yellow"/>
              </w:rPr>
            </w:r>
          </w:p>
          <w:p>
            <w:pPr>
              <w:pBdr/>
              <w:spacing/>
              <w:ind/>
              <w:jc w:val="both"/>
              <w:rPr>
                <w:color w:val="ff0000"/>
              </w:rPr>
            </w:pPr>
            <w:r>
              <w:rPr>
                <w:color w:val="ff0000"/>
              </w:rPr>
              <w:t xml:space="preserve">+ CTXT trên chưa được chứng nhận trên GCN. </w:t>
            </w:r>
            <w:r>
              <w:rPr>
                <w:color w:val="ff0000"/>
              </w:rPr>
            </w:r>
            <w:r>
              <w:rPr>
                <w:color w:val="ff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43"/>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TDP Trung Thành phường Định Trung thành phố Vĩnh Yên tỉnh Vĩnh Phúc ✔</w:t>
            </w:r>
            <w:r/>
          </w:p>
        </w:tc>
        <w:tc>
          <w:tcPr>
            <w:tcBorders/>
            <w:tcW w:w="1605" w:type="dxa"/>
            <w:vAlign w:val="center"/>
            <w:textDirection w:val="lrTb"/>
            <w:noWrap w:val="false"/>
          </w:tcPr>
          <w:p>
            <w:pPr>
              <w:pBdr/>
              <w:spacing/>
              <w:ind/>
              <w:jc w:val="center"/>
              <w:rPr>
                <w:highlight w:val="yellow"/>
              </w:rPr>
            </w:pPr>
            <w:r>
              <w:rPr>
                <w:highlight w:val="yellow"/>
              </w:rPr>
            </w:r>
            <w:r>
              <w:t xml:space="preserve">TDP Trung Thành phường Vĩnh Phúc,tỉnh Phú Thọ </w:t>
            </w:r>
            <w:r>
              <w:rPr>
                <w:highlight w:val="yellow"/>
              </w:rPr>
            </w:r>
            <w:r>
              <w:rPr>
                <w:highlight w:val="yellow"/>
              </w:rPr>
            </w:r>
          </w:p>
        </w:tc>
        <w:tc>
          <w:tcPr>
            <w:tcBorders/>
            <w:tcW w:w="1371" w:type="dxa"/>
            <w:vAlign w:val="center"/>
            <w:textDirection w:val="lrTb"/>
            <w:noWrap w:val="false"/>
          </w:tcPr>
          <w:p>
            <w:pPr>
              <w:pBdr/>
              <w:spacing/>
              <w:ind/>
              <w:jc w:val="center"/>
              <w:rPr>
                <w:highlight w:val="white"/>
              </w:rPr>
            </w:pPr>
            <w:r>
              <w:rPr>
                <w:highlight w:val="white"/>
              </w:rPr>
              <w:t xml:space="preserve">Có</w:t>
            </w:r>
            <w:r>
              <w:rPr>
                <w:highlight w:val="white"/>
              </w:rPr>
            </w:r>
            <w:r>
              <w:rPr>
                <w:highlight w:val="white"/>
              </w:rPr>
            </w:r>
          </w:p>
        </w:tc>
        <w:tc>
          <w:tcPr>
            <w:tcBorders/>
            <w:tcW w:w="2149" w:type="dxa"/>
            <w:vAlign w:val="center"/>
            <w:textDirection w:val="lrTb"/>
            <w:noWrap w:val="false"/>
          </w:tcPr>
          <w:p>
            <w:pPr>
              <w:pBdr/>
              <w:spacing/>
              <w:ind/>
              <w:jc w:val="center"/>
              <w:rPr>
                <w:highlight w:val="white"/>
              </w:rPr>
            </w:pPr>
            <w:r>
              <w:rPr>
                <w:highlight w:val="white"/>
              </w:rPr>
              <w:t xml:space="preserve">Sáp nhập địa giới hành chính</w:t>
            </w:r>
            <w:r>
              <w:rPr>
                <w:highlight w:val="white"/>
              </w:rPr>
            </w:r>
            <w:r>
              <w:rPr>
                <w:highlight w:val="white"/>
              </w:rP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highlight w:val="yellow"/>
              </w:rPr>
            </w:pPr>
            <w:r>
              <w:rPr>
                <w:highlight w:val="yellow"/>
              </w:rPr>
            </w:r>
            <w:r>
              <w:t xml:space="preserve">TDP Trung Thành phường Vĩnh Phúc,tỉnh Phú Thọ </w:t>
            </w:r>
            <w:r>
              <w:rPr>
                <w:highlight w:val="yellow"/>
              </w:rPr>
            </w:r>
            <w:r>
              <w:rPr>
                <w:highlight w:val="yellow"/>
              </w:rPr>
            </w:r>
          </w:p>
          <w:p>
            <w:pPr>
              <w:pBdr/>
              <w:spacing/>
              <w:ind/>
              <w:jc w:val="center"/>
              <w:rPr>
                <w:highlight w:val="yellow"/>
              </w:rPr>
            </w:pPr>
            <w:r>
              <w:rPr>
                <w:highlight w:val="yellow"/>
              </w:rPr>
            </w:r>
            <w:r>
              <w:rPr>
                <w:highlight w:val="yellow"/>
              </w:rPr>
            </w:r>
            <w:r>
              <w:rPr>
                <w:highlight w:val="yellow"/>
              </w:rPr>
            </w:r>
          </w:p>
        </w:tc>
        <w:tc>
          <w:tcPr>
            <w:tcBorders/>
            <w:tcW w:w="1605" w:type="dxa"/>
            <w:vAlign w:val="center"/>
            <w:textDirection w:val="lrTb"/>
            <w:noWrap w:val="false"/>
          </w:tcPr>
          <w:p>
            <w:pPr>
              <w:pBdr/>
              <w:spacing/>
              <w:ind/>
              <w:jc w:val="center"/>
              <w:rPr>
                <w:highlight w:val="yellow"/>
              </w:rPr>
            </w:pPr>
            <w:r>
              <w:rPr>
                <w:highlight w:val="yellow"/>
              </w:rPr>
            </w:r>
            <w:r>
              <w:t xml:space="preserve">TDP Trung Thành,phường Vĩnh Phúc,tỉnh Phú Thọ </w:t>
            </w:r>
            <w:r>
              <w:rPr>
                <w:highlight w:val="yellow"/>
              </w:rPr>
            </w:r>
            <w:r>
              <w:rPr>
                <w:highlight w:val="yellow"/>
              </w:rPr>
            </w:r>
          </w:p>
          <w:p>
            <w:pPr>
              <w:pBdr/>
              <w:spacing/>
              <w:ind/>
              <w:jc w:val="center"/>
              <w:rPr>
                <w:highlight w:val="yellow"/>
              </w:rPr>
            </w:pPr>
            <w:r>
              <w:rPr>
                <w:highlight w:val="white"/>
              </w:rPr>
              <w:t xml:space="preserve"> </w:t>
            </w:r>
            <w:r>
              <w:rPr>
                <w:highlight w:val="white"/>
              </w:rPr>
              <w:t xml:space="preserve">✔</w:t>
            </w:r>
            <w:r>
              <w:rPr>
                <w:highlight w:val="yellow"/>
              </w:rPr>
            </w:r>
            <w:r>
              <w:rPr>
                <w:highlight w:val="yellow"/>
              </w:rPr>
            </w:r>
          </w:p>
        </w:tc>
        <w:tc>
          <w:tcPr>
            <w:tcBorders/>
            <w:tcW w:w="1371" w:type="dxa"/>
            <w:vAlign w:val="center"/>
            <w:textDirection w:val="lrTb"/>
            <w:noWrap w:val="false"/>
          </w:tcPr>
          <w:p>
            <w:pPr>
              <w:pBdr/>
              <w:spacing/>
              <w:ind/>
              <w:jc w:val="center"/>
              <w:rPr>
                <w:highlight w:val="white"/>
              </w:rPr>
            </w:pPr>
            <w:r>
              <w:rPr>
                <w:highlight w:val="white"/>
              </w:rPr>
              <w:t xml:space="preserve">Không</w:t>
            </w:r>
            <w:r>
              <w:rPr>
                <w:highlight w:val="white"/>
              </w:rPr>
            </w:r>
            <w:r>
              <w:rPr>
                <w:highlight w:val="white"/>
              </w:rP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color w:val="ff0000"/>
              </w:rPr>
            </w:pPr>
            <w:r>
              <w:rPr>
                <w:color w:val="ff0000"/>
              </w:rPr>
              <w:t xml:space="preserve">Giấy chứng nhận quyền sử dụng đất, quyền sở hữu nhà ở và tài sản gắn liền với đất </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Giấy chứng nhận quyền sử dụng đất, quyền sở hữu nhà ở và tài sản gắn liền với đất ✔</w:t>
            </w:r>
            <w:r>
              <w:rPr>
                <w:color w:val="ff0000"/>
              </w:rPr>
            </w:r>
            <w:r>
              <w:rPr>
                <w:color w:val="ff0000"/>
              </w:rPr>
            </w:r>
          </w:p>
        </w:tc>
        <w:tc>
          <w:tcPr>
            <w:tcBorders/>
            <w:tcW w:w="1371" w:type="dxa"/>
            <w:vAlign w:val="center"/>
            <w:textDirection w:val="lrTb"/>
            <w:noWrap w:val="false"/>
          </w:tcPr>
          <w:p>
            <w:pPr>
              <w:pBdr/>
              <w:spacing/>
              <w:ind/>
              <w:jc w:val="center"/>
              <w:rPr>
                <w:color w:val="ff0000"/>
              </w:rPr>
            </w:pPr>
            <w:r>
              <w:rPr>
                <w:color w:val="ff0000"/>
              </w:rPr>
              <w:t xml:space="preserve">Không</w:t>
            </w:r>
            <w:r>
              <w:rPr>
                <w:color w:val="ff0000"/>
              </w:rPr>
            </w:r>
            <w:r>
              <w:rPr>
                <w:color w:val="ff0000"/>
              </w:rP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color w:val="ff0000"/>
              </w:rPr>
            </w:pPr>
            <w:r>
              <w:rPr>
                <w:color w:val="ff0000"/>
              </w:rPr>
              <w:t xml:space="preserve">Đất ODT: 100m</w:t>
            </w:r>
            <w:r>
              <w:rPr>
                <w:color w:val="ff0000"/>
                <w:vertAlign w:val="superscript"/>
              </w:rPr>
              <w:t xml:space="preserve">2</w:t>
            </w:r>
            <w:r>
              <w:rPr>
                <w:color w:val="ff0000"/>
              </w:rPr>
              <w:t xml:space="preserve">; Đất CLN: 211,7m</w:t>
            </w:r>
            <w:r>
              <w:rPr>
                <w:color w:val="ff0000"/>
                <w:vertAlign w:val="superscript"/>
              </w:rPr>
              <w:t xml:space="preserve">2</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Đất ODT: 100m</w:t>
            </w:r>
            <w:r>
              <w:rPr>
                <w:color w:val="ff0000"/>
                <w:vertAlign w:val="superscript"/>
              </w:rPr>
              <w:t xml:space="preserve">2</w:t>
            </w:r>
            <w:r>
              <w:rPr>
                <w:color w:val="ff0000"/>
              </w:rPr>
              <w:t xml:space="preserve">; Đất CLN: 211,7m</w:t>
            </w:r>
            <w:r>
              <w:rPr>
                <w:color w:val="ff0000"/>
                <w:vertAlign w:val="superscript"/>
              </w:rPr>
              <w:t xml:space="preserve">2</w:t>
            </w:r>
            <w:r>
              <w:rPr>
                <w:color w:val="ff0000"/>
              </w:rPr>
              <w:t xml:space="preserve">✔</w:t>
            </w:r>
            <w:r>
              <w:rPr>
                <w:color w:val="ff0000"/>
              </w:rPr>
            </w:r>
            <w:r>
              <w:rPr>
                <w:color w:val="ff0000"/>
              </w:rPr>
            </w:r>
          </w:p>
        </w:tc>
        <w:tc>
          <w:tcPr>
            <w:tcBorders/>
            <w:tcW w:w="1371" w:type="dxa"/>
            <w:vAlign w:val="center"/>
            <w:textDirection w:val="lrTb"/>
            <w:noWrap w:val="false"/>
          </w:tcPr>
          <w:p>
            <w:pPr>
              <w:pBdr/>
              <w:spacing/>
              <w:ind/>
              <w:jc w:val="center"/>
              <w:rPr>
                <w:color w:val="ff0000"/>
              </w:rPr>
            </w:pPr>
            <w:r>
              <w:rPr>
                <w:color w:val="ff0000"/>
              </w:rPr>
              <w:t xml:space="preserve">Không</w:t>
            </w:r>
            <w:r>
              <w:rPr>
                <w:color w:val="ff0000"/>
              </w:rPr>
            </w:r>
            <w:r>
              <w:rPr>
                <w:color w:val="ff0000"/>
              </w:rP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color w:val="000000" w:themeColor="text1"/>
              </w:rPr>
            </w:pPr>
            <w:r>
              <w:rPr>
                <w:color w:val="000000" w:themeColor="text1"/>
              </w:rPr>
              <w:t xml:space="preserve">Đất ODT: Lâu dài; Đất CLN:  </w:t>
            </w:r>
            <w:r>
              <w:rPr>
                <w:color w:val="000000" w:themeColor="text1"/>
              </w:rPr>
              <w:t xml:space="preserve">Đến 15/10/2043</w:t>
            </w:r>
            <w:r>
              <w:rPr>
                <w:color w:val="000000" w:themeColor="text1"/>
              </w:rPr>
            </w:r>
            <w:r>
              <w:rPr>
                <w:color w:val="000000" w:themeColor="text1"/>
              </w:rPr>
            </w:r>
          </w:p>
        </w:tc>
        <w:tc>
          <w:tcPr>
            <w:tcBorders/>
            <w:tcW w:w="1605" w:type="dxa"/>
            <w:vAlign w:val="center"/>
            <w:textDirection w:val="lrTb"/>
            <w:noWrap w:val="false"/>
          </w:tcPr>
          <w:p>
            <w:pPr>
              <w:pBdr/>
              <w:spacing/>
              <w:ind/>
              <w:jc w:val="center"/>
              <w:rPr>
                <w:color w:val="000000" w:themeColor="text1"/>
              </w:rPr>
            </w:pPr>
            <w:r>
              <w:rPr>
                <w:color w:val="000000" w:themeColor="text1"/>
              </w:rPr>
              <w:t xml:space="preserve">Đất ODT: Lâu dài; Đất CLN:  </w:t>
            </w:r>
            <w:r>
              <w:rPr>
                <w:color w:val="000000" w:themeColor="text1"/>
              </w:rPr>
              <w:t xml:space="preserve">Đến 15/10/2043</w:t>
            </w:r>
            <w:r>
              <w:rPr>
                <w:color w:val="ff0000"/>
              </w:rPr>
              <w:t xml:space="preserve"> ✔</w:t>
            </w:r>
            <w:r>
              <w:rPr>
                <w:color w:val="000000" w:themeColor="text1"/>
              </w:rPr>
            </w:r>
            <w:r>
              <w:rPr>
                <w:color w:val="000000" w:themeColor="text1"/>
              </w:rPr>
            </w:r>
          </w:p>
        </w:tc>
        <w:tc>
          <w:tcPr>
            <w:tcBorders/>
            <w:tcW w:w="1371" w:type="dxa"/>
            <w:vAlign w:val="center"/>
            <w:textDirection w:val="lrTb"/>
            <w:noWrap w:val="false"/>
          </w:tcPr>
          <w:p>
            <w:pPr>
              <w:pBdr/>
              <w:spacing/>
              <w:ind/>
              <w:jc w:val="center"/>
              <w:rPr>
                <w:color w:val="ff0000"/>
              </w:rPr>
            </w:pPr>
            <w:r>
              <w:rPr>
                <w:color w:val="ff0000"/>
              </w:rPr>
              <w:t xml:space="preserve">Không</w:t>
            </w:r>
            <w:r>
              <w:rPr>
                <w:color w:val="ff0000"/>
              </w:rPr>
            </w:r>
            <w:r>
              <w:rPr>
                <w:color w:val="ff0000"/>
              </w:rP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VT3</w:t>
            </w:r>
            <w:r/>
          </w:p>
        </w:tc>
        <w:tc>
          <w:tcPr>
            <w:tcBorders/>
            <w:tcW w:w="1605" w:type="dxa"/>
            <w:vAlign w:val="center"/>
            <w:textDirection w:val="lrTb"/>
            <w:noWrap w:val="false"/>
          </w:tcPr>
          <w:p>
            <w:pPr>
              <w:pBdr/>
              <w:spacing/>
              <w:ind/>
              <w:jc w:val="center"/>
              <w:rPr/>
            </w:pPr>
            <w:r>
              <w:t xml:space="preserve">VT3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không có vỉa hè</w:t>
            </w:r>
            <w:r/>
          </w:p>
        </w:tc>
        <w:tc>
          <w:tcPr>
            <w:tcBorders/>
            <w:tcW w:w="1605" w:type="dxa"/>
            <w:vAlign w:val="center"/>
            <w:textDirection w:val="lrTb"/>
            <w:noWrap w:val="false"/>
          </w:tcPr>
          <w:p>
            <w:pPr>
              <w:pBdr/>
              <w:spacing/>
              <w:ind/>
              <w:jc w:val="center"/>
              <w:rPr/>
            </w:pPr>
            <w:r>
              <w:t xml:space="preserve">Đường nhựa không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4,0</w:t>
            </w:r>
            <w:r/>
          </w:p>
        </w:tc>
        <w:tc>
          <w:tcPr>
            <w:tcBorders/>
            <w:tcW w:w="1605" w:type="dxa"/>
            <w:vAlign w:val="center"/>
            <w:textDirection w:val="lrTb"/>
            <w:noWrap w:val="false"/>
          </w:tcPr>
          <w:p>
            <w:pPr>
              <w:pBdr/>
              <w:spacing/>
              <w:ind/>
              <w:jc w:val="center"/>
              <w:rPr/>
            </w:pPr>
            <w:r>
              <w:t xml:space="preserve">4,0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311,7</w:t>
            </w:r>
            <w:r/>
          </w:p>
        </w:tc>
        <w:tc>
          <w:tcPr>
            <w:tcBorders/>
            <w:tcW w:w="1605" w:type="dxa"/>
            <w:vAlign w:val="center"/>
            <w:textDirection w:val="lrTb"/>
            <w:noWrap w:val="false"/>
          </w:tcPr>
          <w:p>
            <w:pPr>
              <w:pBdr/>
              <w:spacing/>
              <w:ind/>
              <w:jc w:val="center"/>
              <w:rPr/>
            </w:pPr>
            <w:r>
              <w:t xml:space="preserve">311,7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12,4</w:t>
            </w:r>
            <w:r/>
          </w:p>
        </w:tc>
        <w:tc>
          <w:tcPr>
            <w:tcBorders/>
            <w:tcW w:w="1605" w:type="dxa"/>
            <w:vAlign w:val="center"/>
            <w:textDirection w:val="lrTb"/>
            <w:noWrap w:val="false"/>
          </w:tcPr>
          <w:p>
            <w:pPr>
              <w:pBdr/>
              <w:spacing/>
              <w:ind/>
              <w:jc w:val="center"/>
              <w:rPr/>
            </w:pPr>
            <w:r>
              <w:t xml:space="preserve">12,4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color w:val="ff0000"/>
              </w:rPr>
            </w:pPr>
            <w:r>
              <w:rPr>
                <w:color w:val="ff0000"/>
              </w:rPr>
              <w:t xml:space="preserve">~23,06</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~23,06 ✔</w:t>
            </w:r>
            <w:r>
              <w:rPr>
                <w:color w:val="ff0000"/>
              </w:rPr>
            </w:r>
            <w:r>
              <w:rPr>
                <w:color w:val="ff0000"/>
              </w:rPr>
            </w:r>
          </w:p>
        </w:tc>
        <w:tc>
          <w:tcPr>
            <w:tcBorders/>
            <w:tcW w:w="1371" w:type="dxa"/>
            <w:vAlign w:val="center"/>
            <w:textDirection w:val="lrTb"/>
            <w:noWrap w:val="false"/>
          </w:tcPr>
          <w:p>
            <w:pPr>
              <w:pBdr/>
              <w:spacing/>
              <w:ind/>
              <w:jc w:val="center"/>
              <w:rPr>
                <w:color w:val="ff0000"/>
              </w:rPr>
            </w:pPr>
            <w:r>
              <w:rPr>
                <w:color w:val="ff0000"/>
              </w:rPr>
              <w:t xml:space="preserve">0</w:t>
            </w:r>
            <w:r>
              <w:rPr>
                <w:color w:val="ff0000"/>
              </w:rPr>
            </w:r>
            <w:r>
              <w:rPr>
                <w:color w:val="ff0000"/>
              </w:rP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02 mặt tiền</w:t>
            </w:r>
            <w:r/>
          </w:p>
        </w:tc>
        <w:tc>
          <w:tcPr>
            <w:tcBorders/>
            <w:tcW w:w="1605" w:type="dxa"/>
            <w:vAlign w:val="center"/>
            <w:textDirection w:val="lrTb"/>
            <w:noWrap w:val="false"/>
          </w:tcPr>
          <w:p>
            <w:pPr>
              <w:pBdr/>
              <w:spacing/>
              <w:ind/>
              <w:jc w:val="center"/>
              <w:rPr/>
            </w:pPr>
            <w:r>
              <w:t xml:space="preserve">Tiếp giáp 02 mặt ngõ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tcBorders/>
            <w:tcW w:w="1605"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color w:val="ff0000"/>
              </w:rPr>
              <w:t xml:space="preserve">✔</w:t>
            </w:r>
            <w:r>
              <w:rPr>
                <w:b/>
                <w:bCs/>
                <w:color w:val="000000"/>
                <w:sz w:val="22"/>
                <w:szCs w:val="22"/>
              </w:rPr>
            </w:r>
            <w:r>
              <w:rPr>
                <w:b/>
                <w:bCs/>
                <w:color w:val="000000"/>
                <w:sz w:val="22"/>
                <w:szCs w:val="22"/>
              </w:rPr>
            </w:r>
          </w:p>
        </w:tc>
        <w:tc>
          <w:tcPr>
            <w:tcBorders/>
            <w:tcW w:w="1371" w:type="dxa"/>
            <w:vAlign w:val="center"/>
            <w:textDirection w:val="lrTb"/>
            <w:noWrap w:val="false"/>
          </w:tcPr>
          <w:p>
            <w:pPr>
              <w:pBdr/>
              <w:spacing/>
              <w:ind/>
              <w:jc w:val="center"/>
              <w:rPr>
                <w:color w:val="ff0000"/>
              </w:rPr>
            </w:pPr>
            <w:r>
              <w:rPr>
                <w:color w:val="ff0000"/>
              </w:rPr>
              <w:t xml:space="preserve">Không</w:t>
            </w:r>
            <w:r>
              <w:rPr>
                <w:color w:val="ff0000"/>
              </w:rPr>
            </w:r>
            <w:r>
              <w:rPr>
                <w:color w:val="ff0000"/>
              </w:rP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color w:val="ff0000"/>
              </w:rPr>
            </w:pPr>
            <w:r>
              <w:rPr>
                <w:color w:val="ff0000"/>
              </w:rPr>
              <w:t xml:space="preserve">Tây Nam ✔</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Tây Nam ✔</w:t>
            </w:r>
            <w:r>
              <w:rPr>
                <w:color w:val="ff0000"/>
              </w:rPr>
            </w:r>
            <w:r>
              <w:rPr>
                <w:color w:val="ff0000"/>
              </w:rPr>
            </w:r>
          </w:p>
        </w:tc>
        <w:tc>
          <w:tcPr>
            <w:tcBorders/>
            <w:tcW w:w="1371" w:type="dxa"/>
            <w:vAlign w:val="center"/>
            <w:textDirection w:val="lrTb"/>
            <w:noWrap w:val="false"/>
          </w:tcPr>
          <w:p>
            <w:pPr>
              <w:pBdr/>
              <w:spacing/>
              <w:ind/>
              <w:jc w:val="center"/>
              <w:rPr>
                <w:color w:val="ff0000"/>
              </w:rPr>
            </w:pPr>
            <w:r>
              <w:rPr>
                <w:color w:val="ff0000"/>
              </w:rPr>
              <w:t xml:space="preserve">Không</w:t>
            </w:r>
            <w:r>
              <w:rPr>
                <w:color w:val="ff0000"/>
              </w:rPr>
            </w:r>
            <w:r>
              <w:rPr>
                <w:color w:val="ff0000"/>
              </w:rP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color w:val="ff0000"/>
              </w:rPr>
            </w:pPr>
            <w:r>
              <w:rPr>
                <w:color w:val="ff0000"/>
              </w:rPr>
              <w:t xml:space="preserve">View khu dân cư ✔</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View khu dân cư ✔</w:t>
            </w:r>
            <w:r>
              <w:rPr>
                <w:color w:val="ff0000"/>
              </w:rPr>
            </w:r>
            <w:r>
              <w:rPr>
                <w:color w:val="ff0000"/>
              </w:rPr>
            </w:r>
          </w:p>
        </w:tc>
        <w:tc>
          <w:tcPr>
            <w:tcBorders/>
            <w:tcW w:w="1371" w:type="dxa"/>
            <w:vAlign w:val="center"/>
            <w:textDirection w:val="lrTb"/>
            <w:noWrap w:val="false"/>
          </w:tcPr>
          <w:p>
            <w:pPr>
              <w:pBdr/>
              <w:spacing/>
              <w:ind/>
              <w:jc w:val="center"/>
              <w:rPr>
                <w:color w:val="ff0000"/>
              </w:rPr>
            </w:pPr>
            <w:r>
              <w:rPr>
                <w:color w:val="ff0000"/>
              </w:rPr>
              <w:t xml:space="preserve">Không</w:t>
            </w:r>
            <w:r>
              <w:rPr>
                <w:color w:val="ff0000"/>
              </w:rPr>
            </w:r>
            <w:r>
              <w:rPr>
                <w:color w:val="ff0000"/>
              </w:rP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color w:val="ff0000"/>
              </w:rPr>
            </w:pPr>
            <w:r>
              <w:rPr>
                <w:color w:val="ff0000"/>
              </w:rPr>
              <w:t xml:space="preserve">Trung bình ✔</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Trung bình ✔</w:t>
            </w:r>
            <w:r>
              <w:rPr>
                <w:color w:val="ff0000"/>
              </w:rPr>
            </w:r>
            <w:r>
              <w:rPr>
                <w:color w:val="ff0000"/>
              </w:rPr>
            </w:r>
          </w:p>
        </w:tc>
        <w:tc>
          <w:tcPr>
            <w:tcBorders/>
            <w:tcW w:w="1371" w:type="dxa"/>
            <w:vAlign w:val="center"/>
            <w:textDirection w:val="lrTb"/>
            <w:noWrap w:val="false"/>
          </w:tcPr>
          <w:p>
            <w:pPr>
              <w:pBdr/>
              <w:spacing/>
              <w:ind/>
              <w:jc w:val="center"/>
              <w:rPr>
                <w:color w:val="ff0000"/>
              </w:rPr>
            </w:pPr>
            <w:r>
              <w:rPr>
                <w:color w:val="ff0000"/>
              </w:rPr>
              <w:t xml:space="preserve">Không</w:t>
            </w:r>
            <w:r>
              <w:rPr>
                <w:color w:val="ff0000"/>
              </w:rPr>
            </w:r>
            <w:r>
              <w:rPr>
                <w:color w:val="ff0000"/>
              </w:rPr>
            </w:r>
          </w:p>
        </w:tc>
        <w:tc>
          <w:tcPr>
            <w:tcBorders/>
            <w:tcW w:w="2149" w:type="dxa"/>
            <w:vAlign w:val="center"/>
            <w:textDirection w:val="lrTb"/>
            <w:noWrap w:val="false"/>
          </w:tcPr>
          <w:p>
            <w:pPr>
              <w:pBdr/>
              <w:spacing/>
              <w:ind/>
              <w:jc w:val="center"/>
              <w:rPr/>
            </w:pPr>
            <w: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sz w:val="4"/>
          <w:szCs w:val="4"/>
          <w:u w:val="single"/>
        </w:rPr>
      </w:pPr>
      <w:r>
        <w:rPr>
          <w:sz w:val="4"/>
          <w:szCs w:val="4"/>
          <w:u w:val="single"/>
        </w:rPr>
      </w:r>
      <w:r>
        <w:rPr>
          <w:sz w:val="4"/>
          <w:szCs w:val="4"/>
          <w:u w:val="single"/>
        </w:rPr>
      </w:r>
      <w:r>
        <w:rPr>
          <w:sz w:val="4"/>
          <w:szCs w:val="4"/>
          <w:u w:val="single"/>
        </w:rPr>
      </w:r>
    </w:p>
    <w:p>
      <w:pPr>
        <w:pStyle w:val="103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9"/>
        <w:numPr>
          <w:ilvl w:val="0"/>
          <w:numId w:val="3"/>
        </w:numPr>
        <w:pBdr/>
        <w:tabs>
          <w:tab w:val="left" w:leader="none" w:pos="993"/>
        </w:tabs>
        <w:spacing w:after="120" w:before="120" w:line="264" w:lineRule="auto"/>
        <w:ind/>
        <w:jc w:val="both"/>
        <w:rPr>
          <w:color w:val="ff0000"/>
          <w:spacing w:val="-2"/>
        </w:rPr>
      </w:pPr>
      <w:r>
        <w:rPr>
          <w:spacing w:val="-2"/>
          <w:lang w:val="pt-BR"/>
        </w:rPr>
      </w:r>
      <w:r>
        <w:rPr>
          <w:rFonts w:ascii="Times New Roman" w:hAnsi="Times New Roman" w:eastAsia="Times New Roman" w:cs="Times New Roman"/>
          <w:color w:val="ff0000"/>
          <w:sz w:val="24"/>
        </w:rPr>
        <w:t xml:space="preserve">Theo khảo sát thực tế, tài sản trên đất là Nhà 02 tầng, tường gạch, mái BTCT, sàn lát gạch men. Diện tích xây dựng khoảng 96m</w:t>
      </w:r>
      <w:r>
        <w:rPr>
          <w:rFonts w:ascii="Times New Roman" w:hAnsi="Times New Roman" w:eastAsia="Times New Roman" w:cs="Times New Roman"/>
          <w:color w:val="ff0000"/>
          <w:sz w:val="20"/>
          <w:vertAlign w:val="superscript"/>
        </w:rPr>
        <w:t xml:space="preserve">2</w:t>
      </w:r>
      <w:r>
        <w:rPr>
          <w:rFonts w:ascii="Times New Roman" w:hAnsi="Times New Roman" w:eastAsia="Times New Roman" w:cs="Times New Roman"/>
          <w:color w:val="ff0000"/>
          <w:sz w:val="24"/>
        </w:rPr>
        <w:t xml:space="preserve">, diện tích sàn xây dựng khoảng 192m</w:t>
      </w:r>
      <w:r>
        <w:rPr>
          <w:rFonts w:ascii="Times New Roman" w:hAnsi="Times New Roman" w:eastAsia="Times New Roman" w:cs="Times New Roman"/>
          <w:color w:val="ff0000"/>
          <w:sz w:val="20"/>
          <w:vertAlign w:val="superscript"/>
        </w:rPr>
        <w:t xml:space="preserve">2</w:t>
      </w:r>
      <w:r>
        <w:rPr>
          <w:rFonts w:ascii="Times New Roman" w:hAnsi="Times New Roman" w:eastAsia="Times New Roman" w:cs="Times New Roman"/>
          <w:color w:val="ff0000"/>
          <w:sz w:val="24"/>
        </w:rPr>
        <w:t xml:space="preserve">. CTXD chưa được chứng nhận trên Giấy chứng nhận quyền sử dụng đất, Tổ thẩm định thực hiện ước tính giá trị công trình xây dựng theo thực tế khảo sát được khách hàng hướng dẫn khảo sát và xác nhận. Việc </w:t>
      </w:r>
      <w:r>
        <w:rPr>
          <w:rFonts w:ascii="Times New Roman" w:hAnsi="Times New Roman" w:eastAsia="Times New Roman" w:cs="Times New Roman"/>
          <w:color w:val="ff0000"/>
          <w:sz w:val="24"/>
        </w:rPr>
        <w:t xml:space="preserve">ảnh </w:t>
      </w:r>
      <w:r>
        <w:rPr>
          <w:rFonts w:ascii="Times New Roman" w:hAnsi="Times New Roman" w:eastAsia="Times New Roman" w:cs="Times New Roman"/>
          <w:color w:val="ff0000"/>
          <w:sz w:val="24"/>
        </w:rPr>
        <w:t xml:space="preserve">hưởng của giá trị này (nếu có) do diện tích và hiện trạng của công trình xây dựng sai khác với hiện trạng, Tổ thẩm định đã khảo sát và có sự xác nhận của khách hàng tại Biên bản khảo sát tài sản kèm theo chứng thư này nằm ngoài phạm vi trách nhiệm của </w:t>
      </w:r>
      <w:r>
        <w:rPr>
          <w:rFonts w:ascii="Times New Roman" w:hAnsi="Times New Roman" w:eastAsia="Times New Roman" w:cs="Times New Roman"/>
          <w:color w:val="ff0000"/>
          <w:sz w:val="24"/>
        </w:rPr>
        <w:t xml:space="preserve">chúng tôi. Khách hàng hoặc bên thứ ba khi sử dụng chứng thư, báo cáo này cần lưu ý, cân nhắc thận trọng và chịu trách nhiệm hoàn toàn trước khi đưa ra quyết định cuối cùng.</w:t>
      </w:r>
      <w:r>
        <w:rPr>
          <w:color w:val="ff0000"/>
          <w:spacing w:val="-2"/>
          <w:lang w:val="pt-BR"/>
        </w:rPr>
        <w:t xml:space="preserve"> </w:t>
      </w:r>
      <w:r>
        <w:rPr>
          <w:rFonts w:ascii="Times New Roman" w:hAnsi="Times New Roman" w:eastAsia="Times New Roman" w:cs="Times New Roman"/>
          <w:color w:val="ff0000"/>
          <w:sz w:val="24"/>
        </w:rPr>
        <w:t xml:space="preserve">Ngoài ra, Tổ thẩm định không có trách nhiệm xác minh chủ sở hữu công trình xây dựng trên. Kính đề nghị đơn vị sử dụng kết quả lưu ý.</w:t>
      </w:r>
      <w:r>
        <w:rPr>
          <w:color w:val="ff0000"/>
          <w:spacing w:val="-2"/>
        </w:rPr>
      </w:r>
      <w:r>
        <w:rPr>
          <w:color w:val="ff0000"/>
          <w:spacing w:val="-2"/>
        </w:rPr>
      </w:r>
    </w:p>
    <w:p>
      <w:pPr>
        <w:pStyle w:val="103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9"/>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9"/>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9"/>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14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yellow"/>
              </w:rPr>
            </w:pPr>
            <w:r>
              <w:rPr>
                <w:highlight w:val="yellow"/>
              </w:rPr>
            </w:r>
            <w:r>
              <w:t xml:space="preserve">TDP Trung Thành, phường Vĩnh Phúc, tỉnh Phú Thọ .</w:t>
            </w:r>
            <w:r>
              <w:rPr>
                <w:highlight w:val="yellow"/>
              </w:rPr>
            </w:r>
            <w:r>
              <w:rPr>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Liên Bảo, Thành phố Vĩnh Yên, Tỉnh Vĩnh Phúc. (</w:t>
            </w:r>
            <w:r>
              <w:rPr>
                <w:i/>
                <w:iCs/>
                <w:color w:val="000000" w:themeColor="text1"/>
                <w:sz w:val="22"/>
                <w:szCs w:val="22"/>
                <w:highlight w:val="white"/>
              </w:rPr>
              <w:t xml:space="preserve">Nay là </w:t>
            </w:r>
            <w:r>
              <w:rPr>
                <w:i/>
                <w:iCs/>
                <w:highlight w:val="white"/>
              </w:rPr>
              <w:t xml:space="preserve">phường Vĩnh Phúc,tỉnh Phú Thọ</w:t>
            </w:r>
            <w:r>
              <w:rPr>
                <w:i/>
                <w:iCs/>
                <w:color w:val="000000" w:themeColor="text1"/>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Liên Bảo, Thành phố Vĩnh Yên, Tỉnh Vĩnh Phúc. (</w:t>
            </w:r>
            <w:r>
              <w:rPr>
                <w:i/>
                <w:iCs/>
                <w:color w:val="000000" w:themeColor="text1"/>
                <w:sz w:val="22"/>
                <w:szCs w:val="22"/>
                <w:highlight w:val="white"/>
              </w:rPr>
              <w:t xml:space="preserve">Nay là </w:t>
            </w:r>
            <w:r>
              <w:rPr>
                <w:i/>
                <w:iCs/>
                <w:highlight w:val="white"/>
              </w:rPr>
              <w:t xml:space="preserve">phường Vĩnh Phúc, tỉnh Phú Thọ</w:t>
            </w:r>
            <w:r>
              <w:rPr>
                <w:i/>
                <w:iCs/>
                <w:color w:val="000000" w:themeColor="text1"/>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Liên Bảo, Thành phố Vĩnh Yên, Tỉnh Vĩnh Phúc. </w:t>
            </w:r>
            <w:r>
              <w:rPr>
                <w:i/>
                <w:iCs/>
                <w:color w:val="000000" w:themeColor="text1"/>
                <w:sz w:val="22"/>
                <w:szCs w:val="22"/>
                <w:highlight w:val="white"/>
              </w:rPr>
              <w:t xml:space="preserve">(Nay là </w:t>
            </w:r>
            <w:r>
              <w:rPr>
                <w:i/>
                <w:iCs/>
                <w:highlight w:val="white"/>
              </w:rPr>
              <w:t xml:space="preserve">phường Vĩnh Phúc, tỉnh Phú Thọ</w:t>
            </w:r>
            <w:r>
              <w:rPr>
                <w:i/>
                <w:iCs/>
                <w:color w:val="000000" w:themeColor="text1"/>
                <w:sz w:val="22"/>
                <w:szCs w:val="22"/>
                <w:highlight w:val="white"/>
              </w:rPr>
              <w:t xml:space="preserve">)</w:t>
            </w:r>
            <w:r>
              <w:rPr>
                <w:sz w:val="22"/>
                <w:szCs w:val="22"/>
                <w:highlight w:val="white"/>
              </w:rPr>
            </w:r>
            <w:r>
              <w:rPr>
                <w:sz w:val="22"/>
                <w:szCs w:val="22"/>
                <w:highlight w:val="white"/>
              </w:rPr>
            </w:r>
          </w:p>
        </w:tc>
      </w:tr>
      <w:tr>
        <w:trPr>
          <w:trHeight w:val="37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0972.780664</w:t>
            </w:r>
            <w:r>
              <w:rPr>
                <w:sz w:val="22"/>
                <w:szCs w:val="22"/>
              </w:rPr>
              <w:t xml:space="preserve"> </w:t>
            </w:r>
            <w:r>
              <w:rPr>
                <w:sz w:val="22"/>
                <w:szCs w:val="22"/>
              </w:rPr>
              <w:br/>
              <w:t xml:space="preserve">(</w:t>
            </w:r>
            <w:r>
              <w:rPr>
                <w:sz w:val="22"/>
                <w:szCs w:val="22"/>
              </w:rPr>
              <w:t xml:space="preserve">Anh Tuấn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0942.422866</w:t>
            </w:r>
            <w:r>
              <w:rPr>
                <w:sz w:val="22"/>
                <w:szCs w:val="22"/>
              </w:rPr>
              <w:br/>
            </w:r>
            <w:r>
              <w:rPr>
                <w:sz w:val="22"/>
                <w:szCs w:val="22"/>
              </w:rPr>
              <w:t xml:space="preserve">(</w:t>
            </w:r>
            <w:r>
              <w:rPr>
                <w:sz w:val="22"/>
                <w:szCs w:val="22"/>
              </w:rPr>
              <w:t xml:space="preserve">Phong Đất</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0904.556146</w:t>
            </w:r>
            <w:r>
              <w:rPr>
                <w:sz w:val="22"/>
                <w:szCs w:val="22"/>
              </w:rPr>
              <w:br/>
            </w:r>
            <w:r>
              <w:rPr>
                <w:sz w:val="22"/>
                <w:szCs w:val="22"/>
              </w:rPr>
              <w:t xml:space="preserve">(A.</w:t>
            </w:r>
            <w:r>
              <w:rPr>
                <w:sz w:val="22"/>
                <w:szCs w:val="22"/>
              </w:rPr>
              <w:t xml:space="preserve">Tuấn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rPr>
            </w:pPr>
            <w:r>
              <w:rPr>
                <w:color w:val="ff0000"/>
              </w:rPr>
              <w:t xml:space="preserve">Đất ODT: 100m</w:t>
            </w:r>
            <w:r>
              <w:rPr>
                <w:color w:val="ff0000"/>
                <w:vertAlign w:val="superscript"/>
              </w:rPr>
              <w:t xml:space="preserve">2</w:t>
            </w:r>
            <w:r>
              <w:rPr>
                <w:color w:val="ff0000"/>
              </w:rPr>
              <w:t xml:space="preserve">; Đất CLN: 211,7m</w:t>
            </w:r>
            <w:r>
              <w:rPr>
                <w:color w:val="ff0000"/>
                <w:vertAlign w:val="superscript"/>
              </w:rPr>
              <w:t xml:space="preserve">2</w:t>
            </w:r>
            <w:r>
              <w:rPr>
                <w:color w:val="ff0000"/>
              </w:rPr>
            </w:r>
            <w:r>
              <w:rPr>
                <w:color w:val="ff000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rPr>
            </w:pPr>
            <w:r>
              <w:rPr>
                <w:color w:val="ff0000"/>
              </w:rPr>
              <w:t xml:space="preserve">Đất ODT: 52,8m</w:t>
            </w:r>
            <w:r>
              <w:rPr>
                <w:color w:val="ff0000"/>
                <w:vertAlign w:val="superscript"/>
              </w:rPr>
              <w:t xml:space="preserve">2</w:t>
            </w:r>
            <w:r>
              <w:rPr>
                <w:color w:val="ff0000"/>
              </w:rPr>
              <w:t xml:space="preserve">; Đất CLN: 45,8m</w:t>
            </w:r>
            <w:r>
              <w:rPr>
                <w:color w:val="ff0000"/>
                <w:vertAlign w:val="superscript"/>
              </w:rPr>
              <w:t xml:space="preserve">2</w:t>
            </w:r>
            <w:r>
              <w:rPr>
                <w:color w:val="ff0000"/>
              </w:rPr>
            </w:r>
            <w:r>
              <w:rPr>
                <w:color w:val="ff000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rPr>
            </w:pPr>
            <w:r>
              <w:rPr>
                <w:color w:val="ff0000"/>
              </w:rPr>
              <w:t xml:space="preserve">Đất ODT: 50m</w:t>
            </w:r>
            <w:r>
              <w:rPr>
                <w:color w:val="ff0000"/>
                <w:vertAlign w:val="superscript"/>
              </w:rPr>
              <w:t xml:space="preserve">2</w:t>
            </w:r>
            <w:r>
              <w:rPr>
                <w:color w:val="ff0000"/>
              </w:rPr>
              <w:t xml:space="preserve">; Đất CLN: 80,1m</w:t>
            </w:r>
            <w:r>
              <w:rPr>
                <w:color w:val="ff0000"/>
                <w:vertAlign w:val="superscript"/>
              </w:rPr>
              <w:t xml:space="preserve">2</w:t>
            </w:r>
            <w:r>
              <w:rPr>
                <w:color w:val="ff0000"/>
              </w:rPr>
            </w:r>
            <w:r>
              <w:rPr>
                <w:color w:val="ff000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rPr>
            </w:pPr>
            <w:r>
              <w:rPr>
                <w:color w:val="ff0000"/>
              </w:rPr>
              <w:t xml:space="preserve">Đất ODT: 30m</w:t>
            </w:r>
            <w:r>
              <w:rPr>
                <w:color w:val="ff0000"/>
                <w:vertAlign w:val="superscript"/>
              </w:rPr>
              <w:t xml:space="preserve">2</w:t>
            </w:r>
            <w:r>
              <w:rPr>
                <w:color w:val="ff0000"/>
              </w:rPr>
              <w:t xml:space="preserve">; Đất CLN: 67,6m</w:t>
            </w:r>
            <w:r>
              <w:rPr>
                <w:color w:val="ff0000"/>
                <w:vertAlign w:val="superscript"/>
              </w:rPr>
              <w:t xml:space="preserve">2</w:t>
            </w:r>
            <w:r>
              <w:rPr>
                <w:color w:val="ff0000"/>
              </w:rPr>
            </w:r>
            <w:r>
              <w:rPr>
                <w:color w:val="ff0000"/>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rPr>
            </w:pPr>
            <w:r>
              <w:rPr>
                <w:color w:val="ff0000"/>
              </w:rPr>
              <w:t xml:space="preserve">Đất ODT: Lâu dài; Đất CLN:  </w:t>
            </w:r>
            <w:r>
              <w:rPr>
                <w:color w:val="ff0000"/>
              </w:rPr>
              <w:t xml:space="preserve">Đến 15/10/2043</w:t>
            </w:r>
            <w:r>
              <w:rPr>
                <w:color w:val="ff0000"/>
              </w:rPr>
            </w:r>
            <w:r>
              <w:rPr>
                <w:color w:val="ff000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Đất ODT: Lâu dài; Đất CLN: </w:t>
            </w:r>
            <w:r>
              <w:rPr>
                <w:color w:val="ff0000"/>
                <w:sz w:val="22"/>
                <w:szCs w:val="22"/>
              </w:rPr>
              <w:t xml:space="preserve">Có thời hạn (đến 31/12/2046)</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Đất ODT: Lâu dài; Đất CLN: </w:t>
            </w:r>
            <w:r>
              <w:rPr>
                <w:color w:val="ff0000"/>
                <w:sz w:val="22"/>
                <w:szCs w:val="22"/>
              </w:rPr>
            </w:r>
            <w:r>
              <w:rPr>
                <w:color w:val="ff0000"/>
                <w:sz w:val="22"/>
                <w:szCs w:val="22"/>
              </w:rPr>
            </w:r>
          </w:p>
          <w:p>
            <w:pPr>
              <w:pBdr/>
              <w:spacing/>
              <w:ind/>
              <w:jc w:val="left"/>
              <w:rPr>
                <w:color w:val="ff0000"/>
                <w:sz w:val="22"/>
                <w:szCs w:val="22"/>
                <w:highlight w:val="none"/>
              </w:rPr>
            </w:pPr>
            <w:r>
              <w:rPr>
                <w:color w:val="ff0000"/>
                <w:sz w:val="22"/>
                <w:szCs w:val="22"/>
              </w:rPr>
              <w:t xml:space="preserve">Có thời hạn (đến 31/12/2046)</w:t>
            </w:r>
            <w:r>
              <w:rPr>
                <w:color w:val="ff0000"/>
                <w:sz w:val="22"/>
                <w:szCs w:val="22"/>
                <w:highlight w:val="none"/>
              </w:rPr>
            </w:r>
            <w:r>
              <w:rPr>
                <w:color w:val="ff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Đất ODT: Lâu dài; Đất CLN: Có thời hạn (đến 31/12/2046)</w:t>
            </w:r>
            <w:r>
              <w:rPr>
                <w:color w:val="ff0000"/>
                <w:sz w:val="22"/>
                <w:szCs w:val="22"/>
              </w:rPr>
            </w:r>
            <w:r>
              <w:rPr>
                <w:color w:val="ff0000"/>
                <w:sz w:val="22"/>
                <w:szCs w:val="22"/>
              </w:rPr>
            </w:r>
          </w:p>
        </w:tc>
      </w:tr>
      <w:tr>
        <w:trPr>
          <w:trHeight w:val="255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Tài sản tại: </w:t>
            </w:r>
            <w:r>
              <w:rPr>
                <w:color w:val="ff0000"/>
              </w:rPr>
              <w:t xml:space="preserve"> Phường Vĩnh Phúc, tỉnh Phú Thọ</w:t>
            </w:r>
            <w:r>
              <w:rPr>
                <w:color w:val="ff0000"/>
                <w:sz w:val="22"/>
                <w:szCs w:val="22"/>
              </w:rPr>
              <w:t xml:space="preserve">, cách đường Nguyễn Tất Thành khoảng 450m</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Tài sản tại: </w:t>
            </w:r>
            <w:r>
              <w:rPr>
                <w:color w:val="ff0000"/>
              </w:rPr>
              <w:t xml:space="preserve">Phường Vĩnh Phúc, tỉnh Phú Thọ</w:t>
            </w:r>
            <w:r>
              <w:rPr>
                <w:color w:val="ff0000"/>
                <w:sz w:val="22"/>
                <w:szCs w:val="22"/>
              </w:rPr>
              <w:t xml:space="preserve">. Tài sản nằm tiếp giáp đường nội xóm, cách trường THPT Trần Phú khoảng 450m</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Tài sản tại: </w:t>
            </w:r>
            <w:r>
              <w:rPr>
                <w:color w:val="ff0000"/>
              </w:rPr>
              <w:t xml:space="preserve">Phường Vĩnh Phúc, tỉnh Phú Thọ</w:t>
            </w:r>
            <w:r>
              <w:rPr>
                <w:color w:val="ff0000"/>
                <w:sz w:val="22"/>
                <w:szCs w:val="22"/>
              </w:rPr>
              <w:t xml:space="preserve">, cách trục chính khoảng 500m</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Tài sản tại: </w:t>
            </w:r>
            <w:r>
              <w:rPr>
                <w:color w:val="ff0000"/>
              </w:rPr>
              <w:t xml:space="preserve">Phường Vĩnh Phúc, tỉnh Phú Thọ</w:t>
            </w:r>
            <w:r>
              <w:rPr>
                <w:color w:val="ff0000"/>
                <w:sz w:val="22"/>
                <w:szCs w:val="22"/>
              </w:rPr>
              <w:t xml:space="preserve">, cách trục chính khoảng 500m.</w:t>
            </w:r>
            <w:r>
              <w:rPr>
                <w:color w:val="ff0000"/>
                <w:sz w:val="22"/>
                <w:szCs w:val="22"/>
              </w:rPr>
            </w:r>
            <w:r>
              <w:rPr>
                <w:color w:val="ff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hỗn hợp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98,6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97,6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~23,06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19,92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ff0000"/>
                <w:sz w:val="22"/>
                <w:szCs w:val="22"/>
              </w:rPr>
            </w:pPr>
            <w:r>
              <w:rPr>
                <w:color w:val="ff0000"/>
                <w:sz w:val="22"/>
                <w:szCs w:val="22"/>
              </w:rPr>
              <w:t xml:space="preserve">Tương đối vuông vức</w:t>
            </w:r>
            <w:r>
              <w:rPr>
                <w:b/>
                <w:bCs/>
                <w:color w:val="ff0000"/>
                <w:sz w:val="22"/>
                <w:szCs w:val="22"/>
              </w:rPr>
            </w:r>
            <w:r>
              <w:rPr>
                <w:b/>
                <w:bCs/>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2.180.000.000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2.136.000.000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1.744.000.000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2.136.000.000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1.744.000.000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21.663.286</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16.910.069</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17.868.852</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2.136.000.000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2.200.000.000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1.744.000.000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21.663.286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16.910.069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17.868.852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24.371.197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19.023.828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20.102.459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t xml:space="preserve"> Phường Vĩnh Phúc, tỉnh Phú Thọ</w:t>
            </w:r>
            <w:r>
              <w:rPr>
                <w:color w:val="000000" w:themeColor="text1"/>
                <w:sz w:val="22"/>
                <w:szCs w:val="22"/>
              </w:rPr>
              <w:t xml:space="preserve">, cách đường Nguyễn Tất Thành khoảng 450m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t xml:space="preserve">Phường Vĩnh Phúc, tỉnh Phú Thọ</w:t>
            </w:r>
            <w:r>
              <w:rPr>
                <w:color w:val="000000" w:themeColor="text1"/>
                <w:sz w:val="22"/>
                <w:szCs w:val="22"/>
              </w:rPr>
              <w:t xml:space="preserve">. Tài sản nằm tiếp giáp đường nội xóm, cách trường THPT Trần Phú khoảng 450m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t xml:space="preserve">Phường Vĩnh Phúc, tỉnh Phú Thọ</w:t>
            </w:r>
            <w:r>
              <w:rPr>
                <w:color w:val="000000" w:themeColor="text1"/>
                <w:sz w:val="22"/>
                <w:szCs w:val="22"/>
              </w:rPr>
              <w:t xml:space="preserve">, cách trục chính khoảng 500m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t xml:space="preserve">Phường Vĩnh Phúc, tỉnh Phú Thọ</w:t>
            </w:r>
            <w:r>
              <w:rPr>
                <w:color w:val="000000" w:themeColor="text1"/>
                <w:sz w:val="22"/>
                <w:szCs w:val="22"/>
              </w:rPr>
              <w:t xml:space="preserve">, cách trục chính khoảng 500m.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-1.516.430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-1.183.705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-1.250.820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20.146.856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15.726.364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16.618.032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20.146.856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15.726.364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16.618.032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-1.299.797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18.847.059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15.726.364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16.618.032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hỗn hợp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311,7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98,6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130,1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97,6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-4.874.239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-3.212.913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-4.020.492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13.972.820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12.513.451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12.597.540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themeColor="text1"/>
                <w:sz w:val="22"/>
                <w:szCs w:val="22"/>
              </w:rPr>
              <w:t xml:space="preserve"> (m)</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1.083.164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951.191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1.005.123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15.055.984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13.464.642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13.602.663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-1.083.164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-845.503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-893.443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13.972.820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12.619.139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12.709.220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ff0000"/>
                <w:sz w:val="22"/>
                <w:szCs w:val="22"/>
              </w:rPr>
            </w:pPr>
            <w:r>
              <w:rPr>
                <w:color w:val="ff0000"/>
                <w:sz w:val="22"/>
                <w:szCs w:val="22"/>
              </w:rPr>
              <w:t xml:space="preserve">Tương đối vuông vức</w:t>
            </w:r>
            <w:r>
              <w:rPr>
                <w:b/>
                <w:bCs/>
                <w:color w:val="ff0000"/>
                <w:sz w:val="22"/>
                <w:szCs w:val="22"/>
              </w:rPr>
            </w:r>
            <w:r>
              <w:rPr>
                <w:b/>
                <w:bCs/>
                <w:color w:val="ff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13.972.820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12.619.139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12.709.220</w:t>
            </w:r>
            <w:r>
              <w:rPr>
                <w:color w:val="000000"/>
                <w:sz w:val="22"/>
                <w:szCs w:val="22"/>
              </w:rPr>
            </w:r>
            <w:r>
              <w:rPr>
                <w:color w:val="000000"/>
                <w:sz w:val="22"/>
                <w:szCs w:val="22"/>
              </w:rPr>
            </w:r>
          </w:p>
        </w:tc>
      </w:tr>
      <w:tr>
        <w:trPr>
          <w:trHeight w:val="20"/>
        </w:trPr>
        <w:tc>
          <w:tcPr>
            <w:tcBorders/>
            <w:tcW w:w="632" w:type="dxa"/>
            <w:vAlign w:val="center"/>
            <w:vMerge w:val="restart"/>
            <w:textDirection w:val="lrTb"/>
            <w:noWrap w:val="false"/>
          </w:tcPr>
          <w:p>
            <w:pPr>
              <w:pBdr/>
              <w:spacing/>
              <w:ind/>
              <w:rPr>
                <w:color w:val="000000"/>
                <w:sz w:val="22"/>
                <w:szCs w:val="22"/>
              </w:rPr>
            </w:pPr>
            <w:r>
              <w:rPr>
                <w:color w:val="000000"/>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vMerge w:val="restart"/>
            <w:textDirection w:val="lrTb"/>
            <w:noWrap w:val="false"/>
          </w:tcPr>
          <w:p>
            <w:pPr>
              <w:pBdr/>
              <w:spacing/>
              <w:ind/>
              <w:rPr>
                <w:b/>
                <w:bCs/>
                <w:color w:val="000000"/>
                <w:sz w:val="22"/>
                <w:szCs w:val="22"/>
              </w:rPr>
            </w:pPr>
            <w:r>
              <w:rPr>
                <w:b/>
                <w:bCs/>
                <w:color w:val="000000"/>
                <w:sz w:val="22"/>
                <w:szCs w:val="22"/>
              </w:rPr>
            </w:r>
            <w:r>
              <w:rPr>
                <w:b/>
                <w:bCs/>
                <w:color w:val="000000"/>
                <w:sz w:val="22"/>
                <w:szCs w:val="22"/>
              </w:rPr>
            </w:r>
            <w:r>
              <w:rPr>
                <w:b/>
                <w:bCs/>
                <w:color w:val="000000"/>
                <w:sz w:val="22"/>
                <w:szCs w:val="22"/>
              </w:rPr>
            </w:r>
          </w:p>
          <w:p>
            <w:pPr>
              <w:pBdr/>
              <w:spacing/>
              <w:ind/>
              <w:rPr>
                <w:b/>
                <w:bCs/>
                <w:color w:val="000000"/>
                <w:sz w:val="22"/>
                <w:szCs w:val="22"/>
              </w:rPr>
            </w:pPr>
            <w:r>
              <w:rPr>
                <w:b/>
                <w:bCs/>
                <w:color w:val="000000" w:themeColor="text1"/>
                <w:sz w:val="22"/>
                <w:szCs w:val="22"/>
              </w:rPr>
            </w:r>
            <w:r>
              <w:rPr>
                <w:b/>
                <w:bCs/>
                <w:color w:val="000000"/>
                <w:sz w:val="22"/>
                <w:szCs w:val="22"/>
              </w:rPr>
            </w:r>
            <w:r>
              <w:rPr>
                <w:b/>
                <w:bCs/>
                <w:color w:val="000000"/>
                <w:sz w:val="22"/>
                <w:szCs w:val="22"/>
              </w:rPr>
            </w:r>
          </w:p>
        </w:tc>
        <w:tc>
          <w:tcPr>
            <w:shd w:val="clear" w:color="000000" w:fill="ffffff"/>
            <w:tcBorders/>
            <w:tcW w:w="1030" w:type="dxa"/>
            <w:vAlign w:val="center"/>
            <w:vMerge w:val="restart"/>
            <w:textDirection w:val="lrTb"/>
            <w:noWrap/>
          </w:tcPr>
          <w:p>
            <w:pPr>
              <w:pBdr/>
              <w:spacing/>
              <w:ind/>
              <w:jc w:val="left"/>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sz w:val="22"/>
                <w:szCs w:val="22"/>
              </w:rPr>
              <w:t xml:space="preserve">32%</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46%</w:t>
            </w:r>
            <w:r>
              <w:rPr>
                <w:color w:val="000000" w:themeColor="text1"/>
                <w:sz w:val="22"/>
                <w:szCs w:val="22"/>
              </w:rPr>
            </w:r>
            <w:r>
              <w:rPr>
                <w:color w:val="000000" w:themeColor="text1"/>
                <w:sz w:val="22"/>
                <w:szCs w:val="22"/>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38,4%</w:t>
            </w:r>
            <w:r>
              <w:rPr>
                <w:color w:val="000000" w:themeColor="text1"/>
                <w:sz w:val="22"/>
                <w:szCs w:val="22"/>
              </w:rPr>
            </w:r>
            <w:r>
              <w:rPr>
                <w:color w:val="000000" w:themeColor="text1"/>
                <w:sz w:val="22"/>
                <w:szCs w:val="22"/>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30,7%</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vMerge w:val="restart"/>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vMerge w:val="restart"/>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-3.249.493</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-1.691.007</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vMerge w:val="restart"/>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pPr>
              <w:pBdr/>
              <w:spacing/>
              <w:ind/>
              <w:jc w:val="center"/>
              <w:rPr>
                <w:b w:val="0"/>
                <w:bCs w:val="0"/>
                <w:color w:val="000000"/>
                <w:sz w:val="22"/>
                <w:szCs w:val="22"/>
              </w:rPr>
            </w:pPr>
            <w:r>
              <w:rPr>
                <w:b w:val="0"/>
                <w:bCs w:val="0"/>
                <w:color w:val="000000" w:themeColor="text1"/>
                <w:sz w:val="22"/>
                <w:szCs w:val="22"/>
              </w:rPr>
              <w:t xml:space="preserve">10.723.327</w:t>
            </w:r>
            <w:r>
              <w:rPr>
                <w:b w:val="0"/>
                <w:bCs w:val="0"/>
                <w:color w:val="000000"/>
                <w:sz w:val="22"/>
                <w:szCs w:val="22"/>
              </w:rPr>
            </w:r>
            <w:r>
              <w:rPr>
                <w:b w:val="0"/>
                <w:bCs w:val="0"/>
                <w:color w:val="000000"/>
                <w:sz w:val="22"/>
                <w:szCs w:val="22"/>
              </w:rPr>
            </w:r>
          </w:p>
        </w:tc>
        <w:tc>
          <w:tcPr>
            <w:shd w:val="clear" w:color="000000" w:fill="ffffff"/>
            <w:tcBorders/>
            <w:tcW w:w="1522" w:type="dxa"/>
            <w:vAlign w:val="center"/>
            <w:vMerge w:val="restart"/>
            <w:textDirection w:val="lrTb"/>
            <w:noWrap/>
          </w:tcPr>
          <w:p>
            <w:pPr>
              <w:pBdr/>
              <w:spacing/>
              <w:ind/>
              <w:jc w:val="center"/>
              <w:rPr>
                <w:b w:val="0"/>
                <w:bCs w:val="0"/>
                <w:color w:val="000000"/>
                <w:sz w:val="22"/>
                <w:szCs w:val="22"/>
              </w:rPr>
            </w:pPr>
            <w:r>
              <w:rPr>
                <w:b w:val="0"/>
                <w:bCs w:val="0"/>
                <w:color w:val="000000" w:themeColor="text1"/>
                <w:sz w:val="22"/>
                <w:szCs w:val="22"/>
              </w:rPr>
              <w:t xml:space="preserve">10.928.132</w:t>
            </w:r>
            <w:r>
              <w:rPr>
                <w:b w:val="0"/>
                <w:bCs w:val="0"/>
                <w:color w:val="000000"/>
                <w:sz w:val="22"/>
                <w:szCs w:val="22"/>
              </w:rPr>
            </w:r>
            <w:r>
              <w:rPr>
                <w:b w:val="0"/>
                <w:bCs w:val="0"/>
                <w:color w:val="000000"/>
                <w:sz w:val="22"/>
                <w:szCs w:val="22"/>
              </w:rPr>
            </w:r>
          </w:p>
        </w:tc>
        <w:tc>
          <w:tcPr>
            <w:shd w:val="clear" w:color="000000" w:fill="ffffff"/>
            <w:tcBorders/>
            <w:tcW w:w="1522" w:type="dxa"/>
            <w:vAlign w:val="center"/>
            <w:vMerge w:val="restart"/>
            <w:textDirection w:val="lrTb"/>
            <w:noWrap/>
          </w:tcPr>
          <w:p>
            <w:pPr>
              <w:pBdr/>
              <w:spacing/>
              <w:ind/>
              <w:jc w:val="center"/>
              <w:rPr>
                <w:b w:val="0"/>
                <w:bCs w:val="0"/>
                <w:color w:val="000000"/>
                <w:sz w:val="22"/>
                <w:szCs w:val="22"/>
              </w:rPr>
            </w:pPr>
            <w:r>
              <w:rPr>
                <w:b w:val="0"/>
                <w:bCs w:val="0"/>
                <w:color w:val="000000" w:themeColor="text1"/>
                <w:sz w:val="22"/>
                <w:szCs w:val="22"/>
              </w:rPr>
              <w:t xml:space="preserve">12.709.220</w:t>
            </w:r>
            <w:r>
              <w:rPr>
                <w:b w:val="0"/>
                <w:bCs w:val="0"/>
                <w:color w:val="000000"/>
                <w:sz w:val="22"/>
                <w:szCs w:val="22"/>
              </w:rPr>
            </w:r>
            <w:r>
              <w:rPr>
                <w:b w:val="0"/>
                <w:bCs w:val="0"/>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10.723.327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10.928.132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12.709.220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11.453.560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-6.38%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-4.59%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10.96%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13.106.287</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7.884.319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7.169.878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05% - 19%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 - 20%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10.939.959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5.981.937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5.159.632</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-6,38</w:t>
      </w:r>
      <w:r>
        <w:t xml:space="preserve">% đến </w:t>
      </w:r>
      <w:r>
        <w:t xml:space="preserve">10,96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10.723.327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3.575.157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10.928.132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3.642.346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12.709.220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4.235.983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11.453.486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11.500.000</w:t>
            </w:r>
            <w:r>
              <w:rPr>
                <w:b/>
                <w:bCs/>
                <w:color w:val="000000"/>
              </w:rPr>
            </w:r>
            <w:r>
              <w:rPr>
                <w:b/>
                <w:bCs/>
                <w:color w:val="000000"/>
              </w:rPr>
            </w:r>
          </w:p>
        </w:tc>
      </w:tr>
    </w:tbl>
    <w:p>
      <w:pPr>
        <w:pBdr/>
        <w:spacing w:after="120" w:before="120" w:line="254"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11.500.000</w:t>
      </w:r>
      <w:r>
        <w:rPr>
          <w:b/>
          <w:bCs/>
          <w:color w:val="000000" w:themeColor="text1"/>
        </w:rPr>
        <w:t xml:space="preserve"> </w:t>
      </w:r>
      <w:r>
        <w:rPr>
          <w:b/>
          <w:bCs/>
        </w:rPr>
        <w:t xml:space="preserve">đồng/m².</w:t>
      </w:r>
      <w:r>
        <w:rPr>
          <w:b/>
          <w:bCs/>
        </w:rPr>
      </w:r>
      <w:r>
        <w:rPr>
          <w:b/>
          <w:bCs/>
        </w:rPr>
      </w:r>
    </w:p>
    <w:p>
      <w:pPr>
        <w:pStyle w:val="1039"/>
        <w:numPr>
          <w:ilvl w:val="0"/>
          <w:numId w:val="26"/>
        </w:numPr>
        <w:pBdr/>
        <w:spacing w:after="120" w:before="120" w:line="254" w:lineRule="auto"/>
        <w:ind w:hanging="357" w:left="357"/>
        <w:jc w:val="both"/>
        <w:rPr>
          <w:b/>
          <w:bCs/>
          <w:highlight w:val="white"/>
        </w:rPr>
      </w:pPr>
      <w:r>
        <w:rPr>
          <w:b/>
          <w:bCs/>
          <w:highlight w:val="white"/>
        </w:rPr>
        <w:t xml:space="preserve">Xác định giá trị tài sản gắn liền với đất</w:t>
      </w:r>
      <w:r>
        <w:rPr>
          <w:b/>
          <w:bCs/>
          <w:highlight w:val="white"/>
        </w:rPr>
      </w:r>
      <w:r>
        <w:rPr>
          <w:b/>
          <w:bCs/>
          <w:highlight w:val="white"/>
        </w:rPr>
      </w:r>
    </w:p>
    <w:p>
      <w:pPr>
        <w:pBdr>
          <w:top w:val="none" w:color="000000" w:sz="4" w:space="0"/>
          <w:left w:val="none" w:color="000000" w:sz="4" w:space="0"/>
          <w:bottom w:val="none" w:color="000000" w:sz="4" w:space="0"/>
          <w:right w:val="none" w:color="000000" w:sz="4" w:space="0"/>
        </w:pBdr>
        <w:spacing w:before="52" w:line="254" w:lineRule="auto"/>
        <w:ind w:right="0" w:firstLine="425" w:left="0"/>
        <w:jc w:val="both"/>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rPr>
        <w:t xml:space="preserve">Qua</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tham</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khảo</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thị</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trường</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về</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đơn</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giá</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xây</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dựng</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mới</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đối</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với</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công</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trình</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nhà</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riêng</w:t>
      </w:r>
      <w:r>
        <w:rPr>
          <w:rFonts w:ascii="Times New Roman" w:hAnsi="Times New Roman" w:eastAsia="Times New Roman" w:cs="Times New Roman"/>
          <w:color w:val="000000" w:themeColor="text1"/>
          <w:spacing w:val="-7"/>
          <w:sz w:val="24"/>
        </w:rPr>
        <w:t xml:space="preserve"> </w:t>
      </w:r>
      <w:r>
        <w:rPr>
          <w:rFonts w:ascii="Times New Roman" w:hAnsi="Times New Roman" w:eastAsia="Times New Roman" w:cs="Times New Roman"/>
          <w:color w:val="000000" w:themeColor="text1"/>
          <w:sz w:val="24"/>
        </w:rPr>
        <w:t xml:space="preserve">lẻ, cân nhắc và xem xét với mức độ hoàn thiện của công trình xây dựng hiện có, Tổ thẩm định nhận thấy đơn giá vận dụng theo Quyết định số 425/QĐ-BXD ngày 30 tháng 3 năm 2026 của Bộ Xây</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dựng</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về</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việc</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công</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bố</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suất</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vốn</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đầu</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tư</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xây</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dựng</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và</w:t>
      </w:r>
      <w:r>
        <w:rPr>
          <w:rFonts w:ascii="Times New Roman" w:hAnsi="Times New Roman" w:eastAsia="Times New Roman" w:cs="Times New Roman"/>
          <w:i w:val="0"/>
          <w:iCs w:val="0"/>
          <w:color w:val="000000" w:themeColor="text1"/>
          <w:sz w:val="24"/>
          <w:szCs w:val="24"/>
          <w:highlight w:val="none"/>
        </w:rPr>
        <w:t xml:space="preserve"> </w:t>
      </w:r>
      <w:r>
        <w:rPr>
          <w:rFonts w:ascii="Times New Roman" w:hAnsi="Times New Roman" w:eastAsia="Times New Roman" w:cs="Times New Roman"/>
          <w:i w:val="0"/>
          <w:iCs w:val="0"/>
          <w:color w:val="000000" w:themeColor="text1"/>
          <w:sz w:val="24"/>
          <w:szCs w:val="24"/>
          <w:highlight w:val="white"/>
        </w:rPr>
        <w:t xml:space="preserve">Quyết định số 409/QĐ-BXD ngày 11/4/2025 của Bộ trưởng Bộ Xây dựng</w:t>
      </w:r>
      <w:r>
        <w:rPr>
          <w:rFonts w:ascii="Times New Roman" w:hAnsi="Times New Roman" w:eastAsia="Times New Roman" w:cs="Times New Roman"/>
          <w:i/>
          <w:color w:val="000000" w:themeColor="text1"/>
          <w:sz w:val="24"/>
          <w:szCs w:val="24"/>
          <w:highlight w:val="white"/>
        </w:rPr>
        <w:t xml:space="preserve">)</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giá</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xây</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dựng</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tổng</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hợp</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bộ</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phận</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kết</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cấu</w:t>
      </w:r>
      <w:r>
        <w:rPr>
          <w:rFonts w:ascii="Times New Roman" w:hAnsi="Times New Roman" w:eastAsia="Times New Roman" w:cs="Times New Roman"/>
          <w:color w:val="000000" w:themeColor="text1"/>
          <w:spacing w:val="-6"/>
          <w:sz w:val="24"/>
        </w:rPr>
        <w:t xml:space="preserve"> </w:t>
      </w:r>
      <w:r>
        <w:rPr>
          <w:rFonts w:ascii="Times New Roman" w:hAnsi="Times New Roman" w:eastAsia="Times New Roman" w:cs="Times New Roman"/>
          <w:color w:val="000000" w:themeColor="text1"/>
          <w:sz w:val="24"/>
        </w:rPr>
        <w:t xml:space="preserve">công trình năm 2025 là khá phù hợp với thị trường, theo đó:</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p>
      <w:pPr>
        <w:pBdr/>
        <w:spacing w:after="60" w:before="60" w:line="254" w:lineRule="auto"/>
        <w:ind/>
        <w:jc w:val="both"/>
        <w:rPr>
          <w:bCs/>
          <w:i/>
          <w:sz w:val="22"/>
          <w:szCs w:val="22"/>
          <w:highlight w:val="yellow"/>
        </w:rPr>
      </w:pPr>
      <w:r>
        <w:rPr>
          <w:rFonts w:ascii="Times New Roman" w:hAnsi="Times New Roman" w:eastAsia="Times New Roman" w:cs="Times New Roman"/>
          <w:i/>
          <w:iCs/>
          <w:color w:val="000000"/>
          <w:sz w:val="24"/>
          <w:szCs w:val="24"/>
          <w:highlight w:val="none"/>
        </w:rPr>
      </w:r>
      <w:r>
        <w:rPr>
          <w:rFonts w:ascii="Times New Roman" w:hAnsi="Times New Roman" w:eastAsia="Times New Roman" w:cs="Times New Roman"/>
          <w:i/>
          <w:iCs/>
          <w:color w:val="000000"/>
          <w:sz w:val="24"/>
        </w:rPr>
        <w:t xml:space="preserve">“</w:t>
      </w:r>
      <w:r>
        <w:rPr>
          <w:rFonts w:ascii="Times New Roman" w:hAnsi="Times New Roman" w:eastAsia="Times New Roman" w:cs="Times New Roman"/>
          <w:i/>
          <w:iCs/>
          <w:color w:val="000000"/>
          <w:sz w:val="24"/>
          <w:szCs w:val="24"/>
          <w:highlight w:val="none"/>
        </w:rPr>
        <w:t xml:space="preserve"> </w:t>
      </w:r>
      <w:r>
        <w:rPr>
          <w:rFonts w:ascii="Times New Roman" w:hAnsi="Times New Roman" w:eastAsia="Times New Roman" w:cs="Times New Roman"/>
          <w:i/>
          <w:iCs/>
          <w:color w:val="000000"/>
          <w:sz w:val="24"/>
          <w:szCs w:val="24"/>
          <w:highlight w:val="white"/>
        </w:rPr>
        <w:t xml:space="preserve">Nhà từ 2 đến 3 tầng, kết cấu khung chịu lực BTCT; tường bao xây gạch; sàn, mái BTCT đổ tại chỗ không có tầng hầm</w:t>
      </w:r>
      <w:r>
        <w:rPr>
          <w:rFonts w:ascii="Times New Roman" w:hAnsi="Times New Roman" w:eastAsia="Times New Roman" w:cs="Times New Roman"/>
          <w:i/>
          <w:iCs/>
          <w:color w:val="000000"/>
          <w:sz w:val="24"/>
          <w:szCs w:val="24"/>
          <w:highlight w:val="none"/>
        </w:rPr>
        <w:t xml:space="preserve"> là 8.370.000 </w:t>
      </w:r>
      <w:r>
        <w:rPr>
          <w:rFonts w:ascii="Times New Roman" w:hAnsi="Times New Roman" w:eastAsia="Times New Roman" w:cs="Times New Roman"/>
          <w:i/>
          <w:iCs/>
          <w:color w:val="000000"/>
          <w:sz w:val="24"/>
        </w:rPr>
        <w:t xml:space="preserve"> đồng/m² sàn</w:t>
      </w:r>
      <w:r>
        <w:rPr>
          <w:rFonts w:ascii="Times New Roman" w:hAnsi="Times New Roman" w:eastAsia="Times New Roman" w:cs="Times New Roman"/>
          <w:i/>
          <w:iCs/>
          <w:color w:val="000000"/>
          <w:sz w:val="24"/>
          <w:szCs w:val="24"/>
          <w:highlight w:val="none"/>
        </w:rPr>
        <w:t xml:space="preserve">, </w:t>
      </w:r>
      <w:r>
        <w:rPr>
          <w:rFonts w:ascii="Times New Roman" w:hAnsi="Times New Roman" w:eastAsia="Times New Roman" w:cs="Times New Roman"/>
          <w:i/>
          <w:iCs/>
          <w:color w:val="000000"/>
          <w:sz w:val="24"/>
        </w:rPr>
        <w:t xml:space="preserve">hệ số vùng 7</w:t>
      </w:r>
      <w:r>
        <w:rPr>
          <w:rFonts w:ascii="Times New Roman" w:hAnsi="Times New Roman" w:eastAsia="Times New Roman" w:cs="Times New Roman"/>
          <w:i/>
          <w:iCs/>
          <w:color w:val="000000"/>
          <w:sz w:val="24"/>
          <w:szCs w:val="24"/>
          <w:highlight w:val="none"/>
        </w:rPr>
        <w:t xml:space="preserve"> - Vĩnh Phúc là 0,948 , tương đương với đơn giá:</w:t>
      </w:r>
      <w:r>
        <w:rPr>
          <w:rFonts w:ascii="Times New Roman" w:hAnsi="Times New Roman" w:eastAsia="Times New Roman" w:cs="Times New Roman"/>
          <w:b/>
          <w:bCs/>
          <w:i/>
          <w:iCs/>
          <w:color w:val="000000"/>
          <w:sz w:val="24"/>
          <w:szCs w:val="24"/>
          <w:highlight w:val="white"/>
        </w:rPr>
        <w:t xml:space="preserve"> </w:t>
      </w:r>
      <w:r>
        <w:rPr>
          <w:b/>
          <w:bCs/>
          <w:i/>
          <w:iCs/>
          <w:sz w:val="22"/>
          <w:szCs w:val="22"/>
          <w:highlight w:val="white"/>
        </w:rPr>
        <w:t xml:space="preserve">7.213.418</w:t>
      </w:r>
      <w:r>
        <w:rPr>
          <w:b/>
          <w:bCs/>
          <w:i/>
          <w:iCs/>
        </w:rPr>
        <w:t xml:space="preserve"> </w:t>
      </w:r>
      <w:r>
        <w:rPr>
          <w:rFonts w:ascii="Times New Roman" w:hAnsi="Times New Roman" w:eastAsia="Times New Roman" w:cs="Times New Roman"/>
          <w:b/>
          <w:bCs/>
          <w:i/>
          <w:iCs/>
          <w:color w:val="000000"/>
          <w:sz w:val="24"/>
        </w:rPr>
        <w:t xml:space="preserve">đồng/m</w:t>
      </w:r>
      <w:r>
        <w:rPr>
          <w:rFonts w:ascii="Times New Roman" w:hAnsi="Times New Roman" w:eastAsia="Times New Roman" w:cs="Times New Roman"/>
          <w:b/>
          <w:bCs/>
          <w:i/>
          <w:iCs/>
          <w:color w:val="000000"/>
          <w:sz w:val="20"/>
          <w:vertAlign w:val="superscript"/>
        </w:rPr>
        <w:t xml:space="preserve">2</w:t>
      </w:r>
      <w:r>
        <w:rPr>
          <w:rFonts w:ascii="Times New Roman" w:hAnsi="Times New Roman" w:eastAsia="Times New Roman" w:cs="Times New Roman"/>
          <w:b/>
          <w:bCs/>
          <w:i/>
          <w:iCs/>
          <w:color w:val="000000"/>
          <w:sz w:val="24"/>
        </w:rPr>
        <w:t xml:space="preserve">”.</w:t>
      </w:r>
      <w:r>
        <w:rPr>
          <w:bCs/>
          <w:i/>
          <w:sz w:val="22"/>
          <w:szCs w:val="22"/>
          <w:highlight w:val="yellow"/>
        </w:rPr>
      </w:r>
      <w:r>
        <w:rPr>
          <w:bCs/>
          <w:i/>
          <w:sz w:val="22"/>
          <w:szCs w:val="22"/>
          <w:highlight w:val="yellow"/>
        </w:rPr>
      </w:r>
    </w:p>
    <w:p>
      <w:pPr>
        <w:pBdr>
          <w:top w:val="none" w:color="000000" w:sz="4" w:space="0"/>
          <w:left w:val="none" w:color="000000" w:sz="4" w:space="0"/>
          <w:bottom w:val="none" w:color="000000" w:sz="4" w:space="0"/>
          <w:right w:val="none" w:color="000000" w:sz="4" w:space="0"/>
        </w:pBdr>
        <w:spacing w:after="120" w:before="120" w:line="254" w:lineRule="auto"/>
        <w:ind w:right="0" w:firstLine="0" w:left="0"/>
        <w:jc w:val="both"/>
        <w:rPr/>
      </w:pPr>
      <w:r>
        <w:rPr>
          <w:rFonts w:ascii="Times New Roman" w:hAnsi="Times New Roman" w:eastAsia="Times New Roman" w:cs="Times New Roman"/>
          <w:color w:val="000000"/>
          <w:sz w:val="24"/>
        </w:rPr>
        <w:t xml:space="preserve">Do</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đó,</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Tổ thẩm</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xác định</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đơn giá</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mới của</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trình là: </w:t>
      </w:r>
      <w:r>
        <w:rPr>
          <w:rFonts w:ascii="Times New Roman" w:hAnsi="Times New Roman" w:eastAsia="Times New Roman" w:cs="Times New Roman"/>
          <w:b/>
          <w:i/>
          <w:color w:val="000000"/>
          <w:sz w:val="24"/>
        </w:rPr>
        <w:t xml:space="preserve">7.213.418</w:t>
      </w: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pacing w:val="-2"/>
          <w:sz w:val="24"/>
        </w:rPr>
        <w:t xml:space="preserve">đồng/m².</w:t>
      </w:r>
      <w:r/>
    </w:p>
    <w:p>
      <w:pPr>
        <w:numPr>
          <w:ilvl w:val="0"/>
          <w:numId w:val="44"/>
        </w:numPr>
        <w:pBdr>
          <w:top w:val="none" w:color="000000" w:sz="4" w:space="0"/>
          <w:left w:val="none" w:color="000000" w:sz="4" w:space="0"/>
          <w:bottom w:val="none" w:color="000000" w:sz="4" w:space="0"/>
          <w:right w:val="none" w:color="000000" w:sz="4" w:space="0"/>
        </w:pBdr>
        <w:spacing w:after="120" w:before="120" w:line="254" w:lineRule="auto"/>
        <w:ind/>
        <w:jc w:val="both"/>
        <w:rPr>
          <w:highlight w:val="white"/>
        </w:rPr>
      </w:pPr>
      <w:r>
        <w:rPr>
          <w:rFonts w:ascii="Times New Roman" w:hAnsi="Times New Roman" w:eastAsia="Times New Roman" w:cs="Times New Roman"/>
          <w:b/>
          <w:color w:val="000000"/>
          <w:sz w:val="24"/>
          <w:highlight w:val="white"/>
        </w:rPr>
        <w:t xml:space="preserve">Xác định giá trị hao mòn theo kỹ thuật tuổi đời:</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120" w:before="120" w:line="254" w:lineRule="auto"/>
        <w:ind w:right="0" w:firstLine="284" w:left="0"/>
        <w:jc w:val="both"/>
        <w:rPr>
          <w:highlight w:val="white"/>
        </w:rPr>
      </w:pPr>
      <w:r>
        <w:rPr>
          <w:rFonts w:ascii="Times New Roman" w:hAnsi="Times New Roman" w:eastAsia="Times New Roman" w:cs="Times New Roman"/>
          <w:color w:val="000000"/>
          <w:spacing w:val="2"/>
          <w:sz w:val="24"/>
          <w:highlight w:val="white"/>
        </w:rPr>
        <w:t xml:space="preserve">Tỉ lệ hao mòn được tính toán theo phương pháp tuổi đời:</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120" w:before="120" w:line="254" w:lineRule="auto"/>
        <w:ind w:right="0" w:firstLine="284" w:left="0"/>
        <w:jc w:val="both"/>
        <w:rPr>
          <w:highlight w:val="white"/>
        </w:rPr>
      </w:pPr>
      <w:r>
        <w:rPr>
          <w:rFonts w:ascii="Times New Roman" w:hAnsi="Times New Roman" w:eastAsia="Times New Roman" w:cs="Times New Roman"/>
          <w:color w:val="000000"/>
          <w:spacing w:val="2"/>
          <w:sz w:val="24"/>
          <w:highlight w:val="white"/>
        </w:rPr>
        <w:t xml:space="preserve">Công thức: Tỉ lệ hao mòn = Tuổi đời hiệu quả/ Tuổi đời kinh tế</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60" w:before="60" w:line="254" w:lineRule="auto"/>
        <w:ind w:right="0" w:firstLine="426" w:left="0"/>
        <w:jc w:val="both"/>
        <w:rPr>
          <w:highlight w:val="white"/>
        </w:rPr>
      </w:pPr>
      <w:r>
        <w:rPr>
          <w:rFonts w:ascii="Times New Roman" w:hAnsi="Times New Roman" w:eastAsia="Times New Roman" w:cs="Times New Roman"/>
          <w:color w:val="000000"/>
          <w:spacing w:val="2"/>
          <w:sz w:val="24"/>
          <w:highlight w:val="white"/>
        </w:rPr>
        <w:t xml:space="preserve">Tổ thẩm định giả định rằng công trình xây dựng trong khoảng thời gian trích khấu hao được duy tu, sửa chữa định kỳ và đúng quy trình nên tuổi đời hiệu quả bằng tuổi đời thực tế. Theo thông tin khách hàng cung cấp, công trình xây dựng đư</w:t>
      </w:r>
      <w:r>
        <w:rPr>
          <w:rFonts w:ascii="Times New Roman" w:hAnsi="Times New Roman" w:eastAsia="Times New Roman" w:cs="Times New Roman"/>
          <w:color w:val="000000"/>
          <w:spacing w:val="2"/>
          <w:sz w:val="24"/>
          <w:highlight w:val="white"/>
        </w:rPr>
        <w:t xml:space="preserve">ợc hoàn thà</w:t>
      </w:r>
      <w:r>
        <w:rPr>
          <w:rFonts w:ascii="Times New Roman" w:hAnsi="Times New Roman" w:eastAsia="Times New Roman" w:cs="Times New Roman"/>
          <w:color w:val="000000"/>
          <w:spacing w:val="2"/>
          <w:sz w:val="24"/>
          <w:highlight w:val="white"/>
        </w:rPr>
        <w:t xml:space="preserve">nh năm 20</w:t>
      </w:r>
      <w:r>
        <w:rPr>
          <w:rFonts w:ascii="Times New Roman" w:hAnsi="Times New Roman" w:eastAsia="Times New Roman" w:cs="Times New Roman"/>
          <w:color w:val="000000"/>
          <w:spacing w:val="2"/>
          <w:sz w:val="24"/>
          <w:highlight w:val="white"/>
        </w:rPr>
        <w:t xml:space="preserve">09</w:t>
      </w:r>
      <w:r>
        <w:rPr>
          <w:rFonts w:ascii="Times New Roman" w:hAnsi="Times New Roman" w:eastAsia="Times New Roman" w:cs="Times New Roman"/>
          <w:color w:val="000000"/>
          <w:spacing w:val="2"/>
          <w:sz w:val="24"/>
          <w:highlight w:val="white"/>
        </w:rPr>
        <w:t xml:space="preserve">, </w:t>
      </w:r>
      <w:r>
        <w:rPr>
          <w:rFonts w:ascii="Times New Roman" w:hAnsi="Times New Roman" w:eastAsia="Times New Roman" w:cs="Times New Roman"/>
          <w:color w:val="000000"/>
          <w:spacing w:val="2"/>
          <w:sz w:val="24"/>
          <w:highlight w:val="white"/>
        </w:rPr>
        <w:t xml:space="preserve">do đó, T</w:t>
      </w:r>
      <w:r>
        <w:rPr>
          <w:rFonts w:ascii="Times New Roman" w:hAnsi="Times New Roman" w:eastAsia="Times New Roman" w:cs="Times New Roman"/>
          <w:color w:val="000000"/>
          <w:spacing w:val="2"/>
          <w:sz w:val="24"/>
          <w:highlight w:val="white"/>
        </w:rPr>
        <w:t xml:space="preserve">ổ thẩm định ước tính tuổi đời hiệu quả của công trình là 17 năm</w:t>
      </w:r>
      <w:r>
        <w:rPr>
          <w:highlight w:val="white"/>
        </w:rPr>
        <w:t xml:space="preserve">.</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60" w:before="60" w:line="254" w:lineRule="auto"/>
        <w:ind w:right="0" w:firstLine="426" w:left="0"/>
        <w:jc w:val="both"/>
        <w:rPr>
          <w:highlight w:val="none"/>
        </w:rPr>
      </w:pPr>
      <w:r>
        <w:rPr>
          <w:rFonts w:ascii="Times New Roman" w:hAnsi="Times New Roman" w:eastAsia="Times New Roman" w:cs="Times New Roman"/>
          <w:color w:val="000000"/>
          <w:sz w:val="24"/>
          <w:highlight w:val="white"/>
        </w:rPr>
        <w:t xml:space="preserve">Vận dụng khung thời gian trích khấu hao TSCĐ tại Thông tư 45/2013/TT-BTC ngày 25/4/2013 của Bộ Tài chính về việc hướng dẫn chế độ quản lý, sử dụng và trích khấu hao tài sản cố định, kết hợp với khảo sát thông tin thị trường và quan sát hiện trạng thực tế c</w:t>
      </w:r>
      <w:r>
        <w:rPr>
          <w:rFonts w:ascii="Times New Roman" w:hAnsi="Times New Roman" w:eastAsia="Times New Roman" w:cs="Times New Roman"/>
          <w:color w:val="000000"/>
          <w:sz w:val="24"/>
          <w:highlight w:val="white"/>
        </w:rPr>
        <w:t xml:space="preserve">ông trình, Tổ thẩm định xác định tuổi đời kinh tế của tài sản thẩm định là 50 năm. </w:t>
      </w:r>
      <w:r>
        <w:rPr>
          <w:highlight w:val="none"/>
        </w:rPr>
      </w:r>
      <w:r>
        <w:rPr>
          <w:highlight w:val="none"/>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67"/>
        <w:gridCol w:w="1868"/>
        <w:gridCol w:w="2085"/>
        <w:gridCol w:w="2086"/>
        <w:gridCol w:w="2086"/>
        <w:gridCol w:w="2085"/>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Tên tài sản</w:t>
            </w:r>
            <w:r>
              <w:rPr>
                <w:highlight w:val="white"/>
              </w:rPr>
            </w:r>
            <w:r>
              <w:rPr>
                <w:highlight w:val="white"/>
              </w:rPr>
            </w:r>
          </w:p>
        </w:tc>
        <w:tc>
          <w:tcPr>
            <w:tcBorders>
              <w:top w:val="single" w:color="000000" w:sz="8" w:space="0"/>
              <w:bottom w:val="single" w:color="000000" w:sz="8" w:space="0"/>
              <w:right w:val="single" w:color="000000" w:sz="8" w:space="0"/>
            </w:tcBorders>
            <w:tcMar>
              <w:left w:w="0" w:type="dxa"/>
              <w:top w:w="0" w:type="dxa"/>
              <w:right w:w="0" w:type="dxa"/>
              <w:bottom w:w="0" w:type="dxa"/>
            </w:tcMar>
            <w:tcW w:w="18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4" w:lineRule="auto"/>
              <w:ind w:right="0" w:firstLine="0" w:left="0"/>
              <w:jc w:val="center"/>
              <w:rPr>
                <w:highlight w:val="white"/>
              </w:rPr>
            </w:pPr>
            <w:r>
              <w:rPr>
                <w:rFonts w:ascii="Times New Roman" w:hAnsi="Times New Roman" w:eastAsia="Times New Roman" w:cs="Times New Roman"/>
                <w:b/>
                <w:color w:val="000000"/>
                <w:sz w:val="24"/>
                <w:highlight w:val="white"/>
              </w:rPr>
              <w:t xml:space="preserve">Năm xây dựng hoàn thành</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Thời điểm thẩm định</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Tuổi đời kinh tế (năm)</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Tuổi đời hiệu quả (năm)</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Tỉ lệ hao mòn (%)</w:t>
            </w:r>
            <w:r>
              <w:rPr>
                <w:highlight w:val="white"/>
              </w:rPr>
            </w:r>
            <w:r>
              <w:rPr>
                <w:highlight w:val="white"/>
              </w:rP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highlight w:val="white"/>
              </w:rPr>
            </w:pPr>
            <w:r>
              <w:rPr>
                <w:rFonts w:ascii="Times New Roman" w:hAnsi="Times New Roman" w:eastAsia="Times New Roman" w:cs="Times New Roman"/>
                <w:color w:val="000000"/>
                <w:sz w:val="24"/>
                <w:highlight w:val="none"/>
              </w:rPr>
              <w:t xml:space="preserve">Nhà 02 tầng</w:t>
            </w:r>
            <w:r>
              <w:rPr>
                <w:highlight w:val="white"/>
              </w:rPr>
            </w:r>
            <w:r>
              <w:rPr>
                <w:highlight w:val="white"/>
              </w:rPr>
            </w:r>
          </w:p>
        </w:tc>
        <w:tc>
          <w:tcPr>
            <w:tcBorders>
              <w:bottom w:val="single" w:color="000000" w:sz="8" w:space="0"/>
              <w:right w:val="single" w:color="000000" w:sz="8" w:space="0"/>
            </w:tcBorders>
            <w:tcMar>
              <w:left w:w="0" w:type="dxa"/>
              <w:top w:w="0" w:type="dxa"/>
              <w:right w:w="0" w:type="dxa"/>
              <w:bottom w:w="0" w:type="dxa"/>
            </w:tcMar>
            <w:tcW w:w="1868" w:type="dxa"/>
            <w:vAlign w:val="center"/>
            <w:textDirection w:val="lrTb"/>
            <w:noWrap/>
          </w:tcPr>
          <w:p>
            <w:pPr>
              <w:pBdr>
                <w:top w:val="none" w:color="000000" w:sz="4" w:space="0"/>
                <w:left w:val="none" w:color="000000" w:sz="4" w:space="0"/>
                <w:bottom w:val="none" w:color="000000" w:sz="4" w:space="0"/>
                <w:right w:val="none" w:color="000000" w:sz="4" w:space="0"/>
              </w:pBdr>
              <w:spacing w:line="254" w:lineRule="auto"/>
              <w:ind w:right="0" w:firstLine="0" w:left="0"/>
              <w:jc w:val="center"/>
              <w:rPr>
                <w:highlight w:val="white"/>
              </w:rPr>
            </w:pPr>
            <w:r>
              <w:rPr>
                <w:rFonts w:ascii="Times New Roman" w:hAnsi="Times New Roman" w:eastAsia="Times New Roman" w:cs="Times New Roman"/>
                <w:color w:val="000000"/>
                <w:sz w:val="24"/>
                <w:highlight w:val="white"/>
              </w:rPr>
              <w:t xml:space="preserve">2009</w:t>
            </w:r>
            <w:r>
              <w:rPr>
                <w:highlight w:val="white"/>
              </w:rPr>
            </w:r>
            <w:r>
              <w:rPr>
                <w:highlight w:val="white"/>
              </w:rP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2026</w:t>
            </w:r>
            <w:r>
              <w:rPr>
                <w:color w:val="000000" w:themeColor="text1"/>
                <w:highlight w:val="white"/>
              </w:rPr>
            </w:r>
            <w:r>
              <w:rPr>
                <w:color w:val="000000" w:themeColor="text1"/>
                <w:highlight w:val="white"/>
              </w:rP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50</w:t>
            </w:r>
            <w:r>
              <w:rPr>
                <w:color w:val="000000" w:themeColor="text1"/>
                <w:highlight w:val="white"/>
              </w:rPr>
            </w:r>
            <w:r>
              <w:rPr>
                <w:color w:val="000000" w:themeColor="text1"/>
                <w:highlight w:val="white"/>
              </w:rP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none"/>
              </w:rPr>
              <w:t xml:space="preserve">17</w:t>
            </w:r>
            <w:r>
              <w:rPr>
                <w:color w:val="000000" w:themeColor="text1"/>
                <w:highlight w:val="white"/>
              </w:rPr>
            </w:r>
            <w:r>
              <w:rPr>
                <w:color w:val="000000" w:themeColor="text1"/>
                <w:highlight w:val="white"/>
              </w:rP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highlight w:val="white"/>
              </w:rPr>
            </w:pPr>
            <w:r>
              <w:rPr>
                <w:rFonts w:ascii="Times New Roman" w:hAnsi="Times New Roman" w:eastAsia="Times New Roman" w:cs="Times New Roman"/>
                <w:color w:val="000000"/>
                <w:sz w:val="24"/>
                <w:highlight w:val="none"/>
              </w:rPr>
              <w:t xml:space="preserve">35</w:t>
            </w:r>
            <w:r>
              <w:rPr>
                <w:rFonts w:ascii="Times New Roman" w:hAnsi="Times New Roman" w:eastAsia="Times New Roman" w:cs="Times New Roman"/>
                <w:color w:val="000000"/>
                <w:sz w:val="24"/>
                <w:highlight w:val="white"/>
              </w:rPr>
              <w:t xml:space="preserve">%</w:t>
            </w:r>
            <w:r>
              <w:rPr>
                <w:highlight w:val="white"/>
              </w:rPr>
            </w:r>
            <w:r>
              <w:rPr>
                <w:highlight w:val="white"/>
              </w:rPr>
            </w:r>
          </w:p>
        </w:tc>
      </w:tr>
    </w:tbl>
    <w:p>
      <w:pPr>
        <w:pBdr>
          <w:top w:val="none" w:color="000000" w:sz="4" w:space="0"/>
          <w:left w:val="none" w:color="000000" w:sz="4" w:space="0"/>
          <w:bottom w:val="none" w:color="000000" w:sz="4" w:space="0"/>
          <w:right w:val="none" w:color="000000" w:sz="4" w:space="0"/>
        </w:pBdr>
        <w:spacing w:after="60" w:before="60" w:line="254" w:lineRule="auto"/>
        <w:ind w:right="0" w:firstLine="426"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color w:val="000000"/>
          <w:sz w:val="24"/>
          <w:highlight w:val="white"/>
        </w:rPr>
        <w:t xml:space="preserve">Tổ thẩm định xác định tỉ lệ hao mòn của tài sản thẩm định là: 35%, theo đó tỷ lệ chất lượng còn lại của tài sản là: </w:t>
      </w:r>
      <w:r>
        <w:rPr>
          <w:rFonts w:ascii="Times New Roman" w:hAnsi="Times New Roman" w:eastAsia="Times New Roman" w:cs="Times New Roman"/>
          <w:b/>
          <w:bCs/>
          <w:color w:val="000000"/>
          <w:sz w:val="24"/>
          <w:highlight w:val="white"/>
        </w:rPr>
        <w:t xml:space="preserve">65</w:t>
      </w:r>
      <w:r>
        <w:rPr>
          <w:rFonts w:ascii="Times New Roman" w:hAnsi="Times New Roman" w:eastAsia="Times New Roman" w:cs="Times New Roman"/>
          <w:b/>
          <w:bCs/>
          <w:color w:val="000000"/>
          <w:sz w:val="24"/>
          <w:highlight w:val="white"/>
        </w:rPr>
        <w:t xml:space="preserve">%</w:t>
      </w:r>
      <w:r>
        <w:rPr>
          <w:rFonts w:ascii="Times New Roman" w:hAnsi="Times New Roman" w:eastAsia="Times New Roman" w:cs="Times New Roman"/>
          <w:b/>
          <w:bCs/>
          <w:color w:val="000000"/>
          <w:sz w:val="24"/>
          <w:highlight w:val="white"/>
        </w:rPr>
        <w:t xml:space="preserve">.</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numPr>
          <w:ilvl w:val="0"/>
          <w:numId w:val="45"/>
        </w:numPr>
        <w:pBdr>
          <w:top w:val="none" w:color="000000" w:sz="4" w:space="0"/>
          <w:left w:val="none" w:color="000000" w:sz="4" w:space="0"/>
          <w:bottom w:val="none" w:color="000000" w:sz="4" w:space="0"/>
          <w:right w:val="none" w:color="000000" w:sz="4" w:space="0"/>
        </w:pBdr>
        <w:spacing w:after="120" w:before="120" w:line="254" w:lineRule="auto"/>
        <w:ind/>
        <w:jc w:val="both"/>
        <w:rPr>
          <w:highlight w:val="white"/>
        </w:rPr>
      </w:pPr>
      <w:r>
        <w:rPr>
          <w:rFonts w:ascii="Times New Roman" w:hAnsi="Times New Roman" w:eastAsia="Times New Roman" w:cs="Times New Roman"/>
          <w:b/>
          <w:color w:val="000000"/>
          <w:sz w:val="24"/>
          <w:highlight w:val="white"/>
        </w:rPr>
        <w:t xml:space="preserve">Xác định giá trị của công trình xây dựng trên đất:</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80" w:before="80" w:line="254" w:lineRule="auto"/>
        <w:ind w:right="0" w:firstLine="284" w:left="0"/>
        <w:jc w:val="both"/>
        <w:rPr>
          <w:highlight w:val="none"/>
        </w:rPr>
      </w:pPr>
      <w:r>
        <w:rPr>
          <w:rFonts w:ascii="Times New Roman" w:hAnsi="Times New Roman" w:eastAsia="Times New Roman" w:cs="Times New Roman"/>
          <w:color w:val="000000"/>
          <w:spacing w:val="2"/>
          <w:sz w:val="24"/>
          <w:highlight w:val="white"/>
        </w:rPr>
        <w:t xml:space="preserve">Công thức:</w:t>
      </w:r>
      <w:r>
        <w:rPr>
          <w:highlight w:val="none"/>
        </w:rPr>
      </w:r>
      <w:r>
        <w:rPr>
          <w:highlight w:val="none"/>
        </w:rPr>
      </w:r>
    </w:p>
    <w:tbl>
      <w:tblPr>
        <w:tblStyle w:val="1043"/>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2"/>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highlight w:val="white"/>
              </w:rPr>
            </w:pPr>
            <w:r>
              <w:rPr>
                <w:rFonts w:ascii="Times New Roman" w:hAnsi="Times New Roman" w:eastAsia="Times New Roman" w:cs="Times New Roman"/>
                <w:color w:val="000000"/>
                <w:sz w:val="24"/>
                <w:highlight w:val="white"/>
              </w:rPr>
              <w:t xml:space="preserve">Giá trị ước tính của tài sản</w:t>
            </w:r>
            <w:r>
              <w:rPr>
                <w:highlight w:val="white"/>
              </w:rPr>
            </w:r>
            <w:r>
              <w:rPr>
                <w:highlight w:val="white"/>
              </w:rP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Mar>
              <w:left w:w="108" w:type="dxa"/>
              <w:top w:w="0" w:type="dxa"/>
              <w:right w:w="108" w:type="dxa"/>
              <w:bottom w:w="0" w:type="dxa"/>
            </w:tcMar>
            <w:tcW w:w="3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highlight w:val="white"/>
              </w:rPr>
            </w:pPr>
            <w:r>
              <w:rPr>
                <w:rFonts w:ascii="Times New Roman" w:hAnsi="Times New Roman" w:eastAsia="Times New Roman" w:cs="Times New Roman"/>
                <w:color w:val="000000"/>
                <w:sz w:val="24"/>
                <w:highlight w:val="white"/>
              </w:rPr>
              <w:t xml:space="preserve">Chi phí thay thế </w:t>
            </w:r>
            <w:r>
              <w:rPr>
                <w:highlight w:val="white"/>
              </w:rPr>
            </w:r>
            <w:r>
              <w:rPr>
                <w:highlight w:val="white"/>
              </w:rPr>
            </w:r>
          </w:p>
          <w:p>
            <w:pPr>
              <w:pBdr>
                <w:top w:val="none" w:color="000000" w:sz="4" w:space="0"/>
                <w:left w:val="none" w:color="000000" w:sz="4" w:space="0"/>
                <w:bottom w:val="none" w:color="000000" w:sz="4" w:space="0"/>
                <w:right w:val="none" w:color="000000" w:sz="4" w:space="0"/>
              </w:pBdr>
              <w:shd w:val="clear" w:color="ffffff" w:fill="ffffff"/>
              <w:spacing w:after="120" w:line="254" w:lineRule="auto"/>
              <w:ind w:right="0" w:firstLine="0" w:left="0"/>
              <w:jc w:val="center"/>
              <w:rPr>
                <w:highlight w:val="white"/>
              </w:rPr>
            </w:pPr>
            <w:r>
              <w:rPr>
                <w:rFonts w:ascii="Times New Roman" w:hAnsi="Times New Roman" w:eastAsia="Times New Roman" w:cs="Times New Roman"/>
                <w:color w:val="000000"/>
                <w:sz w:val="24"/>
                <w:highlight w:val="white"/>
              </w:rPr>
              <w:t xml:space="preserve">(Giá trị xây mới tài sản-đã bao gồm lợi nhuận của nhà sản xuất/nhà đầu tư)</w:t>
            </w:r>
            <w:r>
              <w:rPr>
                <w:highlight w:val="white"/>
              </w:rPr>
            </w:r>
            <w:r>
              <w:rPr>
                <w:highlight w:val="white"/>
              </w:rP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4" w:lineRule="auto"/>
              <w:ind w:right="0" w:firstLine="0" w:left="0"/>
              <w:jc w:val="center"/>
              <w:rPr>
                <w:highlight w:val="white"/>
              </w:rPr>
            </w:pPr>
            <w:r>
              <w:rPr>
                <w:rFonts w:ascii="Times New Roman" w:hAnsi="Times New Roman" w:eastAsia="Times New Roman" w:cs="Times New Roman"/>
                <w:color w:val="000000"/>
                <w:sz w:val="24"/>
                <w:highlight w:val="white"/>
              </w:rPr>
              <w:t xml:space="preserve">Tổng giá trị hao mòn </w:t>
            </w:r>
            <w:r>
              <w:rPr>
                <w:highlight w:val="white"/>
              </w:rPr>
            </w:r>
            <w:r>
              <w:rPr>
                <w:highlight w:val="white"/>
              </w:rPr>
            </w:r>
          </w:p>
        </w:tc>
      </w:tr>
    </w:tbl>
    <w:p>
      <w:pPr>
        <w:pBdr>
          <w:top w:val="none" w:color="000000" w:sz="4" w:space="0"/>
          <w:left w:val="none" w:color="000000" w:sz="4" w:space="0"/>
          <w:bottom w:val="none" w:color="000000" w:sz="4" w:space="0"/>
          <w:right w:val="none" w:color="000000" w:sz="4" w:space="0"/>
        </w:pBdr>
        <w:spacing w:before="153" w:line="254" w:lineRule="auto"/>
        <w:ind w:right="0" w:firstLine="0" w:left="0"/>
        <w:rPr/>
      </w:pPr>
      <w:r>
        <w:rPr>
          <w:rFonts w:ascii="Times New Roman" w:hAnsi="Times New Roman" w:eastAsia="Times New Roman" w:cs="Times New Roman"/>
          <w:color w:val="000000"/>
          <w:sz w:val="24"/>
        </w:rPr>
      </w:r>
      <w:r/>
    </w:p>
    <w:tbl>
      <w:tblPr>
        <w:tblStyle w:val="1043"/>
        <w:tblInd w:w="-66"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086"/>
        <w:gridCol w:w="920"/>
        <w:gridCol w:w="1560"/>
        <w:gridCol w:w="1701"/>
        <w:gridCol w:w="921"/>
        <w:gridCol w:w="1701"/>
        <w:gridCol w:w="1701"/>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086" w:type="dxa"/>
            <w:vAlign w:val="center"/>
            <w:textDirection w:val="lrTb"/>
            <w:noWrap w:val="false"/>
          </w:tcPr>
          <w:p>
            <w:pPr>
              <w:pBdr/>
              <w:spacing w:after="60" w:before="60" w:line="254" w:lineRule="auto"/>
              <w:ind/>
              <w:jc w:val="center"/>
              <w:rPr>
                <w:b/>
                <w:bCs/>
                <w:sz w:val="22"/>
                <w:szCs w:val="22"/>
                <w:highlight w:val="white"/>
              </w:rPr>
            </w:pPr>
            <w:r>
              <w:rPr>
                <w:b/>
                <w:bCs/>
                <w:sz w:val="22"/>
                <w:szCs w:val="22"/>
                <w:highlight w:val="white"/>
              </w:rPr>
              <w:t xml:space="preserve">Tài sản</w:t>
            </w:r>
            <w:r>
              <w:rPr>
                <w:b/>
                <w:bCs/>
                <w:sz w:val="22"/>
                <w:szCs w:val="22"/>
                <w:highlight w:val="white"/>
              </w:rPr>
            </w:r>
            <w:r>
              <w:rPr>
                <w:b/>
                <w:bCs/>
                <w:sz w:val="22"/>
                <w:szCs w:val="22"/>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20" w:type="dxa"/>
            <w:vAlign w:val="center"/>
            <w:textDirection w:val="lrTb"/>
            <w:noWrap w:val="false"/>
          </w:tcPr>
          <w:p>
            <w:pPr>
              <w:pBdr/>
              <w:spacing w:after="60" w:before="60" w:line="254" w:lineRule="auto"/>
              <w:ind/>
              <w:jc w:val="center"/>
              <w:rPr>
                <w:b/>
                <w:bCs/>
                <w:sz w:val="22"/>
                <w:szCs w:val="22"/>
                <w:highlight w:val="white"/>
              </w:rPr>
            </w:pPr>
            <w:r>
              <w:rPr>
                <w:b/>
                <w:bCs/>
                <w:sz w:val="22"/>
                <w:szCs w:val="22"/>
                <w:highlight w:val="white"/>
              </w:rPr>
              <w:t xml:space="preserve">Diện tích sàn (m²)</w:t>
            </w:r>
            <w:r>
              <w:rPr>
                <w:b/>
                <w:bCs/>
                <w:sz w:val="22"/>
                <w:szCs w:val="22"/>
                <w:highlight w:val="white"/>
              </w:rPr>
            </w:r>
            <w:r>
              <w:rPr>
                <w:b/>
                <w:bCs/>
                <w:sz w:val="22"/>
                <w:szCs w:val="22"/>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spacing w:after="60" w:before="60" w:line="254" w:lineRule="auto"/>
              <w:ind/>
              <w:jc w:val="center"/>
              <w:rPr>
                <w:b/>
                <w:bCs/>
                <w:sz w:val="22"/>
                <w:szCs w:val="22"/>
                <w:highlight w:val="white"/>
              </w:rPr>
            </w:pPr>
            <w:r>
              <w:rPr>
                <w:b/>
                <w:bCs/>
                <w:sz w:val="22"/>
                <w:szCs w:val="22"/>
                <w:highlight w:val="white"/>
              </w:rPr>
              <w:t xml:space="preserve">Đơn giá xây dựng mới (đồng/m² sàn)</w:t>
            </w:r>
            <w:r>
              <w:rPr>
                <w:b/>
                <w:bCs/>
                <w:sz w:val="22"/>
                <w:szCs w:val="22"/>
                <w:highlight w:val="white"/>
              </w:rPr>
            </w:r>
            <w:r>
              <w:rPr>
                <w:b/>
                <w:bCs/>
                <w:sz w:val="22"/>
                <w:szCs w:val="22"/>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after="60" w:before="60" w:line="254" w:lineRule="auto"/>
              <w:ind/>
              <w:jc w:val="center"/>
              <w:rPr>
                <w:b/>
                <w:bCs/>
                <w:sz w:val="22"/>
                <w:szCs w:val="22"/>
                <w:highlight w:val="white"/>
              </w:rPr>
            </w:pPr>
            <w:r>
              <w:rPr>
                <w:b/>
                <w:bCs/>
                <w:sz w:val="22"/>
                <w:szCs w:val="22"/>
                <w:highlight w:val="white"/>
              </w:rPr>
              <w:t xml:space="preserve">Chi phí thay thế (đồng)</w:t>
            </w:r>
            <w:r>
              <w:rPr>
                <w:b/>
                <w:bCs/>
                <w:sz w:val="22"/>
                <w:szCs w:val="22"/>
                <w:highlight w:val="white"/>
              </w:rPr>
            </w:r>
            <w:r>
              <w:rPr>
                <w:b/>
                <w:bCs/>
                <w:sz w:val="22"/>
                <w:szCs w:val="22"/>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21" w:type="dxa"/>
            <w:vAlign w:val="center"/>
            <w:textDirection w:val="lrTb"/>
            <w:noWrap w:val="false"/>
          </w:tcPr>
          <w:p>
            <w:pPr>
              <w:pBdr/>
              <w:spacing w:after="60" w:before="60" w:line="254" w:lineRule="auto"/>
              <w:ind/>
              <w:jc w:val="center"/>
              <w:rPr>
                <w:b/>
                <w:bCs/>
                <w:sz w:val="22"/>
                <w:szCs w:val="22"/>
                <w:highlight w:val="white"/>
              </w:rPr>
            </w:pPr>
            <w:r>
              <w:rPr>
                <w:b/>
                <w:bCs/>
                <w:sz w:val="22"/>
                <w:szCs w:val="22"/>
                <w:highlight w:val="white"/>
              </w:rPr>
              <w:t xml:space="preserve">Tỷ lệ hao mòn (%)</w:t>
            </w:r>
            <w:r>
              <w:rPr>
                <w:b/>
                <w:bCs/>
                <w:sz w:val="22"/>
                <w:szCs w:val="22"/>
                <w:highlight w:val="white"/>
              </w:rPr>
            </w:r>
            <w:r>
              <w:rPr>
                <w:b/>
                <w:bCs/>
                <w:sz w:val="22"/>
                <w:szCs w:val="22"/>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after="60" w:before="60" w:line="254" w:lineRule="auto"/>
              <w:ind/>
              <w:jc w:val="center"/>
              <w:rPr>
                <w:b/>
                <w:bCs/>
                <w:sz w:val="22"/>
                <w:szCs w:val="22"/>
                <w:highlight w:val="white"/>
              </w:rPr>
            </w:pPr>
            <w:r>
              <w:rPr>
                <w:b/>
                <w:bCs/>
                <w:sz w:val="22"/>
                <w:szCs w:val="22"/>
                <w:highlight w:val="white"/>
              </w:rPr>
              <w:t xml:space="preserve">Giá trị hao mòn (đồng)</w:t>
            </w:r>
            <w:r>
              <w:rPr>
                <w:b/>
                <w:bCs/>
                <w:sz w:val="22"/>
                <w:szCs w:val="22"/>
                <w:highlight w:val="white"/>
              </w:rPr>
            </w:r>
            <w:r>
              <w:rPr>
                <w:b/>
                <w:bCs/>
                <w:sz w:val="22"/>
                <w:szCs w:val="22"/>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after="60" w:before="60" w:line="254" w:lineRule="auto"/>
              <w:ind/>
              <w:jc w:val="center"/>
              <w:rPr>
                <w:b/>
                <w:bCs/>
                <w:sz w:val="22"/>
                <w:szCs w:val="22"/>
                <w:highlight w:val="white"/>
              </w:rPr>
            </w:pPr>
            <w:r>
              <w:rPr>
                <w:b/>
                <w:bCs/>
                <w:sz w:val="22"/>
                <w:szCs w:val="22"/>
                <w:highlight w:val="white"/>
              </w:rPr>
              <w:t xml:space="preserve">Giá trị thẩm định tại thời điểm thẩm định giá (đồng)</w:t>
            </w:r>
            <w:r>
              <w:rPr>
                <w:b/>
                <w:bCs/>
                <w:sz w:val="22"/>
                <w:szCs w:val="22"/>
                <w:highlight w:val="white"/>
              </w:rPr>
            </w:r>
            <w:r>
              <w:rPr>
                <w:b/>
                <w:bCs/>
                <w:sz w:val="22"/>
                <w:szCs w:val="22"/>
                <w:highlight w:val="white"/>
              </w:rP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086" w:type="dxa"/>
            <w:vAlign w:val="center"/>
            <w:textDirection w:val="lrTb"/>
            <w:noWrap w:val="false"/>
          </w:tcPr>
          <w:p>
            <w:pPr>
              <w:pBdr/>
              <w:spacing w:after="60" w:before="60" w:line="254" w:lineRule="auto"/>
              <w:ind/>
              <w:jc w:val="center"/>
              <w:rPr>
                <w:b/>
                <w:bCs/>
                <w:sz w:val="22"/>
                <w:szCs w:val="22"/>
                <w:highlight w:val="white"/>
              </w:rPr>
            </w:pPr>
            <w:r>
              <w:rPr>
                <w:b/>
                <w:bCs/>
                <w:sz w:val="22"/>
                <w:szCs w:val="22"/>
                <w:highlight w:val="white"/>
              </w:rPr>
              <w:t xml:space="preserve">(1)</w:t>
            </w:r>
            <w:r>
              <w:rPr>
                <w:b/>
                <w:bCs/>
                <w:sz w:val="22"/>
                <w:szCs w:val="22"/>
                <w:highlight w:val="white"/>
              </w:rPr>
            </w:r>
            <w:r>
              <w:rPr>
                <w:b/>
                <w:bCs/>
                <w:sz w:val="22"/>
                <w:szCs w:val="22"/>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20" w:type="dxa"/>
            <w:vAlign w:val="center"/>
            <w:textDirection w:val="lrTb"/>
            <w:noWrap w:val="false"/>
          </w:tcPr>
          <w:p>
            <w:pPr>
              <w:pBdr/>
              <w:spacing w:after="60" w:before="60" w:line="254" w:lineRule="auto"/>
              <w:ind/>
              <w:jc w:val="center"/>
              <w:rPr>
                <w:b/>
                <w:bCs/>
                <w:sz w:val="22"/>
                <w:szCs w:val="22"/>
                <w:highlight w:val="white"/>
              </w:rPr>
            </w:pPr>
            <w:r>
              <w:rPr>
                <w:b/>
                <w:bCs/>
                <w:sz w:val="22"/>
                <w:szCs w:val="22"/>
                <w:highlight w:val="white"/>
              </w:rPr>
              <w:t xml:space="preserve">(2)</w:t>
            </w:r>
            <w:r>
              <w:rPr>
                <w:b/>
                <w:bCs/>
                <w:sz w:val="22"/>
                <w:szCs w:val="22"/>
                <w:highlight w:val="white"/>
              </w:rPr>
            </w:r>
            <w:r>
              <w:rPr>
                <w:b/>
                <w:bCs/>
                <w:sz w:val="22"/>
                <w:szCs w:val="22"/>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spacing w:after="60" w:before="60" w:line="254" w:lineRule="auto"/>
              <w:ind/>
              <w:jc w:val="center"/>
              <w:rPr>
                <w:b/>
                <w:bCs/>
                <w:sz w:val="22"/>
                <w:szCs w:val="22"/>
                <w:highlight w:val="white"/>
              </w:rPr>
            </w:pPr>
            <w:r>
              <w:rPr>
                <w:b/>
                <w:bCs/>
                <w:sz w:val="22"/>
                <w:szCs w:val="22"/>
                <w:highlight w:val="white"/>
              </w:rPr>
              <w:t xml:space="preserve">(3)</w:t>
            </w:r>
            <w:r>
              <w:rPr>
                <w:b/>
                <w:bCs/>
                <w:sz w:val="22"/>
                <w:szCs w:val="22"/>
                <w:highlight w:val="white"/>
              </w:rPr>
            </w:r>
            <w:r>
              <w:rPr>
                <w:b/>
                <w:bCs/>
                <w:sz w:val="22"/>
                <w:szCs w:val="22"/>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after="60" w:before="60" w:line="254" w:lineRule="auto"/>
              <w:ind/>
              <w:jc w:val="center"/>
              <w:rPr>
                <w:b/>
                <w:bCs/>
                <w:sz w:val="22"/>
                <w:szCs w:val="22"/>
                <w:highlight w:val="white"/>
              </w:rPr>
            </w:pPr>
            <w:r>
              <w:rPr>
                <w:b/>
                <w:bCs/>
                <w:sz w:val="22"/>
                <w:szCs w:val="22"/>
                <w:highlight w:val="white"/>
              </w:rPr>
              <w:t xml:space="preserve">(4) = (2) * (3)</w:t>
            </w:r>
            <w:r>
              <w:rPr>
                <w:b/>
                <w:bCs/>
                <w:sz w:val="22"/>
                <w:szCs w:val="22"/>
                <w:highlight w:val="white"/>
              </w:rPr>
            </w:r>
            <w:r>
              <w:rPr>
                <w:b/>
                <w:bCs/>
                <w:sz w:val="22"/>
                <w:szCs w:val="22"/>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21" w:type="dxa"/>
            <w:vAlign w:val="center"/>
            <w:textDirection w:val="lrTb"/>
            <w:noWrap w:val="false"/>
          </w:tcPr>
          <w:p>
            <w:pPr>
              <w:pBdr/>
              <w:spacing w:after="60" w:before="60" w:line="254" w:lineRule="auto"/>
              <w:ind/>
              <w:jc w:val="center"/>
              <w:rPr>
                <w:b/>
                <w:bCs/>
                <w:sz w:val="22"/>
                <w:szCs w:val="22"/>
                <w:highlight w:val="white"/>
              </w:rPr>
            </w:pPr>
            <w:r>
              <w:rPr>
                <w:b/>
                <w:bCs/>
                <w:sz w:val="22"/>
                <w:szCs w:val="22"/>
                <w:highlight w:val="white"/>
              </w:rPr>
              <w:t xml:space="preserve">(5)</w:t>
            </w:r>
            <w:r>
              <w:rPr>
                <w:b/>
                <w:bCs/>
                <w:sz w:val="22"/>
                <w:szCs w:val="22"/>
                <w:highlight w:val="white"/>
              </w:rPr>
            </w:r>
            <w:r>
              <w:rPr>
                <w:b/>
                <w:bCs/>
                <w:sz w:val="22"/>
                <w:szCs w:val="22"/>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after="60" w:before="60" w:line="254" w:lineRule="auto"/>
              <w:ind/>
              <w:jc w:val="center"/>
              <w:rPr>
                <w:b/>
                <w:bCs/>
                <w:sz w:val="22"/>
                <w:szCs w:val="22"/>
                <w:highlight w:val="white"/>
              </w:rPr>
            </w:pPr>
            <w:r>
              <w:rPr>
                <w:b/>
                <w:bCs/>
                <w:sz w:val="22"/>
                <w:szCs w:val="22"/>
                <w:highlight w:val="white"/>
              </w:rPr>
              <w:t xml:space="preserve">(</w:t>
            </w:r>
            <w:r>
              <w:rPr>
                <w:b/>
                <w:bCs/>
                <w:sz w:val="22"/>
                <w:szCs w:val="22"/>
                <w:highlight w:val="white"/>
              </w:rPr>
              <w:t xml:space="preserve">6</w:t>
            </w:r>
            <w:r>
              <w:rPr>
                <w:b/>
                <w:bCs/>
                <w:sz w:val="22"/>
                <w:szCs w:val="22"/>
                <w:highlight w:val="white"/>
              </w:rPr>
              <w:t xml:space="preserve">)</w:t>
            </w:r>
            <w:r>
              <w:rPr>
                <w:b/>
                <w:bCs/>
                <w:sz w:val="22"/>
                <w:szCs w:val="22"/>
                <w:highlight w:val="white"/>
              </w:rPr>
              <w:t xml:space="preserve">=(4)*(5)</w:t>
            </w:r>
            <w:r>
              <w:rPr>
                <w:b/>
                <w:bCs/>
                <w:sz w:val="22"/>
                <w:szCs w:val="22"/>
                <w:highlight w:val="white"/>
              </w:rPr>
            </w:r>
            <w:r>
              <w:rPr>
                <w:b/>
                <w:bCs/>
                <w:sz w:val="22"/>
                <w:szCs w:val="22"/>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after="60" w:before="60" w:line="254" w:lineRule="auto"/>
              <w:ind/>
              <w:jc w:val="center"/>
              <w:rPr>
                <w:b/>
                <w:bCs/>
                <w:sz w:val="22"/>
                <w:szCs w:val="22"/>
                <w:highlight w:val="white"/>
              </w:rPr>
            </w:pPr>
            <w:r>
              <w:rPr>
                <w:b/>
                <w:bCs/>
                <w:sz w:val="22"/>
                <w:szCs w:val="22"/>
                <w:highlight w:val="white"/>
              </w:rPr>
              <w:t xml:space="preserve">(</w:t>
            </w:r>
            <w:r>
              <w:rPr>
                <w:b/>
                <w:bCs/>
                <w:sz w:val="22"/>
                <w:szCs w:val="22"/>
                <w:highlight w:val="white"/>
              </w:rPr>
              <w:t xml:space="preserve">7</w:t>
            </w:r>
            <w:r>
              <w:rPr>
                <w:b/>
                <w:bCs/>
                <w:sz w:val="22"/>
                <w:szCs w:val="22"/>
                <w:highlight w:val="white"/>
              </w:rPr>
              <w:t xml:space="preserve">) = (4) - (</w:t>
            </w:r>
            <w:r>
              <w:rPr>
                <w:b/>
                <w:bCs/>
                <w:sz w:val="22"/>
                <w:szCs w:val="22"/>
                <w:highlight w:val="white"/>
              </w:rPr>
              <w:t xml:space="preserve">6</w:t>
            </w:r>
            <w:r>
              <w:rPr>
                <w:b/>
                <w:bCs/>
                <w:sz w:val="22"/>
                <w:szCs w:val="22"/>
                <w:highlight w:val="white"/>
              </w:rPr>
              <w:t xml:space="preserve">)</w:t>
            </w:r>
            <w:r>
              <w:rPr>
                <w:b/>
                <w:bCs/>
                <w:sz w:val="22"/>
                <w:szCs w:val="22"/>
                <w:highlight w:val="white"/>
              </w:rPr>
            </w:r>
            <w:r>
              <w:rPr>
                <w:b/>
                <w:bCs/>
                <w:sz w:val="22"/>
                <w:szCs w:val="22"/>
                <w:highlight w:val="white"/>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086" w:type="dxa"/>
            <w:vAlign w:val="center"/>
            <w:textDirection w:val="lrTb"/>
            <w:noWrap w:val="false"/>
          </w:tcPr>
          <w:p>
            <w:pPr>
              <w:pBdr/>
              <w:spacing w:after="60" w:before="60" w:line="254" w:lineRule="auto"/>
              <w:ind/>
              <w:jc w:val="center"/>
              <w:rPr>
                <w:sz w:val="22"/>
                <w:szCs w:val="22"/>
                <w:highlight w:val="white"/>
              </w:rPr>
            </w:pPr>
            <w:r>
              <w:rPr>
                <w:sz w:val="22"/>
                <w:szCs w:val="22"/>
                <w:highlight w:val="white"/>
              </w:rPr>
              <w:t xml:space="preserve">Nhà 02 tầng</w:t>
            </w:r>
            <w:r>
              <w:rPr>
                <w:sz w:val="22"/>
                <w:szCs w:val="22"/>
                <w:highlight w:val="white"/>
              </w:rPr>
            </w:r>
            <w:r>
              <w:rPr>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920" w:type="dxa"/>
            <w:vAlign w:val="center"/>
            <w:textDirection w:val="lrTb"/>
            <w:noWrap/>
          </w:tcPr>
          <w:p>
            <w:pPr>
              <w:pBdr/>
              <w:spacing w:after="60" w:before="60" w:line="254" w:lineRule="auto"/>
              <w:ind/>
              <w:jc w:val="center"/>
              <w:rPr>
                <w:sz w:val="22"/>
                <w:szCs w:val="22"/>
                <w:highlight w:val="white"/>
              </w:rPr>
            </w:pPr>
            <w:r>
              <w:rPr>
                <w:sz w:val="22"/>
                <w:szCs w:val="22"/>
                <w:highlight w:val="white"/>
              </w:rPr>
              <w:t xml:space="preserve">192,0</w:t>
            </w:r>
            <w:r>
              <w:rPr>
                <w:sz w:val="22"/>
                <w:szCs w:val="22"/>
                <w:highlight w:val="white"/>
              </w:rPr>
            </w:r>
            <w:r>
              <w:rPr>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spacing w:after="60" w:before="60" w:line="254" w:lineRule="auto"/>
              <w:ind/>
              <w:jc w:val="center"/>
              <w:rPr>
                <w:sz w:val="22"/>
                <w:szCs w:val="22"/>
                <w:highlight w:val="white"/>
              </w:rPr>
            </w:pPr>
            <w:r>
              <w:rPr>
                <w:sz w:val="22"/>
                <w:szCs w:val="22"/>
                <w:highlight w:val="white"/>
              </w:rPr>
              <w:t xml:space="preserve">7.213.418</w:t>
            </w:r>
            <w:r>
              <w:rPr>
                <w:sz w:val="22"/>
                <w:szCs w:val="22"/>
                <w:highlight w:val="white"/>
              </w:rPr>
            </w:r>
            <w:r>
              <w:rPr>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spacing w:after="60" w:before="60" w:line="254" w:lineRule="auto"/>
              <w:ind/>
              <w:jc w:val="center"/>
              <w:rPr>
                <w:sz w:val="22"/>
                <w:szCs w:val="22"/>
                <w:highlight w:val="white"/>
              </w:rPr>
            </w:pPr>
            <w:r>
              <w:rPr>
                <w:sz w:val="22"/>
                <w:szCs w:val="22"/>
                <w:highlight w:val="white"/>
              </w:rPr>
              <w:t xml:space="preserve">1.384.976.256</w:t>
            </w:r>
            <w:r>
              <w:rPr>
                <w:sz w:val="22"/>
                <w:szCs w:val="22"/>
                <w:highlight w:val="white"/>
              </w:rPr>
            </w:r>
            <w:r>
              <w:rPr>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921" w:type="dxa"/>
            <w:vAlign w:val="center"/>
            <w:textDirection w:val="lrTb"/>
            <w:noWrap w:val="false"/>
          </w:tcPr>
          <w:p>
            <w:pPr>
              <w:pBdr/>
              <w:spacing w:after="60" w:before="60" w:line="254" w:lineRule="auto"/>
              <w:ind/>
              <w:jc w:val="center"/>
              <w:rPr>
                <w:sz w:val="22"/>
                <w:szCs w:val="22"/>
                <w:highlight w:val="white"/>
              </w:rPr>
            </w:pPr>
            <w:r>
              <w:rPr>
                <w:sz w:val="22"/>
                <w:szCs w:val="22"/>
                <w:highlight w:val="white"/>
              </w:rPr>
              <w:t xml:space="preserve">35%</w:t>
            </w:r>
            <w:r>
              <w:rPr>
                <w:sz w:val="22"/>
                <w:szCs w:val="22"/>
                <w:highlight w:val="white"/>
              </w:rPr>
            </w:r>
            <w:r>
              <w:rPr>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spacing w:after="60" w:before="60" w:line="254" w:lineRule="auto"/>
              <w:ind/>
              <w:jc w:val="center"/>
              <w:rPr>
                <w:sz w:val="22"/>
                <w:szCs w:val="22"/>
                <w:highlight w:val="white"/>
              </w:rPr>
            </w:pPr>
            <w:r>
              <w:rPr>
                <w:sz w:val="22"/>
                <w:szCs w:val="22"/>
                <w:highlight w:val="white"/>
              </w:rPr>
              <w:t xml:space="preserve">484.741.690</w:t>
            </w:r>
            <w:r>
              <w:rPr>
                <w:sz w:val="22"/>
                <w:szCs w:val="22"/>
                <w:highlight w:val="white"/>
              </w:rPr>
            </w:r>
            <w:r>
              <w:rPr>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after="60" w:before="60" w:line="254" w:lineRule="auto"/>
              <w:ind/>
              <w:jc w:val="center"/>
              <w:rPr>
                <w:sz w:val="22"/>
                <w:szCs w:val="22"/>
                <w:highlight w:val="white"/>
              </w:rPr>
            </w:pPr>
            <w:r>
              <w:rPr>
                <w:sz w:val="22"/>
                <w:szCs w:val="22"/>
                <w:highlight w:val="white"/>
              </w:rPr>
              <w:t xml:space="preserve">900.234.566</w:t>
            </w:r>
            <w:r>
              <w:rPr>
                <w:sz w:val="22"/>
                <w:szCs w:val="22"/>
                <w:highlight w:val="white"/>
              </w:rPr>
            </w:r>
            <w:r>
              <w:rPr>
                <w:sz w:val="22"/>
                <w:szCs w:val="22"/>
                <w:highlight w:val="white"/>
              </w:rPr>
            </w:r>
          </w:p>
        </w:tc>
      </w:tr>
    </w:tbl>
    <w:p>
      <w:pPr>
        <w:pStyle w:val="1039"/>
        <w:numPr>
          <w:ilvl w:val="0"/>
          <w:numId w:val="26"/>
        </w:numPr>
        <w:pBdr/>
        <w:spacing w:after="120" w:before="120" w:line="254" w:lineRule="auto"/>
        <w:ind w:hanging="357" w:left="357"/>
        <w:jc w:val="both"/>
        <w:rPr>
          <w:b/>
          <w:lang w:val="pt-BR"/>
        </w:rPr>
      </w:pPr>
      <w:r>
        <w:rPr>
          <w:b/>
          <w:lang w:val="pt-BR"/>
        </w:rPr>
        <w:t xml:space="preserve">Kết quả thẩm định giá:</w:t>
      </w:r>
      <w:r>
        <w:rPr>
          <w:b/>
          <w:lang w:val="pt-BR"/>
        </w:rPr>
      </w:r>
      <w:r>
        <w:rPr>
          <w:b/>
          <w:lang w:val="pt-BR"/>
        </w:rPr>
      </w:r>
    </w:p>
    <w:p>
      <w:pPr>
        <w:pStyle w:val="1039"/>
        <w:pBdr/>
        <w:tabs>
          <w:tab w:val="left" w:leader="none" w:pos="993"/>
        </w:tabs>
        <w:spacing w:after="120" w:before="120" w:line="254"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8/2026</w:t>
      </w:r>
      <w:r>
        <w:t xml:space="preserve"> </w:t>
      </w:r>
      <w:r>
        <w:t xml:space="preserve">ước tính </w:t>
      </w:r>
      <w:r>
        <w:t xml:space="preserve">như sau</w:t>
      </w:r>
      <w:r>
        <w:t xml:space="preserve">:</w:t>
      </w:r>
      <w:r>
        <w:rPr>
          <w:highlight w:val="none"/>
        </w:rPr>
      </w:r>
      <w:r>
        <w:rPr>
          <w:highlight w:val="none"/>
        </w:rPr>
      </w:r>
    </w:p>
    <w:tbl>
      <w:tblPr>
        <w:tblW w:w="5015"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94"/>
        <w:gridCol w:w="920"/>
        <w:gridCol w:w="1419"/>
        <w:gridCol w:w="1585"/>
        <w:gridCol w:w="1466"/>
        <w:gridCol w:w="1667"/>
        <w:gridCol w:w="1903"/>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gridSpan w:val="2"/>
            <w:shd w:val="clear" w:color="000000" w:fill="ffffff"/>
            <w:tcBorders/>
            <w:tcW w:w="2659"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667"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667" w:type="dxa"/>
            <w:vAlign w:val="center"/>
            <w:textDirection w:val="lrTb"/>
            <w:noWrap w:val="false"/>
          </w:tcPr>
          <w:p>
            <w:pPr>
              <w:pBdr/>
              <w:spacing/>
              <w:ind/>
              <w:jc w:val="center"/>
              <w:rPr>
                <w:b/>
                <w:bCs/>
              </w:rPr>
            </w:pPr>
            <w:r>
              <w:rPr>
                <w:b/>
                <w:bCs/>
              </w:rPr>
              <w:t xml:space="preserve">Hệ số/CLCL (%)</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5"/>
            <w:shd w:val="clear" w:color="000000" w:fill="ffffff"/>
            <w:tcBorders/>
            <w:tcW w:w="7057" w:type="dxa"/>
            <w:vAlign w:val="center"/>
            <w:textDirection w:val="lrTb"/>
            <w:noWrap w:val="false"/>
          </w:tcPr>
          <w:p>
            <w:pPr>
              <w:pBdr/>
              <w:spacing w:after="40" w:before="40" w:line="276" w:lineRule="auto"/>
              <w:ind/>
              <w:jc w:val="both"/>
              <w:rPr>
                <w:b/>
                <w:bCs/>
              </w:rPr>
            </w:pPr>
            <w:r>
              <w:rPr>
                <w:b/>
                <w:bCs/>
                <w:color w:val="000000"/>
              </w:rPr>
            </w:r>
            <w:r>
              <w:rPr>
                <w:b/>
                <w:bCs/>
                <w:color w:val="000000"/>
              </w:rPr>
              <w:t xml:space="preserve">Quyền sử dụng đất tại Thửa đất số: 1080, tờ bản đồ số: 30, địa chỉ: TDP Trung Thành, phường Định Trung, thành phố Vĩnh Yên, tỉnh Vĩnh Phúc</w:t>
            </w:r>
            <w:r>
              <w:rPr>
                <w:b/>
                <w:bCs/>
                <w:color w:val="ff0000"/>
                <w:highlight w:val="white"/>
              </w:rPr>
              <w:t xml:space="preserve"> </w:t>
            </w:r>
            <w:r>
              <w:rPr>
                <w:b/>
                <w:bCs/>
                <w:i/>
                <w:iCs/>
                <w:color w:val="ff0000"/>
                <w:highlight w:val="white"/>
              </w:rPr>
              <w:t xml:space="preserve">(Nay là phường Vĩnh Phúc, tỉnh Phú Thọ)</w:t>
            </w:r>
            <w:r>
              <w:rPr>
                <w:b/>
                <w:bCs/>
                <w:color w:val="ff0000"/>
              </w:rPr>
              <w:t xml:space="preserve"> </w:t>
            </w:r>
            <w:r>
              <w:rPr>
                <w:b/>
                <w:bCs/>
                <w:color w:val="000000"/>
              </w:rPr>
              <w:t xml:space="preserve">theo Giấ</w:t>
            </w:r>
            <w:r>
              <w:rPr>
                <w:b/>
                <w:bCs/>
                <w:color w:val="000000"/>
              </w:rPr>
              <w:t xml:space="preserve">y </w:t>
            </w:r>
            <w:r>
              <w:rPr>
                <w:b/>
                <w:bCs/>
                <w:color w:val="000000"/>
              </w:rPr>
              <w:t xml:space="preserve">ch</w:t>
            </w:r>
            <w:r>
              <w:rPr>
                <w:b/>
                <w:bCs/>
                <w:color w:val="000000"/>
              </w:rPr>
              <w:t xml:space="preserve">ứng nhận quyền sử dụng đất, quyền sở hữu nhà ở và tài sản khác gắn liền với đất số: DQ 870893, số vào sổ cấp GCN: CN 3155 do Chi nhánh Văn phòng đăng ký đất đai TP Vĩnh Yên cấp ngày 31/12/2024; Chủ sử dụng đất là Ông Đỗ Anh Toàn và Bà Nguyễn Thị Thu Giang.</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01</w:t>
            </w:r>
            <w:r>
              <w:rPr>
                <w:b w:val="0"/>
                <w:bCs w:val="0"/>
              </w:rPr>
            </w:r>
            <w:r>
              <w:rPr>
                <w:b w:val="0"/>
                <w:bCs w:val="0"/>
              </w:rPr>
            </w:r>
          </w:p>
        </w:tc>
        <w:tc>
          <w:tcPr>
            <w:gridSpan w:val="2"/>
            <w:shd w:val="clear" w:color="000000" w:fill="ffffff"/>
            <w:tcBorders/>
            <w:tcW w:w="2659" w:type="dxa"/>
            <w:vAlign w:val="center"/>
            <w:textDirection w:val="lrTb"/>
            <w:noWrap w:val="false"/>
          </w:tcPr>
          <w:p>
            <w:pPr>
              <w:pBdr/>
              <w:spacing w:after="40" w:before="40" w:line="288" w:lineRule="auto"/>
              <w:ind/>
              <w:rPr>
                <w:b w:val="0"/>
                <w:bCs w:val="0"/>
              </w:rPr>
            </w:pPr>
            <w:r>
              <w:rPr>
                <w:b w:val="0"/>
                <w:bCs w:val="0"/>
              </w:rPr>
              <w:t xml:space="preserve">Đất hỗn hợp (</w:t>
            </w:r>
            <w:r>
              <w:rPr>
                <w:b w:val="0"/>
                <w:bCs w:val="0"/>
                <w:i/>
                <w:iCs/>
              </w:rPr>
              <w:t xml:space="preserve">Đất ODDT + Đất CLN).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311,7</w:t>
            </w:r>
            <w:r>
              <w:rPr>
                <w:color w:val="000000"/>
              </w:rPr>
            </w:r>
            <w:r>
              <w:rPr>
                <w:color w:val="000000"/>
              </w:rPr>
            </w:r>
          </w:p>
        </w:tc>
        <w:tc>
          <w:tcPr>
            <w:shd w:val="clear" w:color="000000" w:fill="ffffff"/>
            <w:tcBorders/>
            <w:tcW w:w="1667" w:type="dxa"/>
            <w:vAlign w:val="center"/>
            <w:textDirection w:val="lrTb"/>
            <w:noWrap w:val="false"/>
          </w:tcPr>
          <w:p>
            <w:pPr>
              <w:pBdr/>
              <w:spacing w:after="40" w:before="40" w:line="288" w:lineRule="auto"/>
              <w:ind/>
              <w:jc w:val="center"/>
              <w:rPr/>
            </w:pPr>
            <w:r>
              <w:rPr>
                <w:color w:val="000000" w:themeColor="text1"/>
              </w:rPr>
              <w:t xml:space="preserve">11.500.000</w:t>
            </w:r>
            <w:r/>
          </w:p>
        </w:tc>
        <w:tc>
          <w:tcPr>
            <w:shd w:val="clear" w:color="000000" w:fill="ffffff"/>
            <w:tcBorders/>
            <w:tcW w:w="1667" w:type="dxa"/>
            <w:vAlign w:val="center"/>
            <w:textDirection w:val="lrTb"/>
            <w:noWrap w:val="false"/>
          </w:tcPr>
          <w:p>
            <w:pPr>
              <w:pBdr/>
              <w:spacing/>
              <w:ind/>
              <w:jc w:val="center"/>
              <w:rPr>
                <w:color w:val="000000" w:themeColor="text1"/>
              </w:rPr>
            </w:pPr>
            <w:r>
              <w:rPr>
                <w:color w:val="000000" w:themeColor="text1"/>
              </w:rPr>
              <w:t xml:space="preserve">100%</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right"/>
              <w:rPr/>
            </w:pPr>
            <w:r>
              <w:rPr>
                <w:color w:val="000000" w:themeColor="text1"/>
              </w:rPr>
              <w:t xml:space="preserve">3.584.550.000</w:t>
            </w: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0</w:t>
            </w:r>
            <w:r>
              <w:rPr>
                <w:b w:val="0"/>
                <w:bCs w:val="0"/>
              </w:rPr>
            </w:r>
            <w:r>
              <w:rPr>
                <w:b w:val="0"/>
                <w:bCs w:val="0"/>
              </w:rPr>
            </w:r>
          </w:p>
        </w:tc>
        <w:tc>
          <w:tcPr>
            <w:gridSpan w:val="2"/>
            <w:shd w:val="clear" w:color="000000" w:fill="ffffff"/>
            <w:tcBorders/>
            <w:tcW w:w="2659" w:type="dxa"/>
            <w:vAlign w:val="center"/>
            <w:textDirection w:val="lrTb"/>
            <w:noWrap w:val="false"/>
          </w:tcPr>
          <w:p>
            <w:pPr>
              <w:pBdr/>
              <w:spacing w:after="40" w:before="40" w:line="288" w:lineRule="auto"/>
              <w:ind/>
              <w:rPr>
                <w:b w:val="0"/>
                <w:bCs w:val="0"/>
              </w:rPr>
            </w:pPr>
            <w:r>
              <w:rPr>
                <w:b w:val="0"/>
                <w:bCs w:val="0"/>
              </w:rPr>
              <w:t xml:space="preserve">Nhà 02 tầng.</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192,0</w:t>
            </w:r>
            <w:r>
              <w:rPr>
                <w:color w:val="000000"/>
              </w:rPr>
            </w:r>
            <w:r>
              <w:rPr>
                <w:color w:val="000000"/>
              </w:rPr>
            </w:r>
          </w:p>
        </w:tc>
        <w:tc>
          <w:tcPr>
            <w:shd w:val="clear" w:color="000000" w:fill="ffffff"/>
            <w:tcBorders/>
            <w:tcW w:w="1667" w:type="dxa"/>
            <w:vAlign w:val="center"/>
            <w:textDirection w:val="lrTb"/>
            <w:noWrap w:val="false"/>
          </w:tcPr>
          <w:p>
            <w:pPr>
              <w:pBdr/>
              <w:spacing w:after="40" w:before="40" w:line="288" w:lineRule="auto"/>
              <w:ind/>
              <w:jc w:val="center"/>
              <w:rPr/>
            </w:pPr>
            <w:r>
              <w:rPr>
                <w:color w:val="000000" w:themeColor="text1"/>
              </w:rPr>
              <w:t xml:space="preserve">7.213.418</w:t>
            </w:r>
            <w:r/>
          </w:p>
        </w:tc>
        <w:tc>
          <w:tcPr>
            <w:shd w:val="clear" w:color="000000" w:fill="ffffff"/>
            <w:tcBorders/>
            <w:tcW w:w="1667" w:type="dxa"/>
            <w:vAlign w:val="center"/>
            <w:textDirection w:val="lrTb"/>
            <w:noWrap w:val="false"/>
          </w:tcPr>
          <w:p>
            <w:pPr>
              <w:pBdr/>
              <w:spacing/>
              <w:ind/>
              <w:jc w:val="center"/>
              <w:rPr>
                <w:color w:val="000000" w:themeColor="text1"/>
              </w:rPr>
            </w:pPr>
            <w:r>
              <w:rPr>
                <w:color w:val="000000" w:themeColor="text1"/>
              </w:rPr>
              <w:t xml:space="preserve">65%</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right"/>
              <w:rPr/>
            </w:pPr>
            <w:r>
              <w:rPr>
                <w:color w:val="000000" w:themeColor="text1"/>
              </w:rPr>
              <w:t xml:space="preserve">900.234.566</w:t>
            </w:r>
            <w:r/>
          </w:p>
        </w:tc>
      </w:tr>
      <w:tr>
        <w:trPr>
          <w:trHeight w:val="20"/>
        </w:trPr>
        <w:tc>
          <w:tcPr>
            <w:gridSpan w:val="5"/>
            <w:tcBorders/>
            <w:tcW w:w="607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667" w:type="dxa"/>
            <w:vAlign w:val="center"/>
            <w:textDirection w:val="lrTb"/>
            <w:noWrap/>
          </w:tcPr>
          <w:p>
            <w:pPr>
              <w:pBdr/>
              <w:spacing/>
              <w:ind/>
              <w:rPr/>
            </w:pPr>
            <w:r/>
            <w:r/>
          </w:p>
        </w:tc>
        <w:tc>
          <w:tcPr>
            <w:tcBorders/>
            <w:tcW w:w="2164" w:type="dxa"/>
            <w:vAlign w:val="center"/>
            <w:textDirection w:val="lrTb"/>
            <w:noWrap/>
          </w:tcPr>
          <w:p>
            <w:pPr>
              <w:pBdr/>
              <w:spacing w:after="40" w:before="40" w:line="288" w:lineRule="auto"/>
              <w:ind/>
              <w:jc w:val="right"/>
              <w:rPr>
                <w:b/>
                <w:bCs/>
                <w:color w:val="000000"/>
              </w:rPr>
            </w:pPr>
            <w:r>
              <w:rPr>
                <w:b/>
                <w:bCs/>
              </w:rPr>
              <w:t xml:space="preserve">4.484.784.566</w:t>
            </w:r>
            <w:r>
              <w:rPr>
                <w:b/>
                <w:bCs/>
                <w:color w:val="000000"/>
              </w:rPr>
            </w:r>
            <w:r>
              <w:rPr>
                <w:b/>
                <w:bCs/>
                <w:color w:val="000000"/>
              </w:rPr>
            </w:r>
          </w:p>
        </w:tc>
      </w:tr>
      <w:tr>
        <w:trPr>
          <w:trHeight w:val="20"/>
        </w:trPr>
        <w:tc>
          <w:tcPr>
            <w:gridSpan w:val="5"/>
            <w:tcBorders/>
            <w:tcW w:w="6076"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667" w:type="dxa"/>
            <w:vAlign w:val="center"/>
            <w:textDirection w:val="lrTb"/>
            <w:noWrap/>
          </w:tcPr>
          <w:p>
            <w:pPr>
              <w:pBdr/>
              <w:spacing/>
              <w:ind/>
              <w:rPr>
                <w:b/>
                <w:bCs/>
                <w:color w:val="000000"/>
              </w:rPr>
            </w:pPr>
            <w:r>
              <w:rPr>
                <w:b/>
                <w:bCs/>
                <w:color w:val="000000"/>
              </w:rPr>
            </w:r>
            <w:r>
              <w:rPr>
                <w:b/>
                <w:bCs/>
                <w:color w:val="000000"/>
              </w:rPr>
            </w:r>
            <w:r>
              <w:rPr>
                <w:b/>
                <w:bCs/>
                <w:color w:val="000000"/>
              </w:rPr>
            </w:r>
          </w:p>
        </w:tc>
        <w:tc>
          <w:tcPr>
            <w:tcBorders/>
            <w:tcW w:w="2164" w:type="dxa"/>
            <w:vAlign w:val="center"/>
            <w:textDirection w:val="lrTb"/>
            <w:noWrap/>
          </w:tcPr>
          <w:p>
            <w:pPr>
              <w:pBdr/>
              <w:spacing w:after="40" w:before="40" w:line="288" w:lineRule="auto"/>
              <w:ind/>
              <w:jc w:val="right"/>
              <w:rPr>
                <w:b/>
                <w:bCs/>
                <w:color w:val="000000"/>
              </w:rPr>
            </w:pPr>
            <w:r>
              <w:rPr>
                <w:b/>
                <w:bCs/>
                <w:color w:val="000000"/>
              </w:rPr>
              <w:t xml:space="preserve">4.485.000.000</w:t>
            </w:r>
            <w:r>
              <w:rPr>
                <w:b/>
                <w:bCs/>
                <w:color w:val="000000"/>
              </w:rPr>
            </w:r>
            <w:r>
              <w:rPr>
                <w:b/>
                <w:bCs/>
                <w:color w:val="000000"/>
              </w:rPr>
            </w:r>
          </w:p>
        </w:tc>
      </w:tr>
      <w:tr>
        <w:trPr>
          <w:trHeight w:val="20"/>
        </w:trPr>
        <w:tc>
          <w:tcPr>
            <w:gridSpan w:val="7"/>
            <w:tcBorders/>
            <w:tcW w:w="9554"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bốn trăm tám mươi lăm triệu đồng</w:t>
            </w:r>
            <w:r>
              <w:rPr>
                <w:b/>
                <w:bCs/>
                <w:i/>
                <w:iCs/>
                <w:color w:val="000000"/>
              </w:rPr>
              <w:t xml:space="preserve">./.)</w:t>
            </w:r>
            <w:r>
              <w:rPr>
                <w:b/>
                <w:bCs/>
                <w:i/>
                <w:iCs/>
                <w:color w:val="000000"/>
              </w:rPr>
            </w:r>
            <w:r>
              <w:rPr>
                <w:b/>
                <w:bCs/>
                <w:i/>
                <w:iCs/>
                <w:color w:val="000000"/>
              </w:rPr>
            </w:r>
          </w:p>
        </w:tc>
      </w:tr>
    </w:tbl>
    <w:p>
      <w:pPr>
        <w:pStyle w:val="103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9"/>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9"/>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39"/>
        <w:numPr>
          <w:ilvl w:val="0"/>
          <w:numId w:val="41"/>
        </w:numPr>
        <w:pBdr/>
        <w:tabs>
          <w:tab w:val="left" w:leader="none" w:pos="993"/>
        </w:tabs>
        <w:spacing w:after="120" w:before="120" w:line="264" w:lineRule="auto"/>
        <w:ind/>
        <w:jc w:val="both"/>
        <w:rPr>
          <w:color w:val="ff0000"/>
          <w:spacing w:val="-2"/>
        </w:rPr>
      </w:pPr>
      <w:r>
        <w:rPr>
          <w:spacing w:val="-2"/>
          <w:lang w:val="pt-BR"/>
        </w:rPr>
      </w:r>
      <w:r>
        <w:rPr>
          <w:rFonts w:ascii="Times New Roman" w:hAnsi="Times New Roman" w:eastAsia="Times New Roman" w:cs="Times New Roman"/>
          <w:color w:val="ff0000"/>
          <w:sz w:val="24"/>
        </w:rPr>
        <w:t xml:space="preserve">Theo khảo sát thực tế, tài sản trên đất là Nhà 02 tầng, tường gạch, mái BTCT, sàn lát gạch men. Diện tích xây dựng khoảng 96m</w:t>
      </w:r>
      <w:r>
        <w:rPr>
          <w:rFonts w:ascii="Times New Roman" w:hAnsi="Times New Roman" w:eastAsia="Times New Roman" w:cs="Times New Roman"/>
          <w:color w:val="ff0000"/>
          <w:sz w:val="20"/>
          <w:vertAlign w:val="superscript"/>
        </w:rPr>
        <w:t xml:space="preserve">2</w:t>
      </w:r>
      <w:r>
        <w:rPr>
          <w:rFonts w:ascii="Times New Roman" w:hAnsi="Times New Roman" w:eastAsia="Times New Roman" w:cs="Times New Roman"/>
          <w:color w:val="ff0000"/>
          <w:sz w:val="24"/>
        </w:rPr>
        <w:t xml:space="preserve">, diện tích sàn xây dựng khoảng 192m</w:t>
      </w:r>
      <w:r>
        <w:rPr>
          <w:rFonts w:ascii="Times New Roman" w:hAnsi="Times New Roman" w:eastAsia="Times New Roman" w:cs="Times New Roman"/>
          <w:color w:val="ff0000"/>
          <w:sz w:val="20"/>
          <w:vertAlign w:val="superscript"/>
        </w:rPr>
        <w:t xml:space="preserve">2</w:t>
      </w:r>
      <w:r>
        <w:rPr>
          <w:rFonts w:ascii="Times New Roman" w:hAnsi="Times New Roman" w:eastAsia="Times New Roman" w:cs="Times New Roman"/>
          <w:color w:val="ff0000"/>
          <w:sz w:val="24"/>
        </w:rPr>
        <w:t xml:space="preserve">. CTXD chưa được chứng nhận trên Giấy chứng nhận quyền sử dụng đất, Tổ thẩm định thực hiện ước tính giá trị công trình xây dựng theo thực tế khảo sát được khách hàng hướng dẫn khảo sát và xác nhận. Việc </w:t>
      </w:r>
      <w:r>
        <w:rPr>
          <w:rFonts w:ascii="Times New Roman" w:hAnsi="Times New Roman" w:eastAsia="Times New Roman" w:cs="Times New Roman"/>
          <w:color w:val="ff0000"/>
          <w:sz w:val="24"/>
        </w:rPr>
        <w:t xml:space="preserve">ảnh </w:t>
      </w:r>
      <w:r>
        <w:rPr>
          <w:rFonts w:ascii="Times New Roman" w:hAnsi="Times New Roman" w:eastAsia="Times New Roman" w:cs="Times New Roman"/>
          <w:color w:val="ff0000"/>
          <w:sz w:val="24"/>
        </w:rPr>
        <w:t xml:space="preserve">hưởng của giá trị này (nếu có) do diện tích và hiện trạng của công trình xây dựng sai khác với hiện trạng, Tổ thẩm định đã khảo sát và có sự xác nhận của khách hàng tại Biên bản khảo sát tài sản kèm theo chứng thư này nằm ngoài phạm vi trách nhiệm của </w:t>
      </w:r>
      <w:r>
        <w:rPr>
          <w:rFonts w:ascii="Times New Roman" w:hAnsi="Times New Roman" w:eastAsia="Times New Roman" w:cs="Times New Roman"/>
          <w:color w:val="ff0000"/>
          <w:sz w:val="24"/>
        </w:rPr>
        <w:t xml:space="preserve">chúng tôi. Khách hàng hoặc bên thứ ba khi sử dụng chứng thư, báo cáo này cần lưu ý, cân nhắc thận trọng và chịu trách nhiệm hoàn toàn trước khi đưa ra quyết định cuối cùng.</w:t>
      </w:r>
      <w:r>
        <w:rPr>
          <w:color w:val="ff0000"/>
          <w:spacing w:val="-2"/>
          <w:lang w:val="pt-BR"/>
        </w:rPr>
        <w:t xml:space="preserve"> </w:t>
      </w:r>
      <w:r>
        <w:rPr>
          <w:rFonts w:ascii="Times New Roman" w:hAnsi="Times New Roman" w:eastAsia="Times New Roman" w:cs="Times New Roman"/>
          <w:color w:val="ff0000"/>
          <w:sz w:val="24"/>
        </w:rPr>
        <w:t xml:space="preserve">Ngoài ra, Tổ thẩm định không có trách nhiệm xác minh chủ sở hữu công trình xây dựng trên. Kính đề nghị đơn vị sử dụng kết quả lưu ý.</w:t>
      </w:r>
      <w:r>
        <w:rPr>
          <w:color w:val="ff0000"/>
          <w:spacing w:val="-2"/>
        </w:rPr>
      </w:r>
      <w:r>
        <w:rPr>
          <w:color w:val="ff0000"/>
          <w:spacing w:val="-2"/>
        </w:rPr>
      </w:r>
    </w:p>
    <w:p>
      <w:pPr>
        <w:pStyle w:val="103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9"/>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9"/>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9"/>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9"/>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275/2026/1275/VFI-CT.T003.A</w:t>
      </w:r>
      <w:r>
        <w:rPr>
          <w:color w:val="ff0000"/>
          <w:lang w:val="vi-VN"/>
        </w:rPr>
        <w:t xml:space="preserve"> </w:t>
      </w:r>
      <w:r>
        <w:rPr>
          <w:color w:val="000000" w:themeColor="text1"/>
        </w:rPr>
        <w:t xml:space="preserve">ngày 17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Nhâm Văn Hưng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275/2026/1275/VFI-BC.T003.A</w:t>
      </w:r>
      <w:r>
        <w:rPr>
          <w:i/>
        </w:rPr>
        <w:t xml:space="preserve"> ngày</w:t>
      </w:r>
      <w:r>
        <w:rPr>
          <w:i/>
          <w:lang w:val="pt-BR"/>
        </w:rPr>
        <w:t xml:space="preserve"> </w:t>
      </w:r>
      <w:r>
        <w:rPr>
          <w:i/>
          <w:lang w:val="pt-BR"/>
        </w:rPr>
        <w:t xml:space="preserve">17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line="276" w:lineRule="auto"/>
              <w:ind/>
              <w:jc w:val="center"/>
              <w:rPr>
                <w:sz w:val="22"/>
                <w:szCs w:val="22"/>
              </w:rPr>
            </w:pPr>
            <w:r>
              <w:rPr>
                <w:b/>
                <w:bCs/>
                <w:i/>
                <w:lang w:val="pt-BR"/>
              </w:rPr>
            </w:r>
            <w:r>
              <mc:AlternateContent>
                <mc:Choice Requires="wpg">
                  <w:drawing>
                    <wp:inline xmlns:wp="http://schemas.openxmlformats.org/drawingml/2006/wordprocessingDrawing" distT="0" distB="0" distL="0" distR="0">
                      <wp:extent cx="2689257" cy="265108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974094" name=""/>
                              <pic:cNvPicPr>
                                <a:picLocks noChangeAspect="1"/>
                              </pic:cNvPicPr>
                              <pic:nvPr/>
                            </pic:nvPicPr>
                            <pic:blipFill rotWithShape="1">
                              <a:blip r:embed="rId19"/>
                              <a:stretch/>
                            </pic:blipFill>
                            <pic:spPr bwMode="auto">
                              <a:xfrm flipH="0" flipV="0">
                                <a:off x="0" y="0"/>
                                <a:ext cx="2689256" cy="26510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1.75pt;height:208.75pt;mso-wrap-distance-left:0.00pt;mso-wrap-distance-top:0.00pt;mso-wrap-distance-right:0.00pt;mso-wrap-distance-bottom:0.00pt;z-index:1;" stroked="false">
                      <v:imagedata r:id="rId19" o:title=""/>
                      <o:lock v:ext="edit" rotation="t"/>
                    </v:shape>
                  </w:pict>
                </mc:Fallback>
              </mc:AlternateContent>
            </w:r>
            <w:r>
              <w:rPr>
                <w:sz w:val="22"/>
                <w:szCs w:val="22"/>
              </w:rPr>
            </w:r>
            <w:r>
              <w:rPr>
                <w:sz w:val="22"/>
                <w:szCs w:val="22"/>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05068" cy="243083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990915" name=""/>
                              <pic:cNvPicPr>
                                <a:picLocks noChangeAspect="1"/>
                              </pic:cNvPicPr>
                              <pic:nvPr/>
                            </pic:nvPicPr>
                            <pic:blipFill rotWithShape="1">
                              <a:blip r:embed="rId20"/>
                              <a:stretch/>
                            </pic:blipFill>
                            <pic:spPr bwMode="auto">
                              <a:xfrm flipH="0" flipV="0">
                                <a:off x="0" y="0"/>
                                <a:ext cx="2805068" cy="24308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0.87pt;height:191.40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05694" cy="237698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334525" name=""/>
                              <pic:cNvPicPr>
                                <a:picLocks noChangeAspect="1"/>
                              </pic:cNvPicPr>
                              <pic:nvPr/>
                            </pic:nvPicPr>
                            <pic:blipFill rotWithShape="1">
                              <a:blip r:embed="rId21"/>
                              <a:stretch/>
                            </pic:blipFill>
                            <pic:spPr bwMode="auto">
                              <a:xfrm flipH="0" flipV="0">
                                <a:off x="0" y="0"/>
                                <a:ext cx="2705694" cy="23769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3.05pt;height:187.16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94558" cy="2224673"/>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483244" name=""/>
                              <pic:cNvPicPr>
                                <a:picLocks noChangeAspect="1"/>
                              </pic:cNvPicPr>
                              <pic:nvPr/>
                            </pic:nvPicPr>
                            <pic:blipFill rotWithShape="1">
                              <a:blip r:embed="rId22"/>
                              <a:stretch/>
                            </pic:blipFill>
                            <pic:spPr bwMode="auto">
                              <a:xfrm flipH="0" flipV="0">
                                <a:off x="0" y="0"/>
                                <a:ext cx="2994557" cy="22246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5.79pt;height:175.17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55935" cy="185987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59041" name=""/>
                              <pic:cNvPicPr>
                                <a:picLocks noChangeAspect="1"/>
                              </pic:cNvPicPr>
                              <pic:nvPr/>
                            </pic:nvPicPr>
                            <pic:blipFill rotWithShape="1">
                              <a:blip r:embed="rId23"/>
                              <a:stretch/>
                            </pic:blipFill>
                            <pic:spPr bwMode="auto">
                              <a:xfrm flipH="0" flipV="0">
                                <a:off x="0" y="0"/>
                                <a:ext cx="2855934" cy="18598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4.88pt;height:146.45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57392" cy="1876324"/>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087140" name=""/>
                              <pic:cNvPicPr>
                                <a:picLocks noChangeAspect="1"/>
                              </pic:cNvPicPr>
                              <pic:nvPr/>
                            </pic:nvPicPr>
                            <pic:blipFill rotWithShape="1">
                              <a:blip r:embed="rId24"/>
                              <a:stretch/>
                            </pic:blipFill>
                            <pic:spPr bwMode="auto">
                              <a:xfrm flipH="0" flipV="0">
                                <a:off x="0" y="0"/>
                                <a:ext cx="2957392" cy="18763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2.87pt;height:147.7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275/2026/1275/VFI-BC.T003.A</w:t>
      </w:r>
      <w:r>
        <w:rPr>
          <w:i/>
        </w:rPr>
        <w:t xml:space="preserve"> ngày</w:t>
      </w:r>
      <w:r>
        <w:rPr>
          <w:i/>
          <w:lang w:val="pt-BR"/>
        </w:rPr>
        <w:t xml:space="preserve"> </w:t>
      </w:r>
      <w:r>
        <w:rPr>
          <w:i/>
          <w:lang w:val="pt-BR"/>
        </w:rPr>
        <w:t xml:space="preserve">17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0972.780664</w:t>
            </w:r>
            <w:r>
              <w:rPr>
                <w:sz w:val="22"/>
                <w:szCs w:val="22"/>
              </w:rPr>
              <w:t xml:space="preserve"> </w:t>
            </w:r>
            <w:r>
              <w:rPr>
                <w:sz w:val="22"/>
                <w:szCs w:val="22"/>
              </w:rPr>
              <w:br/>
              <w:t xml:space="preserve">(Anh 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2.136.000.000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trồng cây lâu năm (45.8m²), Đất ở tại đô thị (52.8m²)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trồng cây lâu năm – Có thời hạn (đến 31/12/2046, 20 năm), 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Liên Bảo, Thành phố Vĩnh Yên, Tỉnh Vĩnh Phúc, độ rộng đường trước mặt tài sản Tài sản nằm tiếp giáp đường nội xóm,cách trường THPT Trần Phú khoảng 450mm, mặt tiền 4.4m, 21.316159844197863, 105.59476237935145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98,6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1401258597" name="" descr=""/>
                              <pic:cNvPicPr/>
                              <pic:nvPr/>
                            </pic:nvPicPr>
                            <pic:blipFill rotWithShape="1">
                              <a:blip r:embed="rId25"/>
                              <a:stretch/>
                            </pic:blipFill>
                            <pic:spPr bwMode="auto">
                              <a:xfrm>
                                <a:off x="0" y="0"/>
                                <a:ext cx="142875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12.50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86075"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171656675" name="" descr=""/>
                              <pic:cNvPicPr/>
                              <pic:nvPr/>
                            </pic:nvPicPr>
                            <pic:blipFill rotWithShape="1">
                              <a:blip r:embed="rId26"/>
                              <a:stretch/>
                            </pic:blipFill>
                            <pic:spPr bwMode="auto">
                              <a:xfrm flipH="0" flipV="0">
                                <a:off x="0" y="0"/>
                                <a:ext cx="288607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7.25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80605"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78060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8.95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89473"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28947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0.27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b/>
                <w:bCs/>
              </w:rPr>
            </w:pPr>
            <w:r>
              <w:rPr>
                <w:b/>
                <w:bCs/>
              </w:rPr>
              <w:t xml:space="preserve">Nhâm Văn Hưng</w:t>
            </w:r>
            <w:r>
              <w:rPr>
                <w:b/>
                <w:bCs/>
              </w:rPr>
            </w:r>
            <w:r>
              <w:rPr>
                <w:b/>
                <w:bCs/>
              </w:rP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0942.422866</w:t>
            </w:r>
            <w:r>
              <w:rPr>
                <w:sz w:val="22"/>
                <w:szCs w:val="22"/>
              </w:rPr>
              <w:t xml:space="preserve"> </w:t>
            </w:r>
            <w:r>
              <w:rPr>
                <w:sz w:val="22"/>
                <w:szCs w:val="22"/>
              </w:rPr>
              <w:br/>
              <w:t xml:space="preserve">(Phong Đất</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trồng cây lâu năm (80.1m²), Đất ở nông thôn (50m²)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trồng cây lâu năm – Có thời hạn (đến 31/12/2046, 20 năm), 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Liên Bảo, Thành phố Vĩnh Yên, Tỉnh Vĩnh Phúc, khoảng cách ra đường chính Cách trục chính khoảng 500m, độ rộng đường trước mặt tài sản 4m, mặt tiền 4.94m, 21.322788074582384, 105.5923795100903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130,1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363"/>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2.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33.33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569290" cy="328876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5569289" cy="32887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38.53pt;height:258.96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b/>
                <w:bCs/>
              </w:rPr>
            </w:pPr>
            <w:r>
              <w:rPr>
                <w:b/>
                <w:bCs/>
              </w:rPr>
              <w:t xml:space="preserve">Nhâm Văn Hưng</w:t>
            </w:r>
            <w:r>
              <w:rPr>
                <w:b/>
                <w:bCs/>
              </w:rPr>
            </w:r>
            <w:r>
              <w:rPr>
                <w:b/>
                <w:bCs/>
              </w:rP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0904.556146</w:t>
            </w:r>
            <w:r>
              <w:rPr>
                <w:sz w:val="22"/>
                <w:szCs w:val="22"/>
              </w:rPr>
              <w:t xml:space="preserve"> </w:t>
            </w:r>
            <w:r>
              <w:rPr>
                <w:sz w:val="22"/>
                <w:szCs w:val="22"/>
              </w:rPr>
              <w:br/>
              <w:t xml:space="preserve">(A.Tuấn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1.744.000.000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(30m²), Đất trồng cây lâu năm (67.6m²)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Có thời hạn (đến 31/12/2046, 20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Liên Bảo, Thành phố Vĩnh Yên, Tỉnh Vĩnh Phúc, khoảng cách ra đường chính Cách trục chính khoảng 500m, độ rộng đường trước mặt tài sản 4m, mặt tiền 4.9m, 21.318607283260427, 105.59507414616478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97,6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31190" cy="379897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5531188" cy="379897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35.53pt;height:299.13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675236663" name="" descr=""/>
                              <pic:cNvPicPr/>
                              <pic:nvPr/>
                            </pic:nvPicPr>
                            <pic:blipFill rotWithShape="1">
                              <a:blip r:embed="rId34"/>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7.5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4549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564548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44.53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b/>
                <w:bCs/>
              </w:rPr>
            </w:pPr>
            <w:r>
              <w:rPr>
                <w:b/>
                <w:bCs/>
              </w:rPr>
              <w:t xml:space="preserve">Nhâm Văn Hưng</w:t>
            </w:r>
            <w:r>
              <w:rPr>
                <w:b/>
                <w:bCs/>
              </w:rPr>
            </w:r>
            <w:r>
              <w:rPr>
                <w:b/>
                <w:bCs/>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tabs>
          <w:tab w:val="left" w:leader="none" w:pos="3961"/>
        </w:tabs>
        <w:spacing/>
        <w:ind/>
        <w:jc w:val="center"/>
        <w:rPr>
          <w:b/>
          <w:bCs/>
          <w:highlight w:val="none"/>
        </w:rPr>
      </w:pPr>
      <w:r>
        <w:rPr>
          <w:b/>
          <w:bCs/>
          <w:highlight w:val="none"/>
        </w:rPr>
      </w:r>
      <w:r>
        <w:rPr>
          <w:b/>
          <w:bCs/>
          <w:highlight w:val="none"/>
        </w:rPr>
      </w:r>
      <w:r>
        <w:rPr>
          <w:b/>
          <w:bCs/>
          <w:highlight w:val="none"/>
        </w:rPr>
      </w:r>
    </w:p>
    <w:p>
      <w:pPr>
        <w:pBdr/>
        <w:tabs>
          <w:tab w:val="left" w:leader="none" w:pos="3961"/>
        </w:tabs>
        <w:spacing/>
        <w:ind/>
        <w:jc w:val="center"/>
        <w:rPr>
          <w:b/>
          <w:bCs/>
          <w:highlight w:val="none"/>
        </w:rPr>
      </w:pPr>
      <w:r>
        <w:rPr>
          <w:b/>
          <w:bCs/>
          <w:highlight w:val="none"/>
        </w:rPr>
      </w:r>
      <w:r>
        <w:rPr>
          <w:b/>
          <w:bCs/>
          <w:highlight w:val="none"/>
        </w:rPr>
      </w:r>
      <w:r>
        <w:rPr>
          <w:b/>
          <w:bCs/>
          <w:highlight w:val="none"/>
        </w:rPr>
      </w:r>
    </w:p>
    <w:p>
      <w:pPr>
        <w:pBdr/>
        <w:tabs>
          <w:tab w:val="left" w:leader="none" w:pos="3961"/>
        </w:tabs>
        <w:spacing/>
        <w:ind/>
        <w:jc w:val="center"/>
        <w:rPr>
          <w:b/>
          <w:bCs/>
          <w:highlight w:val="none"/>
        </w:rPr>
      </w:pPr>
      <w:r>
        <w:rPr>
          <w:b/>
          <w:bCs/>
          <w:highlight w:val="none"/>
        </w:rPr>
      </w:r>
      <w:r>
        <w:rPr>
          <w:b/>
          <w:bCs/>
          <w:highlight w:val="none"/>
        </w:rPr>
      </w:r>
      <w:r>
        <w:rPr>
          <w:b/>
          <w:bCs/>
          <w:highlight w:val="none"/>
        </w:rPr>
      </w:r>
    </w:p>
    <w:p>
      <w:pPr>
        <w:pBdr/>
        <w:tabs>
          <w:tab w:val="left" w:leader="none" w:pos="3961"/>
        </w:tabs>
        <w:spacing/>
        <w:ind/>
        <w:jc w:val="center"/>
        <w:rPr>
          <w:b/>
          <w:bCs/>
          <w:highlight w:val="none"/>
        </w:rPr>
      </w:pPr>
      <w:r>
        <w:rPr>
          <w:b/>
          <w:bCs/>
          <w:highlight w:val="none"/>
        </w:rPr>
      </w:r>
      <w:r>
        <w:rPr>
          <w:b/>
          <w:bCs/>
          <w:highlight w:val="none"/>
        </w:rPr>
      </w:r>
      <w:r>
        <w:rPr>
          <w:b/>
          <w:bCs/>
          <w:highlight w:val="none"/>
        </w:rPr>
      </w:r>
    </w:p>
    <w:p>
      <w:pPr>
        <w:pBdr/>
        <w:tabs>
          <w:tab w:val="left" w:leader="none" w:pos="3961"/>
        </w:tabs>
        <w:spacing/>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iCs/>
          <w:highlight w:val="none"/>
        </w:rPr>
      </w:pPr>
      <w:r>
        <w:rPr>
          <w:b/>
          <w:bCs/>
          <w:iCs/>
          <w:lang w:val="pt-BR"/>
        </w:rPr>
        <w:t xml:space="preserve">GIẤY CHỨNG NHẬN QSDĐ</w:t>
      </w:r>
      <w:r>
        <w:rPr>
          <w:b/>
          <w:bCs/>
          <w:iCs/>
          <w:highlight w:val="none"/>
        </w:rPr>
      </w:r>
      <w:r>
        <w:rPr>
          <w:b/>
          <w:bCs/>
          <w:i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5457995" cy="6824203"/>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557453" name=""/>
                        <pic:cNvPicPr>
                          <a:picLocks noChangeAspect="1"/>
                        </pic:cNvPicPr>
                        <pic:nvPr/>
                      </pic:nvPicPr>
                      <pic:blipFill rotWithShape="1">
                        <a:blip r:embed="rId36"/>
                        <a:stretch/>
                      </pic:blipFill>
                      <pic:spPr bwMode="auto">
                        <a:xfrm flipH="0" flipV="0">
                          <a:off x="0" y="0"/>
                          <a:ext cx="5457994" cy="68242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29.76pt;height:537.34pt;mso-wrap-distance-left:0.00pt;mso-wrap-distance-top:0.00pt;mso-wrap-distance-right:0.00pt;mso-wrap-distance-bottom:0.00pt;z-index:1;" stroked="false">
                <v:imagedata r:id="rId36"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58070" cy="7286246"/>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474213" name=""/>
                        <pic:cNvPicPr>
                          <a:picLocks noChangeAspect="1"/>
                        </pic:cNvPicPr>
                        <pic:nvPr/>
                      </pic:nvPicPr>
                      <pic:blipFill rotWithShape="1">
                        <a:blip r:embed="rId37"/>
                        <a:stretch/>
                      </pic:blipFill>
                      <pic:spPr bwMode="auto">
                        <a:xfrm flipH="0" flipV="0">
                          <a:off x="0" y="0"/>
                          <a:ext cx="6058068" cy="72862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7.01pt;height:573.72pt;mso-wrap-distance-left:0.00pt;mso-wrap-distance-top:0.00pt;mso-wrap-distance-right:0.00pt;mso-wrap-distance-bottom:0.00pt;z-index:1;" stroked="false">
                <v:imagedata r:id="rId37"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left"/>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5869951" cy="752421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124080" name=""/>
                        <pic:cNvPicPr>
                          <a:picLocks noChangeAspect="1"/>
                        </pic:cNvPicPr>
                        <pic:nvPr/>
                      </pic:nvPicPr>
                      <pic:blipFill rotWithShape="1">
                        <a:blip r:embed="rId38"/>
                        <a:stretch/>
                      </pic:blipFill>
                      <pic:spPr bwMode="auto">
                        <a:xfrm flipH="0" flipV="0">
                          <a:off x="0" y="0"/>
                          <a:ext cx="5869951" cy="7524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62.20pt;height:592.46pt;mso-wrap-distance-left:0.00pt;mso-wrap-distance-top:0.00pt;mso-wrap-distance-right:0.00pt;mso-wrap-distance-bottom:0.00pt;z-index:1;" stroked="false">
                <v:imagedata r:id="rId38"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5876585" cy="877198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378412" name=""/>
                        <pic:cNvPicPr>
                          <a:picLocks noChangeAspect="1"/>
                        </pic:cNvPicPr>
                        <pic:nvPr/>
                      </pic:nvPicPr>
                      <pic:blipFill rotWithShape="1">
                        <a:blip r:embed="rId39"/>
                        <a:stretch/>
                      </pic:blipFill>
                      <pic:spPr bwMode="auto">
                        <a:xfrm flipH="0" flipV="0">
                          <a:off x="0" y="0"/>
                          <a:ext cx="5876584" cy="87719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62.72pt;height:690.71pt;mso-wrap-distance-left:0.00pt;mso-wrap-distance-top:0.00pt;mso-wrap-distance-right:0.00pt;mso-wrap-distance-bottom:0.00pt;z-index:1;" stroked="false">
                <v:imagedata r:id="rId39"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iCs/>
          <w:highlight w:val="none"/>
        </w:rPr>
      </w:r>
      <w:r>
        <w:rPr>
          <w:b/>
          <w:bCs/>
          <w:highlight w:val="none"/>
        </w:rPr>
      </w:r>
      <w:r>
        <w:rPr>
          <w:b/>
          <w:bCs/>
          <w:highlight w:val="none"/>
        </w:rPr>
      </w:r>
    </w:p>
    <w:p>
      <w:pPr>
        <w:pBdr/>
        <w:tabs>
          <w:tab w:val="left" w:leader="none" w:pos="3961"/>
        </w:tabs>
        <w:spacing/>
        <w:ind/>
        <w:jc w:val="center"/>
        <w:rPr>
          <w:b/>
          <w:bCs/>
          <w:highlight w:val="none"/>
        </w:rPr>
      </w:pPr>
      <w:r>
        <w:rPr>
          <w:b/>
          <w:bCs/>
        </w:rPr>
        <w:t xml:space="preserve">BIÊN BẢN KHẢO SÁT</w:t>
      </w:r>
      <w:r>
        <w:rPr>
          <w:b/>
          <w:bCs/>
          <w:highlight w:val="none"/>
        </w:rPr>
      </w:r>
      <w:r>
        <w:rPr>
          <w:b/>
          <w:bCs/>
          <w:highlight w:val="none"/>
        </w:rPr>
      </w:r>
    </w:p>
    <w:p>
      <w:pPr>
        <w:pBdr/>
        <w:tabs>
          <w:tab w:val="left" w:leader="none" w:pos="3961"/>
        </w:tabs>
        <w:spacing/>
        <w:ind/>
        <w:jc w:val="center"/>
        <w:rPr>
          <w:b/>
          <w:bCs/>
          <w:highlight w:val="none"/>
        </w:rPr>
      </w:pPr>
      <w:r>
        <w:rPr>
          <w:b/>
          <w:bCs/>
          <w:highlight w:val="none"/>
        </w:rPr>
      </w:r>
      <w:r>
        <w:rPr>
          <w:b/>
          <w:bCs/>
          <w:highlight w:val="none"/>
        </w:rPr>
      </w:r>
      <w:r>
        <w:rPr>
          <w:b/>
          <w:bCs/>
          <w:highlight w:val="none"/>
        </w:rPr>
      </w:r>
    </w:p>
    <w:p>
      <w:pPr>
        <w:pBdr/>
        <w:tabs>
          <w:tab w:val="left" w:leader="none" w:pos="3961"/>
        </w:tabs>
        <w:spacing/>
        <w:ind/>
        <w:jc w:val="center"/>
        <w:rPr>
          <w:b/>
          <w:bCs/>
        </w:rPr>
      </w:pPr>
      <w:r>
        <w:rPr>
          <w:b/>
          <w:bCs/>
          <w:highlight w:val="none"/>
        </w:rPr>
      </w:r>
      <w:r/>
      <w:r>
        <w:rPr>
          <w:b/>
          <w:bCs/>
        </w:rPr>
      </w:r>
      <w:r>
        <mc:AlternateContent>
          <mc:Choice Requires="wpg">
            <w:drawing>
              <wp:inline xmlns:wp="http://schemas.openxmlformats.org/drawingml/2006/wordprocessingDrawing" distT="0" distB="0" distL="0" distR="0">
                <wp:extent cx="6048375" cy="8451878"/>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42957" name=""/>
                        <pic:cNvPicPr>
                          <a:picLocks noChangeAspect="1"/>
                        </pic:cNvPicPr>
                        <pic:nvPr/>
                      </pic:nvPicPr>
                      <pic:blipFill rotWithShape="1">
                        <a:blip r:embed="rId40"/>
                        <a:stretch/>
                      </pic:blipFill>
                      <pic:spPr bwMode="auto">
                        <a:xfrm>
                          <a:off x="0" y="0"/>
                          <a:ext cx="6048374" cy="84518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665.50pt;mso-wrap-distance-left:0.00pt;mso-wrap-distance-top:0.00pt;mso-wrap-distance-right:0.00pt;mso-wrap-distance-bottom:0.00pt;z-index:1;" stroked="false">
                <v:imagedata r:id="rId40"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7F4988F"/>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3F48329E"/>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nsid w:val="2D63EC98"/>
    <w:lvl w:ilvl="0">
      <w:isLgl w:val="false"/>
      <w:lvlJc w:val="left"/>
      <w:lvlText w:val="❖"/>
      <w:numFmt w:val="bullet"/>
      <w:pPr>
        <w:pBdr/>
        <w:spacing/>
        <w:ind w:hanging="360" w:left="1107"/>
      </w:pPr>
      <w:rPr>
        <w:rFonts w:hint="default" w:ascii="Symbol" w:hAnsi="Symbol" w:eastAsia="Symbol" w:cs="Symbol"/>
      </w:rPr>
      <w:start w:val="1"/>
      <w:suff w:val="tab"/>
    </w:lvl>
    <w:lvl w:ilvl="1">
      <w:isLgl w:val="false"/>
      <w:lvlJc w:val="left"/>
      <w:lvlText w:val="❖"/>
      <w:numFmt w:val="bullet"/>
      <w:pPr>
        <w:pBdr/>
        <w:spacing/>
        <w:ind w:hanging="360" w:left="1620"/>
      </w:pPr>
      <w:rPr>
        <w:rFonts w:hint="default" w:ascii="Symbol" w:hAnsi="Symbol" w:eastAsia="Symbol" w:cs="Symbol"/>
      </w:rPr>
      <w:start w:val="1"/>
      <w:suff w:val="tab"/>
    </w:lvl>
    <w:lvl w:ilvl="2">
      <w:isLgl w:val="false"/>
      <w:lvlJc w:val="left"/>
      <w:lvlText w:val="•"/>
      <w:numFmt w:val="bullet"/>
      <w:pPr>
        <w:pBdr/>
        <w:spacing/>
        <w:ind w:hanging="360" w:left="2574"/>
      </w:pPr>
      <w:rPr>
        <w:rFonts w:hint="default" w:ascii="Symbol" w:hAnsi="Symbol" w:eastAsia="Symbol" w:cs="Symbol"/>
      </w:rPr>
      <w:start w:val="1"/>
      <w:suff w:val="tab"/>
    </w:lvl>
    <w:lvl w:ilvl="3">
      <w:isLgl w:val="false"/>
      <w:lvlJc w:val="left"/>
      <w:lvlText w:val="•"/>
      <w:numFmt w:val="bullet"/>
      <w:pPr>
        <w:pBdr/>
        <w:spacing/>
        <w:ind w:hanging="360" w:left="3528"/>
      </w:pPr>
      <w:rPr>
        <w:rFonts w:hint="default" w:ascii="Symbol" w:hAnsi="Symbol" w:eastAsia="Symbol" w:cs="Symbol"/>
      </w:rPr>
      <w:start w:val="1"/>
      <w:suff w:val="tab"/>
    </w:lvl>
    <w:lvl w:ilvl="4">
      <w:isLgl w:val="false"/>
      <w:lvlJc w:val="left"/>
      <w:lvlText w:val="•"/>
      <w:numFmt w:val="bullet"/>
      <w:pPr>
        <w:pBdr/>
        <w:spacing/>
        <w:ind w:hanging="360" w:left="4482"/>
      </w:pPr>
      <w:rPr>
        <w:rFonts w:hint="default" w:ascii="Symbol" w:hAnsi="Symbol" w:eastAsia="Symbol" w:cs="Symbol"/>
      </w:rPr>
      <w:start w:val="1"/>
      <w:suff w:val="tab"/>
    </w:lvl>
    <w:lvl w:ilvl="5">
      <w:isLgl w:val="false"/>
      <w:lvlJc w:val="left"/>
      <w:lvlText w:val="•"/>
      <w:numFmt w:val="bullet"/>
      <w:pPr>
        <w:pBdr/>
        <w:spacing/>
        <w:ind w:hanging="360" w:left="5436"/>
      </w:pPr>
      <w:rPr>
        <w:rFonts w:hint="default" w:ascii="Symbol" w:hAnsi="Symbol" w:eastAsia="Symbol" w:cs="Symbol"/>
      </w:rPr>
      <w:start w:val="1"/>
      <w:suff w:val="tab"/>
    </w:lvl>
    <w:lvl w:ilvl="6">
      <w:isLgl w:val="false"/>
      <w:lvlJc w:val="left"/>
      <w:lvlText w:val="•"/>
      <w:numFmt w:val="bullet"/>
      <w:pPr>
        <w:pBdr/>
        <w:spacing/>
        <w:ind w:hanging="360" w:left="6391"/>
      </w:pPr>
      <w:rPr>
        <w:rFonts w:hint="default" w:ascii="Symbol" w:hAnsi="Symbol" w:eastAsia="Symbol" w:cs="Symbol"/>
      </w:rPr>
      <w:start w:val="1"/>
      <w:suff w:val="tab"/>
    </w:lvl>
    <w:lvl w:ilvl="7">
      <w:isLgl w:val="false"/>
      <w:lvlJc w:val="left"/>
      <w:lvlText w:val="•"/>
      <w:numFmt w:val="bullet"/>
      <w:pPr>
        <w:pBdr/>
        <w:spacing/>
        <w:ind w:hanging="360" w:left="7345"/>
      </w:pPr>
      <w:rPr>
        <w:rFonts w:hint="default" w:ascii="Symbol" w:hAnsi="Symbol" w:eastAsia="Symbol" w:cs="Symbol"/>
      </w:rPr>
      <w:start w:val="1"/>
      <w:suff w:val="tab"/>
    </w:lvl>
    <w:lvl w:ilvl="8">
      <w:isLgl w:val="false"/>
      <w:lvlJc w:val="left"/>
      <w:lvlText w:val="•"/>
      <w:numFmt w:val="bullet"/>
      <w:pPr>
        <w:pBdr/>
        <w:spacing/>
        <w:ind w:hanging="360" w:left="8299"/>
      </w:pPr>
      <w:rPr>
        <w:rFonts w:hint="default" w:ascii="Symbol" w:hAnsi="Symbol" w:eastAsia="Symbol" w:cs="Symbol"/>
      </w:rPr>
      <w:start w:val="1"/>
      <w:suff w:val="tab"/>
    </w:lvl>
  </w:abstractNum>
  <w:abstractNum w:abstractNumId="41">
    <w:nsid w:val="5F5CCA43"/>
    <w:lvl w:ilvl="0">
      <w:isLgl w:val="false"/>
      <w:lvlJc w:val="left"/>
      <w:lvlText w:val="❖"/>
      <w:numFmt w:val="bullet"/>
      <w:pPr>
        <w:pBdr/>
        <w:spacing/>
        <w:ind w:hanging="360" w:left="1107"/>
      </w:pPr>
      <w:rPr>
        <w:rFonts w:hint="default" w:ascii="Symbol" w:hAnsi="Symbol" w:eastAsia="Symbol" w:cs="Symbol"/>
      </w:rPr>
      <w:start w:val="1"/>
      <w:suff w:val="tab"/>
    </w:lvl>
    <w:lvl w:ilvl="1">
      <w:isLgl w:val="false"/>
      <w:lvlJc w:val="left"/>
      <w:lvlText w:val="❖"/>
      <w:numFmt w:val="bullet"/>
      <w:pPr>
        <w:pBdr/>
        <w:spacing/>
        <w:ind w:hanging="360" w:left="1620"/>
      </w:pPr>
      <w:rPr>
        <w:rFonts w:hint="default" w:ascii="Symbol" w:hAnsi="Symbol" w:eastAsia="Symbol" w:cs="Symbol"/>
      </w:rPr>
      <w:start w:val="1"/>
      <w:suff w:val="tab"/>
    </w:lvl>
    <w:lvl w:ilvl="2">
      <w:isLgl w:val="false"/>
      <w:lvlJc w:val="left"/>
      <w:lvlText w:val="•"/>
      <w:numFmt w:val="bullet"/>
      <w:pPr>
        <w:pBdr/>
        <w:spacing/>
        <w:ind w:hanging="360" w:left="2574"/>
      </w:pPr>
      <w:rPr>
        <w:rFonts w:hint="default" w:ascii="Symbol" w:hAnsi="Symbol" w:eastAsia="Symbol" w:cs="Symbol"/>
      </w:rPr>
      <w:start w:val="1"/>
      <w:suff w:val="tab"/>
    </w:lvl>
    <w:lvl w:ilvl="3">
      <w:isLgl w:val="false"/>
      <w:lvlJc w:val="left"/>
      <w:lvlText w:val="•"/>
      <w:numFmt w:val="bullet"/>
      <w:pPr>
        <w:pBdr/>
        <w:spacing/>
        <w:ind w:hanging="360" w:left="3528"/>
      </w:pPr>
      <w:rPr>
        <w:rFonts w:hint="default" w:ascii="Symbol" w:hAnsi="Symbol" w:eastAsia="Symbol" w:cs="Symbol"/>
      </w:rPr>
      <w:start w:val="1"/>
      <w:suff w:val="tab"/>
    </w:lvl>
    <w:lvl w:ilvl="4">
      <w:isLgl w:val="false"/>
      <w:lvlJc w:val="left"/>
      <w:lvlText w:val="•"/>
      <w:numFmt w:val="bullet"/>
      <w:pPr>
        <w:pBdr/>
        <w:spacing/>
        <w:ind w:hanging="360" w:left="4482"/>
      </w:pPr>
      <w:rPr>
        <w:rFonts w:hint="default" w:ascii="Symbol" w:hAnsi="Symbol" w:eastAsia="Symbol" w:cs="Symbol"/>
      </w:rPr>
      <w:start w:val="1"/>
      <w:suff w:val="tab"/>
    </w:lvl>
    <w:lvl w:ilvl="5">
      <w:isLgl w:val="false"/>
      <w:lvlJc w:val="left"/>
      <w:lvlText w:val="•"/>
      <w:numFmt w:val="bullet"/>
      <w:pPr>
        <w:pBdr/>
        <w:spacing/>
        <w:ind w:hanging="360" w:left="5436"/>
      </w:pPr>
      <w:rPr>
        <w:rFonts w:hint="default" w:ascii="Symbol" w:hAnsi="Symbol" w:eastAsia="Symbol" w:cs="Symbol"/>
      </w:rPr>
      <w:start w:val="1"/>
      <w:suff w:val="tab"/>
    </w:lvl>
    <w:lvl w:ilvl="6">
      <w:isLgl w:val="false"/>
      <w:lvlJc w:val="left"/>
      <w:lvlText w:val="•"/>
      <w:numFmt w:val="bullet"/>
      <w:pPr>
        <w:pBdr/>
        <w:spacing/>
        <w:ind w:hanging="360" w:left="6391"/>
      </w:pPr>
      <w:rPr>
        <w:rFonts w:hint="default" w:ascii="Symbol" w:hAnsi="Symbol" w:eastAsia="Symbol" w:cs="Symbol"/>
      </w:rPr>
      <w:start w:val="1"/>
      <w:suff w:val="tab"/>
    </w:lvl>
    <w:lvl w:ilvl="7">
      <w:isLgl w:val="false"/>
      <w:lvlJc w:val="left"/>
      <w:lvlText w:val="•"/>
      <w:numFmt w:val="bullet"/>
      <w:pPr>
        <w:pBdr/>
        <w:spacing/>
        <w:ind w:hanging="360" w:left="7345"/>
      </w:pPr>
      <w:rPr>
        <w:rFonts w:hint="default" w:ascii="Symbol" w:hAnsi="Symbol" w:eastAsia="Symbol" w:cs="Symbol"/>
      </w:rPr>
      <w:start w:val="1"/>
      <w:suff w:val="tab"/>
    </w:lvl>
    <w:lvl w:ilvl="8">
      <w:isLgl w:val="false"/>
      <w:lvlJc w:val="left"/>
      <w:lvlText w:val="•"/>
      <w:numFmt w:val="bullet"/>
      <w:pPr>
        <w:pBdr/>
        <w:spacing/>
        <w:ind w:hanging="360" w:left="8299"/>
      </w:pPr>
      <w:rPr>
        <w:rFonts w:hint="default" w:ascii="Symbol" w:hAnsi="Symbol" w:eastAsia="Symbol" w:cs="Symbol"/>
      </w:rPr>
      <w:start w:val="1"/>
      <w:suff w:val="tab"/>
    </w:lvl>
  </w:abstractNum>
  <w:abstractNum w:abstractNumId="42">
    <w:nsid w:val="18D0620E"/>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3">
    <w:nsid w:val="1C25FF05"/>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1">
    <w:name w:val="Table Grid Light"/>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1"/>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2"/>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3"/>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4"/>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5"/>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w:basedOn w:val="102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w:basedOn w:val="102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1"/>
    <w:basedOn w:val="102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2"/>
    <w:basedOn w:val="102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3"/>
    <w:basedOn w:val="102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4"/>
    <w:basedOn w:val="102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5"/>
    <w:basedOn w:val="102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6"/>
    <w:basedOn w:val="102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Accent 1"/>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2"/>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3"/>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Accent 4"/>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5"/>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6"/>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3">
    <w:name w:val="Grid Table 6 Colorful - Accent 1"/>
    <w:basedOn w:val="102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4">
    <w:name w:val="Grid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5">
    <w:name w:val="Grid Table 6 Colorful - Accent 3"/>
    <w:basedOn w:val="102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6">
    <w:name w:val="Grid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7">
    <w:name w:val="Grid Table 6 Colorful - Accent 5"/>
    <w:basedOn w:val="102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8">
    <w:name w:val="Grid Table 6 Colorful - Accent 6"/>
    <w:basedOn w:val="102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9">
    <w:name w:val="Grid Table 7 Colorful"/>
    <w:basedOn w:val="102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1"/>
    <w:basedOn w:val="102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5"/>
    <w:basedOn w:val="102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6"/>
    <w:basedOn w:val="102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1"/>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2"/>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3"/>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4"/>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5"/>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6"/>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w:basedOn w:val="102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1"/>
    <w:basedOn w:val="102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2"/>
    <w:basedOn w:val="102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3"/>
    <w:basedOn w:val="102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4"/>
    <w:basedOn w:val="102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5"/>
    <w:basedOn w:val="102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6"/>
    <w:basedOn w:val="102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1"/>
    <w:basedOn w:val="102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3"/>
    <w:basedOn w:val="102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5"/>
    <w:basedOn w:val="102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6"/>
    <w:basedOn w:val="102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1"/>
    <w:basedOn w:val="102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2"/>
    <w:basedOn w:val="102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3"/>
    <w:basedOn w:val="102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4"/>
    <w:basedOn w:val="102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5"/>
    <w:basedOn w:val="102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6"/>
    <w:basedOn w:val="102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5 Dark"/>
    <w:basedOn w:val="102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1"/>
    <w:basedOn w:val="102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2"/>
    <w:basedOn w:val="102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3"/>
    <w:basedOn w:val="102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4"/>
    <w:basedOn w:val="102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5"/>
    <w:basedOn w:val="102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6"/>
    <w:basedOn w:val="102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1"/>
    <w:basedOn w:val="102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3"/>
    <w:basedOn w:val="102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5"/>
    <w:basedOn w:val="102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6"/>
    <w:basedOn w:val="102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7 Colorful"/>
    <w:basedOn w:val="102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9">
    <w:name w:val="List Table 7 Colorful - Accent 1"/>
    <w:basedOn w:val="102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0">
    <w:name w:val="List Table 7 Colorful - Accent 2"/>
    <w:basedOn w:val="102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1">
    <w:name w:val="List Table 7 Colorful - Accent 3"/>
    <w:basedOn w:val="102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2">
    <w:name w:val="List Table 7 Colorful - Accent 4"/>
    <w:basedOn w:val="102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3">
    <w:name w:val="List Table 7 Colorful - Accent 5"/>
    <w:basedOn w:val="102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4">
    <w:name w:val="List Table 7 Colorful - Accent 6"/>
    <w:basedOn w:val="102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5">
    <w:name w:val="Lined - Accent"/>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1"/>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2"/>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3"/>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4"/>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5"/>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6"/>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w:basedOn w:val="102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1"/>
    <w:basedOn w:val="102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2"/>
    <w:basedOn w:val="102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3"/>
    <w:basedOn w:val="102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4"/>
    <w:basedOn w:val="102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5"/>
    <w:basedOn w:val="102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6"/>
    <w:basedOn w:val="102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w:basedOn w:val="102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6">
    <w:name w:val="Heading 5"/>
    <w:basedOn w:val="1017"/>
    <w:next w:val="1017"/>
    <w:link w:val="98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7">
    <w:name w:val="Heading 6"/>
    <w:basedOn w:val="1017"/>
    <w:next w:val="1017"/>
    <w:link w:val="98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8">
    <w:name w:val="Heading 7"/>
    <w:basedOn w:val="1017"/>
    <w:next w:val="1017"/>
    <w:link w:val="98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9">
    <w:name w:val="Heading 8"/>
    <w:basedOn w:val="1017"/>
    <w:next w:val="1017"/>
    <w:link w:val="98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0">
    <w:name w:val="Heading 9"/>
    <w:basedOn w:val="1017"/>
    <w:next w:val="1017"/>
    <w:link w:val="98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1">
    <w:name w:val="Heading 5 Char"/>
    <w:basedOn w:val="1022"/>
    <w:link w:val="976"/>
    <w:uiPriority w:val="9"/>
    <w:pPr>
      <w:pBdr/>
      <w:spacing/>
      <w:ind/>
    </w:pPr>
    <w:rPr>
      <w:rFonts w:ascii="Arial" w:hAnsi="Arial" w:eastAsia="Arial" w:cs="Arial"/>
      <w:color w:val="0f4761" w:themeColor="accent1" w:themeShade="BF"/>
    </w:rPr>
  </w:style>
  <w:style w:type="character" w:styleId="982">
    <w:name w:val="Heading 6 Char"/>
    <w:basedOn w:val="1022"/>
    <w:link w:val="977"/>
    <w:uiPriority w:val="9"/>
    <w:pPr>
      <w:pBdr/>
      <w:spacing/>
      <w:ind/>
    </w:pPr>
    <w:rPr>
      <w:rFonts w:ascii="Arial" w:hAnsi="Arial" w:eastAsia="Arial" w:cs="Arial"/>
      <w:i/>
      <w:iCs/>
      <w:color w:val="595959" w:themeColor="text1" w:themeTint="A6"/>
    </w:rPr>
  </w:style>
  <w:style w:type="character" w:styleId="983">
    <w:name w:val="Heading 7 Char"/>
    <w:basedOn w:val="1022"/>
    <w:link w:val="978"/>
    <w:uiPriority w:val="9"/>
    <w:pPr>
      <w:pBdr/>
      <w:spacing/>
      <w:ind/>
    </w:pPr>
    <w:rPr>
      <w:rFonts w:ascii="Arial" w:hAnsi="Arial" w:eastAsia="Arial" w:cs="Arial"/>
      <w:color w:val="595959" w:themeColor="text1" w:themeTint="A6"/>
    </w:rPr>
  </w:style>
  <w:style w:type="character" w:styleId="984">
    <w:name w:val="Heading 8 Char"/>
    <w:basedOn w:val="1022"/>
    <w:link w:val="979"/>
    <w:uiPriority w:val="9"/>
    <w:pPr>
      <w:pBdr/>
      <w:spacing/>
      <w:ind/>
    </w:pPr>
    <w:rPr>
      <w:rFonts w:ascii="Arial" w:hAnsi="Arial" w:eastAsia="Arial" w:cs="Arial"/>
      <w:i/>
      <w:iCs/>
      <w:color w:val="272727" w:themeColor="text1" w:themeTint="D8"/>
    </w:rPr>
  </w:style>
  <w:style w:type="character" w:styleId="985">
    <w:name w:val="Heading 9 Char"/>
    <w:basedOn w:val="1022"/>
    <w:link w:val="980"/>
    <w:uiPriority w:val="9"/>
    <w:pPr>
      <w:pBdr/>
      <w:spacing/>
      <w:ind/>
    </w:pPr>
    <w:rPr>
      <w:rFonts w:ascii="Arial" w:hAnsi="Arial" w:eastAsia="Arial" w:cs="Arial"/>
      <w:i/>
      <w:iCs/>
      <w:color w:val="272727" w:themeColor="text1" w:themeTint="D8"/>
    </w:rPr>
  </w:style>
  <w:style w:type="paragraph" w:styleId="986">
    <w:name w:val="Subtitle"/>
    <w:basedOn w:val="1017"/>
    <w:next w:val="1017"/>
    <w:link w:val="987"/>
    <w:uiPriority w:val="11"/>
    <w:qFormat/>
    <w:pPr>
      <w:numPr>
        <w:ilvl w:val="1"/>
      </w:numPr>
      <w:pBdr/>
      <w:spacing/>
      <w:ind/>
    </w:pPr>
    <w:rPr>
      <w:color w:val="595959" w:themeColor="text1" w:themeTint="A6"/>
      <w:spacing w:val="15"/>
      <w:sz w:val="28"/>
      <w:szCs w:val="28"/>
    </w:rPr>
  </w:style>
  <w:style w:type="character" w:styleId="987">
    <w:name w:val="Subtitle Char"/>
    <w:basedOn w:val="1022"/>
    <w:link w:val="986"/>
    <w:uiPriority w:val="11"/>
    <w:pPr>
      <w:pBdr/>
      <w:spacing/>
      <w:ind/>
    </w:pPr>
    <w:rPr>
      <w:color w:val="595959" w:themeColor="text1" w:themeTint="A6"/>
      <w:spacing w:val="15"/>
      <w:sz w:val="28"/>
      <w:szCs w:val="28"/>
    </w:rPr>
  </w:style>
  <w:style w:type="paragraph" w:styleId="988">
    <w:name w:val="Quote"/>
    <w:basedOn w:val="1017"/>
    <w:next w:val="1017"/>
    <w:link w:val="989"/>
    <w:uiPriority w:val="29"/>
    <w:qFormat/>
    <w:pPr>
      <w:pBdr/>
      <w:spacing w:before="160"/>
      <w:ind/>
      <w:jc w:val="center"/>
    </w:pPr>
    <w:rPr>
      <w:i/>
      <w:iCs/>
      <w:color w:val="404040" w:themeColor="text1" w:themeTint="BF"/>
    </w:rPr>
  </w:style>
  <w:style w:type="character" w:styleId="989">
    <w:name w:val="Quote Char"/>
    <w:basedOn w:val="1022"/>
    <w:link w:val="988"/>
    <w:uiPriority w:val="29"/>
    <w:pPr>
      <w:pBdr/>
      <w:spacing/>
      <w:ind/>
    </w:pPr>
    <w:rPr>
      <w:i/>
      <w:iCs/>
      <w:color w:val="404040" w:themeColor="text1" w:themeTint="BF"/>
    </w:rPr>
  </w:style>
  <w:style w:type="character" w:styleId="990">
    <w:name w:val="Intense Emphasis"/>
    <w:basedOn w:val="1022"/>
    <w:uiPriority w:val="21"/>
    <w:qFormat/>
    <w:pPr>
      <w:pBdr/>
      <w:spacing/>
      <w:ind/>
    </w:pPr>
    <w:rPr>
      <w:i/>
      <w:iCs/>
      <w:color w:val="0f4761" w:themeColor="accent1" w:themeShade="BF"/>
    </w:rPr>
  </w:style>
  <w:style w:type="paragraph" w:styleId="991">
    <w:name w:val="Intense Quote"/>
    <w:basedOn w:val="1017"/>
    <w:next w:val="1017"/>
    <w:link w:val="9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2">
    <w:name w:val="Intense Quote Char"/>
    <w:basedOn w:val="1022"/>
    <w:link w:val="991"/>
    <w:uiPriority w:val="30"/>
    <w:pPr>
      <w:pBdr/>
      <w:spacing/>
      <w:ind/>
    </w:pPr>
    <w:rPr>
      <w:i/>
      <w:iCs/>
      <w:color w:val="0f4761" w:themeColor="accent1" w:themeShade="BF"/>
    </w:rPr>
  </w:style>
  <w:style w:type="character" w:styleId="993">
    <w:name w:val="Intense Reference"/>
    <w:basedOn w:val="1022"/>
    <w:uiPriority w:val="32"/>
    <w:qFormat/>
    <w:pPr>
      <w:pBdr/>
      <w:spacing/>
      <w:ind/>
    </w:pPr>
    <w:rPr>
      <w:b/>
      <w:bCs/>
      <w:smallCaps/>
      <w:color w:val="0f4761" w:themeColor="accent1" w:themeShade="BF"/>
      <w:spacing w:val="5"/>
    </w:rPr>
  </w:style>
  <w:style w:type="paragraph" w:styleId="994">
    <w:name w:val="No Spacing"/>
    <w:basedOn w:val="1017"/>
    <w:uiPriority w:val="1"/>
    <w:qFormat/>
    <w:pPr>
      <w:pBdr/>
      <w:spacing w:after="0" w:line="240" w:lineRule="auto"/>
      <w:ind/>
    </w:pPr>
  </w:style>
  <w:style w:type="character" w:styleId="995">
    <w:name w:val="Subtle Emphasis"/>
    <w:basedOn w:val="1022"/>
    <w:uiPriority w:val="19"/>
    <w:qFormat/>
    <w:pPr>
      <w:pBdr/>
      <w:spacing/>
      <w:ind/>
    </w:pPr>
    <w:rPr>
      <w:i/>
      <w:iCs/>
      <w:color w:val="404040" w:themeColor="text1" w:themeTint="BF"/>
    </w:rPr>
  </w:style>
  <w:style w:type="character" w:styleId="996">
    <w:name w:val="Subtle Reference"/>
    <w:basedOn w:val="1022"/>
    <w:uiPriority w:val="31"/>
    <w:qFormat/>
    <w:pPr>
      <w:pBdr/>
      <w:spacing/>
      <w:ind/>
    </w:pPr>
    <w:rPr>
      <w:smallCaps/>
      <w:color w:val="5a5a5a" w:themeColor="text1" w:themeTint="A5"/>
    </w:rPr>
  </w:style>
  <w:style w:type="character" w:styleId="997">
    <w:name w:val="Book Title"/>
    <w:basedOn w:val="1022"/>
    <w:uiPriority w:val="33"/>
    <w:qFormat/>
    <w:pPr>
      <w:pBdr/>
      <w:spacing/>
      <w:ind/>
    </w:pPr>
    <w:rPr>
      <w:b/>
      <w:bCs/>
      <w:i/>
      <w:iCs/>
      <w:spacing w:val="5"/>
    </w:rPr>
  </w:style>
  <w:style w:type="paragraph" w:styleId="998">
    <w:name w:val="Caption"/>
    <w:basedOn w:val="1017"/>
    <w:next w:val="1017"/>
    <w:uiPriority w:val="35"/>
    <w:unhideWhenUsed/>
    <w:qFormat/>
    <w:pPr>
      <w:pBdr/>
      <w:spacing w:after="200" w:line="240" w:lineRule="auto"/>
      <w:ind/>
    </w:pPr>
    <w:rPr>
      <w:i/>
      <w:iCs/>
      <w:color w:val="0e2841" w:themeColor="text2"/>
      <w:sz w:val="18"/>
      <w:szCs w:val="18"/>
    </w:rPr>
  </w:style>
  <w:style w:type="paragraph" w:styleId="999">
    <w:name w:val="footnote text"/>
    <w:basedOn w:val="1017"/>
    <w:link w:val="1000"/>
    <w:uiPriority w:val="99"/>
    <w:semiHidden/>
    <w:unhideWhenUsed/>
    <w:pPr>
      <w:pBdr/>
      <w:spacing w:after="0" w:line="240" w:lineRule="auto"/>
      <w:ind/>
    </w:pPr>
    <w:rPr>
      <w:sz w:val="20"/>
      <w:szCs w:val="20"/>
    </w:rPr>
  </w:style>
  <w:style w:type="character" w:styleId="1000">
    <w:name w:val="Footnote Text Char"/>
    <w:basedOn w:val="1022"/>
    <w:link w:val="999"/>
    <w:uiPriority w:val="99"/>
    <w:semiHidden/>
    <w:pPr>
      <w:pBdr/>
      <w:spacing/>
      <w:ind/>
    </w:pPr>
    <w:rPr>
      <w:sz w:val="20"/>
      <w:szCs w:val="20"/>
    </w:rPr>
  </w:style>
  <w:style w:type="character" w:styleId="1001">
    <w:name w:val="footnote reference"/>
    <w:basedOn w:val="1022"/>
    <w:uiPriority w:val="99"/>
    <w:semiHidden/>
    <w:unhideWhenUsed/>
    <w:pPr>
      <w:pBdr/>
      <w:spacing/>
      <w:ind/>
    </w:pPr>
    <w:rPr>
      <w:vertAlign w:val="superscript"/>
    </w:rPr>
  </w:style>
  <w:style w:type="paragraph" w:styleId="1002">
    <w:name w:val="endnote text"/>
    <w:basedOn w:val="1017"/>
    <w:link w:val="1003"/>
    <w:uiPriority w:val="99"/>
    <w:semiHidden/>
    <w:unhideWhenUsed/>
    <w:pPr>
      <w:pBdr/>
      <w:spacing w:after="0" w:line="240" w:lineRule="auto"/>
      <w:ind/>
    </w:pPr>
    <w:rPr>
      <w:sz w:val="20"/>
      <w:szCs w:val="20"/>
    </w:rPr>
  </w:style>
  <w:style w:type="character" w:styleId="1003">
    <w:name w:val="Endnote Text Char"/>
    <w:basedOn w:val="1022"/>
    <w:link w:val="1002"/>
    <w:uiPriority w:val="99"/>
    <w:semiHidden/>
    <w:pPr>
      <w:pBdr/>
      <w:spacing/>
      <w:ind/>
    </w:pPr>
    <w:rPr>
      <w:sz w:val="20"/>
      <w:szCs w:val="20"/>
    </w:rPr>
  </w:style>
  <w:style w:type="character" w:styleId="1004">
    <w:name w:val="endnote reference"/>
    <w:basedOn w:val="1022"/>
    <w:uiPriority w:val="99"/>
    <w:semiHidden/>
    <w:unhideWhenUsed/>
    <w:pPr>
      <w:pBdr/>
      <w:spacing/>
      <w:ind/>
    </w:pPr>
    <w:rPr>
      <w:vertAlign w:val="superscript"/>
    </w:rPr>
  </w:style>
  <w:style w:type="paragraph" w:styleId="1005">
    <w:name w:val="toc 1"/>
    <w:basedOn w:val="1017"/>
    <w:next w:val="1017"/>
    <w:uiPriority w:val="39"/>
    <w:unhideWhenUsed/>
    <w:pPr>
      <w:pBdr/>
      <w:spacing w:after="100"/>
      <w:ind/>
    </w:pPr>
  </w:style>
  <w:style w:type="paragraph" w:styleId="1006">
    <w:name w:val="toc 2"/>
    <w:basedOn w:val="1017"/>
    <w:next w:val="1017"/>
    <w:uiPriority w:val="39"/>
    <w:unhideWhenUsed/>
    <w:pPr>
      <w:pBdr/>
      <w:spacing w:after="100"/>
      <w:ind w:left="220"/>
    </w:pPr>
  </w:style>
  <w:style w:type="paragraph" w:styleId="1007">
    <w:name w:val="toc 3"/>
    <w:basedOn w:val="1017"/>
    <w:next w:val="1017"/>
    <w:uiPriority w:val="39"/>
    <w:unhideWhenUsed/>
    <w:pPr>
      <w:pBdr/>
      <w:spacing w:after="100"/>
      <w:ind w:left="440"/>
    </w:pPr>
  </w:style>
  <w:style w:type="paragraph" w:styleId="1008">
    <w:name w:val="toc 4"/>
    <w:basedOn w:val="1017"/>
    <w:next w:val="1017"/>
    <w:uiPriority w:val="39"/>
    <w:unhideWhenUsed/>
    <w:pPr>
      <w:pBdr/>
      <w:spacing w:after="100"/>
      <w:ind w:left="660"/>
    </w:pPr>
  </w:style>
  <w:style w:type="paragraph" w:styleId="1009">
    <w:name w:val="toc 5"/>
    <w:basedOn w:val="1017"/>
    <w:next w:val="1017"/>
    <w:uiPriority w:val="39"/>
    <w:unhideWhenUsed/>
    <w:pPr>
      <w:pBdr/>
      <w:spacing w:after="100"/>
      <w:ind w:left="880"/>
    </w:pPr>
  </w:style>
  <w:style w:type="paragraph" w:styleId="1010">
    <w:name w:val="toc 6"/>
    <w:basedOn w:val="1017"/>
    <w:next w:val="1017"/>
    <w:uiPriority w:val="39"/>
    <w:unhideWhenUsed/>
    <w:pPr>
      <w:pBdr/>
      <w:spacing w:after="100"/>
      <w:ind w:left="1100"/>
    </w:pPr>
  </w:style>
  <w:style w:type="paragraph" w:styleId="1011">
    <w:name w:val="toc 7"/>
    <w:basedOn w:val="1017"/>
    <w:next w:val="1017"/>
    <w:uiPriority w:val="39"/>
    <w:unhideWhenUsed/>
    <w:pPr>
      <w:pBdr/>
      <w:spacing w:after="100"/>
      <w:ind w:left="1320"/>
    </w:pPr>
  </w:style>
  <w:style w:type="paragraph" w:styleId="1012">
    <w:name w:val="toc 8"/>
    <w:basedOn w:val="1017"/>
    <w:next w:val="1017"/>
    <w:uiPriority w:val="39"/>
    <w:unhideWhenUsed/>
    <w:pPr>
      <w:pBdr/>
      <w:spacing w:after="100"/>
      <w:ind w:left="1540"/>
    </w:pPr>
  </w:style>
  <w:style w:type="paragraph" w:styleId="1013">
    <w:name w:val="toc 9"/>
    <w:basedOn w:val="1017"/>
    <w:next w:val="1017"/>
    <w:uiPriority w:val="39"/>
    <w:unhideWhenUsed/>
    <w:pPr>
      <w:pBdr/>
      <w:spacing w:after="100"/>
      <w:ind w:left="1760"/>
    </w:pPr>
  </w:style>
  <w:style w:type="character" w:styleId="1014">
    <w:name w:val="Placeholder Text"/>
    <w:basedOn w:val="1022"/>
    <w:uiPriority w:val="99"/>
    <w:semiHidden/>
    <w:pPr>
      <w:pBdr/>
      <w:spacing/>
      <w:ind/>
    </w:pPr>
    <w:rPr>
      <w:color w:val="666666"/>
    </w:rPr>
  </w:style>
  <w:style w:type="paragraph" w:styleId="1015">
    <w:name w:val="TOC Heading"/>
    <w:uiPriority w:val="39"/>
    <w:unhideWhenUsed/>
    <w:pPr>
      <w:pBdr/>
      <w:spacing/>
      <w:ind/>
    </w:pPr>
  </w:style>
  <w:style w:type="paragraph" w:styleId="1016">
    <w:name w:val="table of figures"/>
    <w:basedOn w:val="1017"/>
    <w:next w:val="1017"/>
    <w:uiPriority w:val="99"/>
    <w:unhideWhenUsed/>
    <w:pPr>
      <w:pBdr/>
      <w:spacing w:after="0" w:afterAutospacing="0"/>
      <w:ind/>
    </w:pPr>
  </w:style>
  <w:style w:type="paragraph" w:styleId="1017" w:default="1">
    <w:name w:val="Normal"/>
    <w:qFormat/>
    <w:pPr>
      <w:pBdr/>
      <w:spacing w:after="0" w:line="240" w:lineRule="auto"/>
      <w:ind/>
    </w:pPr>
    <w:rPr>
      <w:rFonts w:ascii="Times New Roman" w:hAnsi="Times New Roman" w:eastAsia="Times New Roman" w:cs="Times New Roman"/>
      <w:sz w:val="24"/>
      <w:szCs w:val="24"/>
    </w:rPr>
  </w:style>
  <w:style w:type="paragraph" w:styleId="1018">
    <w:name w:val="Heading 1"/>
    <w:basedOn w:val="1017"/>
    <w:next w:val="1017"/>
    <w:link w:val="1025"/>
    <w:qFormat/>
    <w:pPr>
      <w:keepNext w:val="true"/>
      <w:pBdr/>
      <w:spacing w:after="120" w:before="120"/>
      <w:ind/>
      <w:jc w:val="center"/>
      <w:outlineLvl w:val="0"/>
    </w:pPr>
    <w:rPr>
      <w:b/>
      <w:bCs/>
      <w:sz w:val="27"/>
      <w:szCs w:val="27"/>
    </w:rPr>
  </w:style>
  <w:style w:type="paragraph" w:styleId="1019">
    <w:name w:val="Heading 2"/>
    <w:basedOn w:val="1017"/>
    <w:next w:val="1017"/>
    <w:link w:val="102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0">
    <w:name w:val="Heading 3"/>
    <w:basedOn w:val="1017"/>
    <w:next w:val="1017"/>
    <w:link w:val="1027"/>
    <w:qFormat/>
    <w:pPr>
      <w:keepNext w:val="true"/>
      <w:pBdr/>
      <w:spacing w:before="60"/>
      <w:ind/>
      <w:outlineLvl w:val="2"/>
    </w:pPr>
    <w:rPr>
      <w:sz w:val="28"/>
      <w:szCs w:val="28"/>
    </w:rPr>
  </w:style>
  <w:style w:type="paragraph" w:styleId="1021">
    <w:name w:val="Heading 4"/>
    <w:basedOn w:val="1017"/>
    <w:next w:val="1017"/>
    <w:link w:val="1028"/>
    <w:qFormat/>
    <w:pPr>
      <w:keepNext w:val="true"/>
      <w:pBdr/>
      <w:spacing/>
      <w:ind/>
      <w:jc w:val="center"/>
      <w:outlineLvl w:val="3"/>
    </w:pPr>
    <w:rPr>
      <w:b/>
      <w:bCs/>
    </w:rPr>
  </w:style>
  <w:style w:type="character" w:styleId="1022" w:default="1">
    <w:name w:val="Default Paragraph Font"/>
    <w:uiPriority w:val="1"/>
    <w:semiHidden/>
    <w:unhideWhenUsed/>
    <w:pPr>
      <w:pBdr/>
      <w:spacing/>
      <w:ind/>
    </w:pPr>
  </w:style>
  <w:style w:type="table" w:styleId="102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4" w:default="1">
    <w:name w:val="No List"/>
    <w:uiPriority w:val="99"/>
    <w:semiHidden/>
    <w:unhideWhenUsed/>
    <w:pPr>
      <w:pBdr/>
      <w:spacing/>
      <w:ind/>
    </w:pPr>
  </w:style>
  <w:style w:type="character" w:styleId="1025" w:customStyle="1">
    <w:name w:val="Heading 1 Char"/>
    <w:basedOn w:val="1022"/>
    <w:link w:val="1018"/>
    <w:pPr>
      <w:pBdr/>
      <w:spacing/>
      <w:ind/>
    </w:pPr>
    <w:rPr>
      <w:rFonts w:ascii="Times New Roman" w:hAnsi="Times New Roman" w:eastAsia="Times New Roman" w:cs="Times New Roman"/>
      <w:b/>
      <w:bCs/>
      <w:sz w:val="27"/>
      <w:szCs w:val="27"/>
    </w:rPr>
  </w:style>
  <w:style w:type="character" w:styleId="1026" w:customStyle="1">
    <w:name w:val="Heading 2 Char"/>
    <w:basedOn w:val="1022"/>
    <w:link w:val="1019"/>
    <w:uiPriority w:val="9"/>
    <w:pPr>
      <w:pBdr/>
      <w:spacing/>
      <w:ind/>
    </w:pPr>
    <w:rPr>
      <w:rFonts w:asciiTheme="majorHAnsi" w:hAnsiTheme="majorHAnsi" w:eastAsiaTheme="majorEastAsia" w:cstheme="majorBidi"/>
      <w:color w:val="365f91" w:themeColor="accent1" w:themeShade="BF"/>
      <w:sz w:val="26"/>
      <w:szCs w:val="26"/>
    </w:rPr>
  </w:style>
  <w:style w:type="character" w:styleId="1027" w:customStyle="1">
    <w:name w:val="Heading 3 Char"/>
    <w:basedOn w:val="1022"/>
    <w:link w:val="1020"/>
    <w:pPr>
      <w:pBdr/>
      <w:spacing/>
      <w:ind/>
    </w:pPr>
    <w:rPr>
      <w:rFonts w:ascii="Times New Roman" w:hAnsi="Times New Roman" w:eastAsia="Times New Roman" w:cs="Times New Roman"/>
      <w:sz w:val="28"/>
      <w:szCs w:val="28"/>
    </w:rPr>
  </w:style>
  <w:style w:type="character" w:styleId="1028" w:customStyle="1">
    <w:name w:val="Heading 4 Char"/>
    <w:basedOn w:val="1022"/>
    <w:link w:val="1021"/>
    <w:pPr>
      <w:pBdr/>
      <w:spacing/>
      <w:ind/>
    </w:pPr>
    <w:rPr>
      <w:rFonts w:ascii="Times New Roman" w:hAnsi="Times New Roman" w:eastAsia="Times New Roman" w:cs="Times New Roman"/>
      <w:b/>
      <w:bCs/>
      <w:sz w:val="24"/>
      <w:szCs w:val="24"/>
    </w:rPr>
  </w:style>
  <w:style w:type="character" w:styleId="1029">
    <w:name w:val="Hyperlink"/>
    <w:uiPriority w:val="99"/>
    <w:pPr>
      <w:pBdr/>
      <w:spacing/>
      <w:ind/>
    </w:pPr>
    <w:rPr>
      <w:color w:val="000000"/>
      <w:u w:val="single"/>
    </w:rPr>
  </w:style>
  <w:style w:type="character" w:styleId="1030">
    <w:name w:val="Strong"/>
    <w:uiPriority w:val="22"/>
    <w:qFormat/>
    <w:pPr>
      <w:pBdr/>
      <w:spacing/>
      <w:ind/>
    </w:pPr>
    <w:rPr>
      <w:b/>
      <w:bCs/>
    </w:rPr>
  </w:style>
  <w:style w:type="paragraph" w:styleId="1031">
    <w:name w:val="Balloon Text"/>
    <w:basedOn w:val="1017"/>
    <w:link w:val="1032"/>
    <w:uiPriority w:val="99"/>
    <w:semiHidden/>
    <w:unhideWhenUsed/>
    <w:pPr>
      <w:pBdr/>
      <w:spacing/>
      <w:ind/>
    </w:pPr>
    <w:rPr>
      <w:rFonts w:ascii="Tahoma" w:hAnsi="Tahoma" w:cs="Tahoma"/>
      <w:sz w:val="16"/>
      <w:szCs w:val="16"/>
    </w:rPr>
  </w:style>
  <w:style w:type="character" w:styleId="1032" w:customStyle="1">
    <w:name w:val="Balloon Text Char"/>
    <w:basedOn w:val="1022"/>
    <w:link w:val="1031"/>
    <w:uiPriority w:val="99"/>
    <w:semiHidden/>
    <w:pPr>
      <w:pBdr/>
      <w:spacing/>
      <w:ind/>
    </w:pPr>
    <w:rPr>
      <w:rFonts w:ascii="Tahoma" w:hAnsi="Tahoma" w:eastAsia="Times New Roman" w:cs="Tahoma"/>
      <w:sz w:val="16"/>
      <w:szCs w:val="16"/>
    </w:rPr>
  </w:style>
  <w:style w:type="paragraph" w:styleId="1033">
    <w:name w:val="Header"/>
    <w:basedOn w:val="1017"/>
    <w:link w:val="1034"/>
    <w:unhideWhenUsed/>
    <w:pPr>
      <w:pBdr/>
      <w:tabs>
        <w:tab w:val="center" w:leader="none" w:pos="4680"/>
        <w:tab w:val="right" w:leader="none" w:pos="9360"/>
      </w:tabs>
      <w:spacing/>
      <w:ind/>
    </w:pPr>
  </w:style>
  <w:style w:type="character" w:styleId="1034" w:customStyle="1">
    <w:name w:val="Header Char"/>
    <w:basedOn w:val="1022"/>
    <w:link w:val="1033"/>
    <w:pPr>
      <w:pBdr/>
      <w:spacing/>
      <w:ind/>
    </w:pPr>
    <w:rPr>
      <w:rFonts w:ascii="Times New Roman" w:hAnsi="Times New Roman" w:eastAsia="Times New Roman" w:cs="Times New Roman"/>
      <w:sz w:val="24"/>
      <w:szCs w:val="24"/>
    </w:rPr>
  </w:style>
  <w:style w:type="paragraph" w:styleId="1035">
    <w:name w:val="Footer"/>
    <w:basedOn w:val="1017"/>
    <w:link w:val="1036"/>
    <w:uiPriority w:val="99"/>
    <w:unhideWhenUsed/>
    <w:pPr>
      <w:pBdr/>
      <w:tabs>
        <w:tab w:val="center" w:leader="none" w:pos="4680"/>
        <w:tab w:val="right" w:leader="none" w:pos="9360"/>
      </w:tabs>
      <w:spacing/>
      <w:ind/>
    </w:pPr>
  </w:style>
  <w:style w:type="character" w:styleId="1036" w:customStyle="1">
    <w:name w:val="Footer Char"/>
    <w:basedOn w:val="1022"/>
    <w:link w:val="1035"/>
    <w:uiPriority w:val="99"/>
    <w:pPr>
      <w:pBdr/>
      <w:spacing/>
      <w:ind/>
    </w:pPr>
    <w:rPr>
      <w:rFonts w:ascii="Times New Roman" w:hAnsi="Times New Roman" w:eastAsia="Times New Roman" w:cs="Times New Roman"/>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normal-p"/>
    <w:basedOn w:val="1017"/>
    <w:pPr>
      <w:pBdr/>
      <w:spacing/>
      <w:ind/>
      <w:jc w:val="both"/>
    </w:pPr>
    <w:rPr>
      <w:sz w:val="20"/>
      <w:szCs w:val="20"/>
    </w:rPr>
  </w:style>
  <w:style w:type="paragraph" w:styleId="1039">
    <w:name w:val="List Paragraph"/>
    <w:basedOn w:val="1017"/>
    <w:link w:val="1126"/>
    <w:uiPriority w:val="34"/>
    <w:qFormat/>
    <w:pPr>
      <w:pBdr/>
      <w:spacing/>
      <w:ind w:left="720"/>
    </w:pPr>
  </w:style>
  <w:style w:type="paragraph" w:styleId="1040">
    <w:name w:val="Normal (Web)"/>
    <w:basedOn w:val="1017"/>
    <w:uiPriority w:val="99"/>
    <w:pPr>
      <w:pBdr/>
      <w:spacing w:after="100" w:afterAutospacing="1" w:before="100" w:beforeAutospacing="1"/>
      <w:ind/>
    </w:pPr>
  </w:style>
  <w:style w:type="paragraph" w:styleId="1041">
    <w:name w:val="Body Text"/>
    <w:basedOn w:val="1017"/>
    <w:link w:val="1042"/>
    <w:pPr>
      <w:pBdr/>
      <w:spacing w:after="120"/>
      <w:ind/>
      <w:jc w:val="both"/>
    </w:pPr>
  </w:style>
  <w:style w:type="character" w:styleId="1042" w:customStyle="1">
    <w:name w:val="Body Text Char"/>
    <w:basedOn w:val="1022"/>
    <w:link w:val="1041"/>
    <w:pPr>
      <w:pBdr/>
      <w:spacing/>
      <w:ind/>
    </w:pPr>
    <w:rPr>
      <w:rFonts w:ascii="Times New Roman" w:hAnsi="Times New Roman" w:eastAsia="Times New Roman" w:cs="Times New Roman"/>
      <w:sz w:val="24"/>
      <w:szCs w:val="24"/>
    </w:rPr>
  </w:style>
  <w:style w:type="table" w:styleId="1043">
    <w:name w:val="Table Grid"/>
    <w:basedOn w:val="102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5">
    <w:name w:val="annotation reference"/>
    <w:basedOn w:val="1022"/>
    <w:uiPriority w:val="99"/>
    <w:semiHidden/>
    <w:unhideWhenUsed/>
    <w:pPr>
      <w:pBdr/>
      <w:spacing/>
      <w:ind/>
    </w:pPr>
    <w:rPr>
      <w:sz w:val="16"/>
      <w:szCs w:val="16"/>
    </w:rPr>
  </w:style>
  <w:style w:type="paragraph" w:styleId="1046">
    <w:name w:val="annotation text"/>
    <w:basedOn w:val="1017"/>
    <w:link w:val="1047"/>
    <w:uiPriority w:val="99"/>
    <w:unhideWhenUsed/>
    <w:pPr>
      <w:pBdr/>
      <w:spacing/>
      <w:ind/>
    </w:pPr>
    <w:rPr>
      <w:sz w:val="20"/>
      <w:szCs w:val="20"/>
    </w:rPr>
  </w:style>
  <w:style w:type="character" w:styleId="1047" w:customStyle="1">
    <w:name w:val="Comment Text Char"/>
    <w:basedOn w:val="1022"/>
    <w:link w:val="1046"/>
    <w:uiPriority w:val="99"/>
    <w:pPr>
      <w:pBdr/>
      <w:spacing/>
      <w:ind/>
    </w:pPr>
    <w:rPr>
      <w:rFonts w:ascii="Times New Roman" w:hAnsi="Times New Roman" w:eastAsia="Times New Roman" w:cs="Times New Roman"/>
      <w:sz w:val="20"/>
      <w:szCs w:val="20"/>
    </w:rPr>
  </w:style>
  <w:style w:type="paragraph" w:styleId="1048">
    <w:name w:val="annotation subject"/>
    <w:basedOn w:val="1046"/>
    <w:next w:val="1046"/>
    <w:link w:val="1049"/>
    <w:uiPriority w:val="99"/>
    <w:semiHidden/>
    <w:unhideWhenUsed/>
    <w:pPr>
      <w:pBdr/>
      <w:spacing/>
      <w:ind/>
    </w:pPr>
    <w:rPr>
      <w:b/>
      <w:bCs/>
    </w:rPr>
  </w:style>
  <w:style w:type="character" w:styleId="1049" w:customStyle="1">
    <w:name w:val="Comment Subject Char"/>
    <w:basedOn w:val="1047"/>
    <w:link w:val="1048"/>
    <w:uiPriority w:val="99"/>
    <w:semiHidden/>
    <w:pPr>
      <w:pBdr/>
      <w:spacing/>
      <w:ind/>
    </w:pPr>
    <w:rPr>
      <w:rFonts w:ascii="Times New Roman" w:hAnsi="Times New Roman" w:eastAsia="Times New Roman" w:cs="Times New Roman"/>
      <w:b/>
      <w:bCs/>
      <w:sz w:val="20"/>
      <w:szCs w:val="20"/>
    </w:rPr>
  </w:style>
  <w:style w:type="paragraph" w:styleId="1050" w:customStyle="1">
    <w:name w:val="font5"/>
    <w:basedOn w:val="1017"/>
    <w:pPr>
      <w:pBdr/>
      <w:spacing w:after="100" w:afterAutospacing="1" w:before="100" w:beforeAutospacing="1"/>
      <w:ind/>
    </w:pPr>
    <w:rPr>
      <w:rFonts w:ascii="Tahoma" w:hAnsi="Tahoma" w:cs="Tahoma"/>
      <w:color w:val="000000"/>
      <w:sz w:val="18"/>
      <w:szCs w:val="18"/>
    </w:rPr>
  </w:style>
  <w:style w:type="paragraph" w:styleId="1051" w:customStyle="1">
    <w:name w:val="font6"/>
    <w:basedOn w:val="1017"/>
    <w:pPr>
      <w:pBdr/>
      <w:spacing w:after="100" w:afterAutospacing="1" w:before="100" w:beforeAutospacing="1"/>
      <w:ind/>
    </w:pPr>
    <w:rPr>
      <w:rFonts w:ascii="Tahoma" w:hAnsi="Tahoma" w:cs="Tahoma"/>
      <w:b/>
      <w:bCs/>
      <w:color w:val="000000"/>
      <w:sz w:val="18"/>
      <w:szCs w:val="18"/>
    </w:rPr>
  </w:style>
  <w:style w:type="paragraph" w:styleId="1052" w:customStyle="1">
    <w:name w:val="xl23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3" w:customStyle="1">
    <w:name w:val="xl234"/>
    <w:basedOn w:val="1017"/>
    <w:pPr>
      <w:pBdr/>
      <w:spacing w:after="100" w:afterAutospacing="1" w:before="100" w:beforeAutospacing="1"/>
      <w:ind/>
      <w:jc w:val="center"/>
    </w:pPr>
  </w:style>
  <w:style w:type="paragraph" w:styleId="1054" w:customStyle="1">
    <w:name w:val="xl235"/>
    <w:basedOn w:val="1017"/>
    <w:pPr>
      <w:pBdr/>
      <w:spacing w:after="100" w:afterAutospacing="1" w:before="100" w:beforeAutospacing="1"/>
      <w:ind/>
      <w:jc w:val="center"/>
    </w:pPr>
    <w:rPr>
      <w:b/>
      <w:bCs/>
    </w:rPr>
  </w:style>
  <w:style w:type="paragraph" w:styleId="1055" w:customStyle="1">
    <w:name w:val="xl236"/>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3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38"/>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8" w:customStyle="1">
    <w:name w:val="xl23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9" w:customStyle="1">
    <w:name w:val="xl240"/>
    <w:basedOn w:val="1017"/>
    <w:pPr>
      <w:pBdr/>
      <w:spacing w:after="100" w:afterAutospacing="1" w:before="100" w:beforeAutospacing="1"/>
      <w:ind/>
    </w:pPr>
  </w:style>
  <w:style w:type="paragraph" w:styleId="1060" w:customStyle="1">
    <w:name w:val="xl241"/>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42"/>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43"/>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44"/>
    <w:basedOn w:val="1017"/>
    <w:pPr>
      <w:pBdr/>
      <w:spacing w:after="100" w:afterAutospacing="1" w:before="100" w:beforeAutospacing="1"/>
      <w:ind/>
    </w:pPr>
    <w:rPr>
      <w:b/>
      <w:bCs/>
    </w:rPr>
  </w:style>
  <w:style w:type="paragraph" w:styleId="1064" w:customStyle="1">
    <w:name w:val="xl245"/>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4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47"/>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7" w:customStyle="1">
    <w:name w:val="xl24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8" w:customStyle="1">
    <w:name w:val="xl24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9" w:customStyle="1">
    <w:name w:val="xl25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5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5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3"/>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4"/>
    <w:basedOn w:val="101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4" w:customStyle="1">
    <w:name w:val="xl255"/>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5" w:customStyle="1">
    <w:name w:val="xl25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6" w:customStyle="1">
    <w:name w:val="xl25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8"/>
    <w:basedOn w:val="101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5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9" w:customStyle="1">
    <w:name w:val="xl260"/>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0" w:customStyle="1">
    <w:name w:val="xl261"/>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62"/>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3"/>
    <w:basedOn w:val="1017"/>
    <w:pPr>
      <w:pBdr/>
      <w:shd w:val="clear" w:color="000000" w:fill="ffffff"/>
      <w:spacing w:after="100" w:afterAutospacing="1" w:before="100" w:beforeAutospacing="1"/>
      <w:ind/>
    </w:pPr>
  </w:style>
  <w:style w:type="paragraph" w:styleId="1083" w:customStyle="1">
    <w:name w:val="xl264"/>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65"/>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6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6" w:customStyle="1">
    <w:name w:val="xl26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68"/>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8" w:customStyle="1">
    <w:name w:val="xl269"/>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9" w:customStyle="1">
    <w:name w:val="xl27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1"/>
    <w:basedOn w:val="101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1" w:customStyle="1">
    <w:name w:val="xl27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73"/>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3" w:customStyle="1">
    <w:name w:val="xl274"/>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5"/>
    <w:basedOn w:val="1017"/>
    <w:pPr>
      <w:pBdr/>
      <w:spacing w:after="100" w:afterAutospacing="1" w:before="100" w:beforeAutospacing="1"/>
      <w:ind/>
    </w:pPr>
  </w:style>
  <w:style w:type="paragraph" w:styleId="1095" w:customStyle="1">
    <w:name w:val="xl27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77"/>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7" w:customStyle="1">
    <w:name w:val="xl27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7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8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0" w:customStyle="1">
    <w:name w:val="xl28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1" w:customStyle="1">
    <w:name w:val="xl28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8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4"/>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5"/>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5" w:customStyle="1">
    <w:name w:val="xl28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customStyle="1">
    <w:name w:val="xl287"/>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8"/>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89"/>
    <w:basedOn w:val="1017"/>
    <w:pPr>
      <w:pBdr>
        <w:left w:val="single" w:color="000000" w:sz="4" w:space="0"/>
        <w:right w:val="single" w:color="000000" w:sz="4" w:space="0"/>
      </w:pBdr>
      <w:spacing w:after="100" w:afterAutospacing="1" w:before="100" w:beforeAutospacing="1"/>
      <w:ind/>
    </w:pPr>
    <w:rPr>
      <w:b/>
      <w:bCs/>
    </w:rPr>
  </w:style>
  <w:style w:type="paragraph" w:styleId="1109" w:customStyle="1">
    <w:name w:val="xl29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0" w:customStyle="1">
    <w:name w:val="xl291"/>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1" w:customStyle="1">
    <w:name w:val="xl292"/>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93"/>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13" w:customStyle="1">
    <w:name w:val="xl294"/>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4">
    <w:name w:val="Title"/>
    <w:basedOn w:val="1017"/>
    <w:link w:val="1115"/>
    <w:qFormat/>
    <w:pPr>
      <w:pBdr/>
      <w:spacing/>
      <w:ind/>
      <w:jc w:val="center"/>
    </w:pPr>
    <w:rPr>
      <w:b/>
      <w:bCs/>
      <w:sz w:val="32"/>
      <w:szCs w:val="26"/>
    </w:rPr>
  </w:style>
  <w:style w:type="character" w:styleId="1115" w:customStyle="1">
    <w:name w:val="Title Char"/>
    <w:basedOn w:val="1022"/>
    <w:link w:val="1114"/>
    <w:pPr>
      <w:pBdr/>
      <w:spacing/>
      <w:ind/>
    </w:pPr>
    <w:rPr>
      <w:rFonts w:ascii="Times New Roman" w:hAnsi="Times New Roman" w:eastAsia="Times New Roman" w:cs="Times New Roman"/>
      <w:b/>
      <w:bCs/>
      <w:sz w:val="32"/>
      <w:szCs w:val="26"/>
    </w:rPr>
  </w:style>
  <w:style w:type="character" w:styleId="1116" w:customStyle="1">
    <w:name w:val="Unresolved Mention1"/>
    <w:basedOn w:val="1022"/>
    <w:uiPriority w:val="99"/>
    <w:semiHidden/>
    <w:unhideWhenUsed/>
    <w:pPr>
      <w:pBdr/>
      <w:spacing/>
      <w:ind/>
    </w:pPr>
    <w:rPr>
      <w:color w:val="605e5c"/>
      <w:shd w:val="clear" w:color="auto" w:fill="e1dfdd"/>
    </w:rPr>
  </w:style>
  <w:style w:type="character" w:styleId="1117" w:customStyle="1">
    <w:name w:val="Body text (3)_"/>
    <w:link w:val="1118"/>
    <w:pPr>
      <w:pBdr/>
      <w:spacing/>
      <w:ind/>
    </w:pPr>
    <w:rPr>
      <w:rFonts w:ascii="Times New Roman" w:hAnsi="Times New Roman" w:cs="Times New Roman"/>
      <w:i/>
      <w:iCs/>
      <w:spacing w:val="4"/>
      <w:shd w:val="clear" w:color="auto" w:fill="ffffff"/>
    </w:rPr>
  </w:style>
  <w:style w:type="paragraph" w:styleId="1118" w:customStyle="1">
    <w:name w:val="Body text (3)1"/>
    <w:basedOn w:val="1017"/>
    <w:link w:val="111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9" w:customStyle="1">
    <w:name w:val="t-j"/>
    <w:basedOn w:val="1017"/>
    <w:pPr>
      <w:pBdr/>
      <w:spacing w:after="100" w:afterAutospacing="1" w:before="100" w:beforeAutospacing="1"/>
      <w:ind/>
    </w:pPr>
  </w:style>
  <w:style w:type="character" w:styleId="1120" w:customStyle="1">
    <w:name w:val="Unresolved Mention2"/>
    <w:basedOn w:val="1022"/>
    <w:uiPriority w:val="99"/>
    <w:semiHidden/>
    <w:unhideWhenUsed/>
    <w:pPr>
      <w:pBdr/>
      <w:spacing/>
      <w:ind/>
    </w:pPr>
    <w:rPr>
      <w:color w:val="605e5c"/>
      <w:shd w:val="clear" w:color="auto" w:fill="e1dfdd"/>
    </w:rPr>
  </w:style>
  <w:style w:type="character" w:styleId="1121">
    <w:name w:val="FollowedHyperlink"/>
    <w:basedOn w:val="1022"/>
    <w:uiPriority w:val="99"/>
    <w:semiHidden/>
    <w:unhideWhenUsed/>
    <w:pPr>
      <w:pBdr/>
      <w:spacing/>
      <w:ind/>
    </w:pPr>
    <w:rPr>
      <w:color w:val="800080" w:themeColor="followedHyperlink"/>
      <w:u w:val="single"/>
    </w:rPr>
  </w:style>
  <w:style w:type="character" w:styleId="1122" w:customStyle="1">
    <w:name w:val="text"/>
    <w:basedOn w:val="1022"/>
    <w:pPr>
      <w:pBdr/>
      <w:spacing/>
      <w:ind/>
    </w:pPr>
  </w:style>
  <w:style w:type="character" w:styleId="1123" w:customStyle="1">
    <w:name w:val="card-send-time__sendtime"/>
    <w:basedOn w:val="1022"/>
    <w:pPr>
      <w:pBdr/>
      <w:spacing/>
      <w:ind/>
    </w:pPr>
  </w:style>
  <w:style w:type="character" w:styleId="1124" w:customStyle="1">
    <w:name w:val="Đề cập Chưa giải quyết1"/>
    <w:basedOn w:val="1022"/>
    <w:uiPriority w:val="99"/>
    <w:semiHidden/>
    <w:unhideWhenUsed/>
    <w:pPr>
      <w:pBdr/>
      <w:spacing/>
      <w:ind/>
    </w:pPr>
    <w:rPr>
      <w:color w:val="605e5c"/>
      <w:shd w:val="clear" w:color="auto" w:fill="e1dfdd"/>
    </w:rPr>
  </w:style>
  <w:style w:type="paragraph" w:styleId="1125" w:customStyle="1">
    <w:name w:val="nqtitle"/>
    <w:basedOn w:val="1017"/>
    <w:pPr>
      <w:pBdr/>
      <w:spacing w:after="100" w:afterAutospacing="1" w:before="100" w:beforeAutospacing="1"/>
      <w:ind/>
    </w:pPr>
    <w:rPr>
      <w:lang w:val="vi-VN" w:eastAsia="vi-VN"/>
    </w:rPr>
  </w:style>
  <w:style w:type="character" w:styleId="1126" w:customStyle="1">
    <w:name w:val="List Paragraph Char"/>
    <w:link w:val="1039"/>
    <w:uiPriority w:val="34"/>
    <w:qFormat/>
    <w:pPr>
      <w:pBdr/>
      <w:spacing/>
      <w:ind/>
    </w:pPr>
    <w:rPr>
      <w:rFonts w:ascii="Times New Roman" w:hAnsi="Times New Roman" w:eastAsia="Times New Roman" w:cs="Times New Roman"/>
      <w:sz w:val="24"/>
      <w:szCs w:val="24"/>
    </w:rPr>
  </w:style>
  <w:style w:type="character" w:styleId="1127" w:customStyle="1">
    <w:name w:val="Đề cập Chưa giải quyết2"/>
    <w:basedOn w:val="1022"/>
    <w:uiPriority w:val="99"/>
    <w:semiHidden/>
    <w:unhideWhenUsed/>
    <w:pPr>
      <w:pBdr/>
      <w:spacing/>
      <w:ind/>
    </w:pPr>
    <w:rPr>
      <w:color w:val="605e5c"/>
      <w:shd w:val="clear" w:color="auto" w:fill="e1dfdd"/>
    </w:rPr>
  </w:style>
  <w:style w:type="character" w:styleId="1128" w:customStyle="1">
    <w:name w:val="Unresolved Mention3"/>
    <w:basedOn w:val="1022"/>
    <w:uiPriority w:val="99"/>
    <w:semiHidden/>
    <w:unhideWhenUsed/>
    <w:pPr>
      <w:pBdr/>
      <w:spacing/>
      <w:ind/>
    </w:pPr>
    <w:rPr>
      <w:color w:val="605e5c"/>
      <w:shd w:val="clear" w:color="auto" w:fill="e1dfdd"/>
    </w:rPr>
  </w:style>
  <w:style w:type="character" w:styleId="1129" w:customStyle="1">
    <w:name w:val="copy"/>
    <w:basedOn w:val="1022"/>
    <w:pPr>
      <w:pBdr/>
      <w:spacing/>
      <w:ind/>
    </w:pPr>
  </w:style>
  <w:style w:type="paragraph" w:styleId="1130" w:customStyle="1">
    <w:name w:val="align-justify"/>
    <w:basedOn w:val="1017"/>
    <w:pPr>
      <w:pBdr/>
      <w:spacing w:after="100" w:afterAutospacing="1" w:before="100" w:beforeAutospacing="1"/>
      <w:ind/>
    </w:pPr>
  </w:style>
  <w:style w:type="character" w:styleId="1131" w:customStyle="1">
    <w:name w:val="btn"/>
    <w:basedOn w:val="1022"/>
    <w:pPr>
      <w:pBdr/>
      <w:spacing/>
      <w:ind/>
    </w:pPr>
  </w:style>
  <w:style w:type="character" w:styleId="1132" w:customStyle="1">
    <w:name w:val="hide_mobile"/>
    <w:basedOn w:val="1022"/>
    <w:pPr>
      <w:pBdr/>
      <w:spacing/>
      <w:ind/>
    </w:pPr>
  </w:style>
  <w:style w:type="character" w:styleId="1133">
    <w:name w:val="Emphasis"/>
    <w:basedOn w:val="1022"/>
    <w:uiPriority w:val="20"/>
    <w:qFormat/>
    <w:pPr>
      <w:pBdr/>
      <w:spacing/>
      <w:ind/>
    </w:pPr>
    <w:rPr>
      <w:i/>
      <w:iCs/>
    </w:rPr>
  </w:style>
  <w:style w:type="character" w:styleId="1134" w:customStyle="1">
    <w:name w:val="t1"/>
    <w:basedOn w:val="1022"/>
    <w:pPr>
      <w:pBdr/>
      <w:spacing/>
      <w:ind/>
    </w:pPr>
  </w:style>
  <w:style w:type="character" w:styleId="1135" w:customStyle="1">
    <w:name w:val="Unresolved Mention4"/>
    <w:basedOn w:val="1022"/>
    <w:uiPriority w:val="99"/>
    <w:semiHidden/>
    <w:unhideWhenUsed/>
    <w:pPr>
      <w:pBdr/>
      <w:spacing/>
      <w:ind/>
    </w:pPr>
    <w:rPr>
      <w:color w:val="605e5c"/>
      <w:shd w:val="clear" w:color="auto" w:fill="e1dfdd"/>
    </w:rPr>
  </w:style>
  <w:style w:type="character" w:styleId="1136">
    <w:name w:val="Unresolved Mention"/>
    <w:basedOn w:val="102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Nhâm văn hưng</cp:lastModifiedBy>
  <cp:revision>524</cp:revision>
  <dcterms:created xsi:type="dcterms:W3CDTF">2025-09-15T02:01:00Z</dcterms:created>
  <dcterms:modified xsi:type="dcterms:W3CDTF">2026-08-20T08:21:48Z</dcterms:modified>
</cp:coreProperties>
</file>